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FE de erratas que emite la Secretaría de Salud al Acuerdo por el que se establecen los Lineamientos Técnicos relacionados con las actividades descritas en los incisos c) y e) de la fracción II del Artículo Primero del Acuerdo por el que se establecen acciones extraordinarias para atender la emergencia sanitaria generada por el virus SARS-CoV2, publicado el 31 de marzo de 2020, publicado el 6 de abril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 DE ERRATAS QUE EMITE LA SECRETARÍA DE SALUD AL ACUERDO POR EL QUE SE ESTABLECEN LOS LINEAMIENTOS TÉCNICOS RELACIONADOS CON LAS ACTIVIDADES DESCRITAS EN LOS INCISOS C) Y E) DE LA FRACCIÓN II DEL ARTÍCULO PRIMERO DEL ACUERDO POR EL QUE SE ESTABLECEN ACCIONES EXTRAORDINARIAS PARA ATENDER LA EMERGENCIA SANITARIA GENERADA POR EL VIRUS SARS-CoV2, PUBLICADO EL 31 DE MARZO DEL 2020, PUBLICADO EL 06 DE ABRIL DE 2020 EN EL DIARIO OFICIAL DE LA FEDERACIÓN.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apartado A, párrafo segundo del Lineamiento SEGUNDO, dice: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Aquellas empresas de producción de acero, cemento y vidrio que tengan contratos vigentes con el Gobierno Federal, continuarán las actividades que les permitan cumplir con los compromisos de corto plazo exclusivamente para los proyectos de Dos Bocas, Tren Maya, Aeropuerto Felipe Ángeles, Corredor Transísmico; así como los contratos existentes considerados como indispensables para Petróleos Mexicanos y la Comisión Federal de Electricidad.</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 decir: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Aquellas empresas de producción de acero, cemento y vidrio que tengan contratos vigentes con el Gobierno Federal, continuarán las actividades que les permitan cumplir con los compromisos de corto plazo exclusivamente para los proyectos de Dos Bocas, Tren Maya, Aeropuerto Felipe Ángeles, Corredor </w:t>
      </w:r>
      <w:r w:rsidDel="00000000" w:rsidR="00000000" w:rsidRPr="00000000">
        <w:rPr>
          <w:rFonts w:ascii="Verdana" w:cs="Verdana" w:eastAsia="Verdana" w:hAnsi="Verdana"/>
          <w:b w:val="1"/>
          <w:color w:val="2f2f2f"/>
          <w:sz w:val="20"/>
          <w:szCs w:val="20"/>
          <w:rtl w:val="0"/>
        </w:rPr>
        <w:t xml:space="preserve">Transístmico</w:t>
      </w:r>
      <w:r w:rsidDel="00000000" w:rsidR="00000000" w:rsidRPr="00000000">
        <w:rPr>
          <w:rFonts w:ascii="Verdana" w:cs="Verdana" w:eastAsia="Verdana" w:hAnsi="Verdana"/>
          <w:color w:val="2f2f2f"/>
          <w:sz w:val="20"/>
          <w:szCs w:val="20"/>
          <w:rtl w:val="0"/>
        </w:rPr>
        <w:t xml:space="preserve">; así como los contratos existentes considerados como indispensables para Petróleos Mexicanos y la Comisión Federal de Electricidad.</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siete días de abril de dos mil veinte.-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