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ACUERDO G/JGA/36/2020 por el que se deja sin efectos el Acuerdo G/JGA/66/2018 y se adscribe a la Magistrada Supernumeraria Mónica Karime Bujaidar Paredes a la Primera Ponencia de la Sala Regional de Tlaxcala.</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23 de marzo de 2020)</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G/JGA/36/2020.</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DEJA SIN EFECTOS EL ACUERDO G/JGA/66/2018 Y SE ADSCRIBE A LA MAGISTRADA SUPERNUMERARIA MONICA KARIME BUJAIDAR PAREDES A LA PRIMERA PONENCIA DE LA SALA REGIONAL DEL TLAXCALA.</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Que el artículo 21 de la Ley Orgánica vigente de este Tribunal, establece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Que el artículo 47, primer párrafo del Reglamento Interior del Tribunal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Que las fracciones II, VI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Que mediante Acuerdo G/JGA/66/2018 dictado por la Junta de Gobierno y Administración en sesión de 16 de octubre de 2018, se comisionó temporalmente a la Magistrada Supernumeraria Mónica Karime Bujaidar Paredes a la Primera Ponencia de la Sala Regional de Tlaxcala.</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Que en sesión de la presente fecha, la Junta de Gobierno y Administración autorizó el Acuerdo G/JGA/35/2020, por el que se cancelan las comisiones de Magistrados Numerarios y Supernumerarios de Salas Regionales, que gocen de una compensación económica adicional a su salario.</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Que el ordinal Segundo del Acuerdo señalado en el Considerando anterior dispone que, aquellas comisiones vigentes al 16 de marzo de 2020 deberán ser substituidas por adscripciones para cumplir con las medidas de ahorro y disciplina del gasto del Tribunal.</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Atento a lo anterior, dadas las necesidades del servicio, y para el buen funcionamiento de la Sala Regional de Tlaxcala, la Junta de Gobierno y Administración estima necesario dejar sin efectos la comisión actual de la Magistrada Supernumeraria Mónica Karime Bujaidar Paredes, y adscribirla en la Primera Ponencia de la Sala Regional de Tlaxcala. Lo anterior, con efectos a partir del 16 de marzo de 2020.</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Consecuentemente, con fundamento en lo dispuesto por los artículos 17 y 73 fracción XXIX-H de la Constitución Política de los Estados Unidos Mexicanos; 1 párrafos segundo y quinto, 21 y 23, fracciones II, VI y XXXIX, y 48 de la Ley Orgánica del Tribunal Federal de Justicia Administrativa; así como los diversos 46 y 47 del Reglamento Interior del Tribunal Federal de Justicia Fiscal y Administrativa, aplicable en términos del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deja sin efectos el Acuerdo G/JGA/66/2018 aprobado en sesión de 16 de octubre de 2018 por la Junta de Gobierno y Administración.</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Se aprueba la adscripción de la Magistrada Supernumeraria Mónica Karime Bujaidar Paredes, a la Primera Ponencia de la Sala Regional de Tlaxcala, con efectos a partir del 16 de marzo de 2020 y hasta en tanto la Junta de Gobierno y Administración emita acuerdo en contrario.</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La Magistrada Supernumeraria Mónica Karime Bujaidar Paredes,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Notifíquese el presente Acuerdo a la Magistrada Supernumeraria Mónica Karime Bujaidar Paredes.</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Publíquese el presente Acuerdo en el Diario Oficial de la Federación y en la página web Institucional.</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en sesión de fecha 12 de marzo de 2020, por unanimidad de votos de los Magistrados Rafael Estrada Sámano, Juan Carlos Roa Jacobo, Luz María Anaya Domínguez, Juan Ángel Chávez Ramírez y Rafael Anzures Uribe.- Firman el Magistrado Rafael Anzures Uribe, Presidente de la Junta de Gobierno y Administración del Tribunal Federal de Justicia Administrativa, y el Licenciado Pedro Alberto de la Rosa Manzano,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