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Regular" w:hAnsi="Verdana Regular" w:eastAsia="Times-Roman" w:cs="Verdana Regular"/>
          <w:b/>
          <w:bCs/>
          <w:i w:val="0"/>
          <w:iCs w:val="0"/>
          <w:caps w:val="0"/>
          <w:color w:val="5B9BD5" w:themeColor="accent1"/>
          <w:spacing w:val="0"/>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cuerdo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por el que se adscriben orgánicamente las unidades administrativas de la Secretaría de Economía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21 de febrero de 2023)</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ECONOMÍA.- Secretaría de Economía.</w:t>
      </w:r>
      <w:bookmarkStart w:id="0" w:name="_GoBack"/>
      <w:bookmarkEnd w:id="0"/>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RAQUEL BUENROSTRO SÁNCHEZ, Secretaria de Economía, con fundamento en los artículos 16 y 34 de la Ley Orgánica de la Administración Pública Federal, y 5, fracciones XV y XVII del Reglamento Interior de la Secretaría de Economía,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artículo 16 de la Ley Orgánica de la Administración Pública Federal establece que las personas titulares de las Secretarías de Estado podrán adscribir orgánicamente las unidades administrativas establecidas en el reglamento interior respectivo, a las Subsecretarías y a las otras unidades de nivel administrativo equivalente que se precisen en el mismo reglamento interior, mediante acuerdos publicados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17 de octubre de 2019 se publicó en el Diario Oficial de la Federación el Reglamento Interior de la Secretaría de Economía, reformado mediante Decreto publicado en el mencionado órgano de difusión oficial el 12 de abril de 2021, el cual establece la estructura orgánica y las atribuciones de las unidades administrativas de la dependencia,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con el propósito de procurar una mejor organización y optimizar la operación de las unidades administrativas de la Secretaría de Economía,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ACUERDO POR EL QUE SE ADSCRIBEN ORGÁNICAMENTE LAS UNIDADES ADMINISTRATIVAS DE</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LA SECRETARÍA DE ECONOMÍA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 adscriben las unidades administrativas de la Secretaría de Economía, en los términos siguientes: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Oficina de la persona Titular de la Secretaría:</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Subsecretaría de Industria y Comercio.</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Subsecretaría de Comercio Exterior.</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Unidad de Administración y Finanzas.</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Unidad de Apoyo Jurídico.</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Unidad de Normatividad, Competitividad y Competencia.</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Unidad de Coordinación de Actividades Extractivas.</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Unidad de Prospectiva, Planeación y Evaluación.</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Vinculación con el Sector Coordinado.</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Oficina de Comunicación Social.</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I.10.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Oficina de Enlace Legislativo.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la Subsecretaría de Industria y Comercio:</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Unidad de Fomento y Crecimiento Económico.</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Unidad de Prácticas Comerciales Internacionales:</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II.2.1.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Defensa Comercial Internacional.</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II.2.2.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Coordinación de Análisis Financiero y Contable.</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II.2.3.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Coordinación de Daño y Salvaguardas.</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II.2.4.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Coordinación de Dumping y Subvenciones.</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II.2.5.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Coordinación Jurídica.</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II.2.6.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Coordinación Jurídica Internacional.</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Unidad de Desarrollo Productivo:</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II.3.1.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Operación.</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Industrias Ligeras.</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Industrias Pesadas y de Alta Tecnología.</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Innovación, Servicios y Comercio Interior.</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Contenido Nacional y Fomento en el Sector Energético.</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Competitividad y Competencia.</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Planeación y Evaluación.</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II.10.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Apoyo Técnico.</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II.11.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Innovación de Trámites.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la Subsecretaría de Comercio Exterior:</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Unidad de Inteligencia Económica Global:</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III.1.1.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Inversión Extranjera:</w:t>
      </w:r>
    </w:p>
    <w:p>
      <w:pPr>
        <w:keepNext w:val="0"/>
        <w:keepLines w:val="0"/>
        <w:widowControl/>
        <w:suppressLineNumbers w:val="0"/>
        <w:shd w:val="clear" w:fill="FFFFFF"/>
        <w:spacing w:after="101" w:afterAutospacing="0"/>
        <w:ind w:left="2700" w:hanging="81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III.1.1.1.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Coordinación del Registro Nacional de Inversiones Extranjeras.</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III.1.2.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Política de Promoción de Inversiones y Exportación.</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III.1.3.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Coordinación Territorial de Trámites y Servicios de Economía:</w:t>
      </w:r>
    </w:p>
    <w:p>
      <w:pPr>
        <w:keepNext w:val="0"/>
        <w:keepLines w:val="0"/>
        <w:widowControl/>
        <w:suppressLineNumbers w:val="0"/>
        <w:shd w:val="clear" w:fill="FFFFFF"/>
        <w:spacing w:after="101" w:afterAutospacing="0"/>
        <w:ind w:left="2700" w:hanging="81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III.1.3.1.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Oficinas de Representación en las entidades federativas.</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III.1.4.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Desarrollo Productivo.</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Unidad de Negociaciones Comerciales Internacionales:</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III.2.1.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Comercio Internacional de Servicios e Inversión.</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III.2.2.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Disciplinas de Comercio Internacional.</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III.2.3.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Acceso a Mercados de Bienes.</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III.2.4.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Planeación y Estrategias de Negociación.</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III.2.5.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Seguimiento, Administración y Supervisión del Cumplimiento de Tratados Comerciales.</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Consultoría Jurídica de Comercio Internacional.</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Sistemas de Información Estadística de Comercio Internacional.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Unidad de Administración y Finanzas:</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Programación, Presupuesto y Contabilidad.</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Recursos Humanos.</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Recursos Materiales y Archivo.</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Tecnologías de la Información.</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Financiamiento y Apoyo.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Unidad de Apoyo Jurídico:</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Legislación y Consulta.</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Procedimientos Constitucionales y Legales:</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V.2.1.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Coordinación de lo Contencioso.</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Control y Procedimientos.</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Seguimiento a Compromisos Institucionales:</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V.4.1.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Coordinación de Convenios y Contratos.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Unidad de Normatividad, Competitividad y Competencia:</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Normas:</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VI.1.1.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Coordinación de la Infraestructura de la Calidad.</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Normatividad Mercantil:</w:t>
      </w:r>
    </w:p>
    <w:p>
      <w:pPr>
        <w:keepNext w:val="0"/>
        <w:keepLines w:val="0"/>
        <w:widowControl/>
        <w:suppressLineNumbers w:val="0"/>
        <w:shd w:val="clear" w:fill="FFFFFF"/>
        <w:spacing w:after="101" w:afterAutospacing="0"/>
        <w:ind w:left="1890" w:hanging="63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VI.2.1.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Coordinación de Política Mercantil.</w:t>
      </w:r>
    </w:p>
    <w:p>
      <w:pPr>
        <w:keepNext w:val="0"/>
        <w:keepLines w:val="0"/>
        <w:widowControl/>
        <w:suppressLineNumbers w:val="0"/>
        <w:shd w:val="clear" w:fill="FFFFFF"/>
        <w:spacing w:after="101" w:afterAutospacing="0"/>
        <w:ind w:left="1170" w:hanging="45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Facilitación Comercial y de Comercio Exterior.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Unidad de Coordinación de Actividades Extractivas:</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Desarrollo Minero.</w:t>
      </w:r>
    </w:p>
    <w:p>
      <w:pPr>
        <w:keepNext w:val="0"/>
        <w:keepLines w:val="0"/>
        <w:widowControl/>
        <w:suppressLineNumbers w:val="0"/>
        <w:shd w:val="clear" w:fill="FFFFFF"/>
        <w:spacing w:after="101" w:afterAutospacing="0"/>
        <w:ind w:left="126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Minas.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personas titulares de las Subsecretarías, Jefaturas de Unidad y Direcciones Generales podrán acordar, resolver y firmar los asuntos relacionados con las materias que son competencia de las unidades administrativas que se les adscriben por virtud del presente Acuerdo.</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presente Acuerdo entrará en vigor el día siguiente al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 abroga el Acuerdo que adscribe orgánicamente a las unidades administrativas de la Secretaría de Economía, publicado en el Diario Oficial de la Federación el 22 de abril de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Ciudad de México, a 3 de febrero de 2023.- La Secretaria de Economía, </w:t>
      </w:r>
      <w:r>
        <w:rPr>
          <w:rFonts w:hint="default" w:ascii="Verdana Regular" w:hAnsi="Verdana Regular" w:eastAsia="SimSun" w:cs="Verdana Regular"/>
          <w:b/>
          <w:bCs/>
          <w:i w:val="0"/>
          <w:iCs w:val="0"/>
          <w:caps w:val="0"/>
          <w:color w:val="000000"/>
          <w:spacing w:val="0"/>
          <w:kern w:val="0"/>
          <w:sz w:val="20"/>
          <w:szCs w:val="20"/>
          <w:shd w:val="clear" w:fill="FFFFFF"/>
          <w:lang w:val="en-US" w:eastAsia="zh-CN" w:bidi="ar"/>
        </w:rPr>
        <w:t>Raquel Buenrostro Sánchez</w:t>
      </w: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FD7E9"/>
    <w:rsid w:val="07DFD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2023-02-21T10:38:00Z</dcterms:created>
  <dc:creator>Allan Morgan Hernández</dc:creator>
  <cp:lastModifiedBy>Allan Morgan Hernández</cp:lastModifiedBy>
  <dcterms:modified xsi:type="dcterms:W3CDTF">2023-02-21T10:39:55Z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