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733" w:rsidRDefault="00C22733" w:rsidP="00C22733">
      <w:pPr>
        <w:jc w:val="center"/>
        <w:rPr>
          <w:rFonts w:ascii="Verdana" w:hAnsi="Verdana"/>
          <w:b/>
          <w:bCs/>
          <w:color w:val="0070C0"/>
          <w:sz w:val="24"/>
        </w:rPr>
      </w:pPr>
      <w:r w:rsidRPr="00C22733">
        <w:rPr>
          <w:rFonts w:ascii="Verdana" w:hAnsi="Verdana"/>
          <w:b/>
          <w:bCs/>
          <w:color w:val="0070C0"/>
          <w:sz w:val="24"/>
        </w:rPr>
        <w:t>Quinta Resolución de Modificaciones a las Reglas Generales de Comercio Exterior para 2018, y</w:t>
      </w:r>
      <w:r>
        <w:rPr>
          <w:rFonts w:ascii="Verdana" w:hAnsi="Verdana"/>
          <w:b/>
          <w:bCs/>
          <w:color w:val="0070C0"/>
          <w:sz w:val="24"/>
        </w:rPr>
        <w:t xml:space="preserve"> sus anexos 1-A, 4, 21, 22 y 27</w:t>
      </w:r>
    </w:p>
    <w:p w:rsidR="00C22733" w:rsidRDefault="00C22733" w:rsidP="00C22733">
      <w:pPr>
        <w:jc w:val="center"/>
        <w:rPr>
          <w:rFonts w:ascii="Verdana" w:hAnsi="Verdana"/>
          <w:b/>
          <w:bCs/>
          <w:color w:val="0070C0"/>
          <w:sz w:val="24"/>
        </w:rPr>
      </w:pPr>
      <w:r>
        <w:rPr>
          <w:rFonts w:ascii="Verdana" w:hAnsi="Verdana"/>
          <w:b/>
          <w:bCs/>
          <w:color w:val="0070C0"/>
          <w:sz w:val="24"/>
        </w:rPr>
        <w:t>(DOF del 30 de marzo de 2019)</w:t>
      </w:r>
    </w:p>
    <w:p w:rsidR="00C22733" w:rsidRPr="00C22733" w:rsidRDefault="00C22733" w:rsidP="00C22733">
      <w:pPr>
        <w:jc w:val="both"/>
        <w:rPr>
          <w:rFonts w:ascii="Verdana" w:hAnsi="Verdana"/>
          <w:bCs/>
          <w:sz w:val="20"/>
        </w:rPr>
      </w:pPr>
      <w:r w:rsidRPr="00C22733">
        <w:rPr>
          <w:rFonts w:ascii="Verdana" w:hAnsi="Verdana"/>
          <w:bCs/>
          <w:sz w:val="20"/>
        </w:rPr>
        <w:t>Al margen un sello con el Escudo Nacional, que dice: Estados Unidos Mexicanos.- SHCP.- Secretaría de Hacienda y Crédito Público.- Servicio de Administración Tributaria.</w:t>
      </w:r>
    </w:p>
    <w:p w:rsidR="00C22733" w:rsidRPr="00C22733" w:rsidRDefault="00C22733" w:rsidP="00C22733">
      <w:pPr>
        <w:jc w:val="both"/>
        <w:rPr>
          <w:rFonts w:ascii="Verdana" w:hAnsi="Verdana"/>
          <w:bCs/>
          <w:sz w:val="20"/>
        </w:rPr>
      </w:pPr>
      <w:r w:rsidRPr="00C22733">
        <w:rPr>
          <w:rFonts w:ascii="Verdana" w:hAnsi="Verdana"/>
          <w:bCs/>
          <w:sz w:val="20"/>
        </w:rPr>
        <w:t>Con fundamento en los artículos 16 y 31 de la Ley Orgánica de la Administración Pública Federal; 1o. y 144 de la Ley Aduanera; 33, fracción I, inciso g), del Código Fiscal de la Federación; 14, fracción III, de la Ley del Servicio de Administración Tributaria y 8, primer párrafo, del Reglamento Interior del Servicio de Administración Tributaria vigente, el Servicio de Administración Tributaria resuelve expedir la siguiente:</w:t>
      </w:r>
    </w:p>
    <w:p w:rsidR="00C22733" w:rsidRPr="00C22733" w:rsidRDefault="00C22733" w:rsidP="00C22733">
      <w:pPr>
        <w:jc w:val="both"/>
        <w:rPr>
          <w:rFonts w:ascii="Verdana" w:hAnsi="Verdana"/>
          <w:bCs/>
          <w:sz w:val="20"/>
        </w:rPr>
      </w:pPr>
      <w:r w:rsidRPr="00C22733">
        <w:rPr>
          <w:rFonts w:ascii="Verdana" w:hAnsi="Verdana"/>
          <w:bCs/>
          <w:sz w:val="20"/>
        </w:rPr>
        <w:t>QUINTA RESOLUCIÓN DE MODIFICACIONES A LAS REGLAS GENERALES DE COMERCIO EXTERIOR PARA 2018.</w:t>
      </w:r>
    </w:p>
    <w:p w:rsidR="00C22733" w:rsidRPr="00C22733" w:rsidRDefault="00C22733" w:rsidP="00C22733">
      <w:pPr>
        <w:jc w:val="both"/>
        <w:rPr>
          <w:rFonts w:ascii="Verdana" w:hAnsi="Verdana"/>
          <w:bCs/>
          <w:sz w:val="20"/>
        </w:rPr>
      </w:pPr>
      <w:r w:rsidRPr="00C22733">
        <w:rPr>
          <w:rFonts w:ascii="Verdana" w:hAnsi="Verdana"/>
          <w:bCs/>
          <w:sz w:val="20"/>
        </w:rPr>
        <w:t>Primero. Se modifica el "Glosario":</w:t>
      </w:r>
    </w:p>
    <w:p w:rsidR="00C22733" w:rsidRPr="00C22733" w:rsidRDefault="00C22733" w:rsidP="00C22733">
      <w:pPr>
        <w:jc w:val="both"/>
        <w:rPr>
          <w:rFonts w:ascii="Verdana" w:hAnsi="Verdana"/>
          <w:bCs/>
          <w:sz w:val="20"/>
        </w:rPr>
      </w:pPr>
      <w:r w:rsidRPr="00C22733">
        <w:rPr>
          <w:rFonts w:ascii="Verdana" w:hAnsi="Verdana"/>
          <w:bCs/>
          <w:sz w:val="20"/>
        </w:rPr>
        <w:t>I.        Para modificar el numeral 42 de la fracción II "ACRÓNIMOS".</w:t>
      </w:r>
    </w:p>
    <w:p w:rsidR="00C22733" w:rsidRPr="00C22733" w:rsidRDefault="00C22733" w:rsidP="00C22733">
      <w:pPr>
        <w:jc w:val="both"/>
        <w:rPr>
          <w:rFonts w:ascii="Verdana" w:hAnsi="Verdana"/>
          <w:bCs/>
          <w:sz w:val="20"/>
        </w:rPr>
      </w:pPr>
      <w:r w:rsidRPr="00C22733">
        <w:rPr>
          <w:rFonts w:ascii="Verdana" w:hAnsi="Verdana"/>
          <w:bCs/>
          <w:sz w:val="20"/>
        </w:rPr>
        <w:t>Glosario</w:t>
      </w:r>
    </w:p>
    <w:p w:rsidR="00C22733" w:rsidRPr="00C22733" w:rsidRDefault="00C22733" w:rsidP="00C22733">
      <w:pPr>
        <w:jc w:val="both"/>
        <w:rPr>
          <w:rFonts w:ascii="Verdana" w:hAnsi="Verdana"/>
          <w:bCs/>
          <w:sz w:val="20"/>
        </w:rPr>
      </w:pPr>
      <w:r w:rsidRPr="00C22733">
        <w:rPr>
          <w:rFonts w:ascii="Verdana" w:hAnsi="Verdana"/>
          <w:bCs/>
          <w:sz w:val="20"/>
        </w:rPr>
        <w:t>.........................................................................................................................................................................</w:t>
      </w:r>
    </w:p>
    <w:p w:rsidR="00C22733" w:rsidRPr="00C22733" w:rsidRDefault="00C22733" w:rsidP="00C22733">
      <w:pPr>
        <w:jc w:val="both"/>
        <w:rPr>
          <w:rFonts w:ascii="Verdana" w:hAnsi="Verdana"/>
          <w:bCs/>
          <w:sz w:val="20"/>
        </w:rPr>
      </w:pPr>
      <w:r w:rsidRPr="00C22733">
        <w:rPr>
          <w:rFonts w:ascii="Verdana" w:hAnsi="Verdana"/>
          <w:bCs/>
          <w:sz w:val="20"/>
        </w:rPr>
        <w:t>II.        ACRÓNIMOS:</w:t>
      </w:r>
    </w:p>
    <w:p w:rsidR="00C22733" w:rsidRPr="00C22733" w:rsidRDefault="00C22733" w:rsidP="00C22733">
      <w:pPr>
        <w:jc w:val="both"/>
        <w:rPr>
          <w:rFonts w:ascii="Verdana" w:hAnsi="Verdana"/>
          <w:bCs/>
          <w:sz w:val="20"/>
        </w:rPr>
      </w:pPr>
      <w:r w:rsidRPr="00C22733">
        <w:rPr>
          <w:rFonts w:ascii="Verdana" w:hAnsi="Verdana"/>
          <w:bCs/>
          <w:sz w:val="20"/>
        </w:rPr>
        <w:t>.........................................................................................................................................................................</w:t>
      </w:r>
    </w:p>
    <w:p w:rsidR="00C22733" w:rsidRPr="00C22733" w:rsidRDefault="00C22733" w:rsidP="00C22733">
      <w:pPr>
        <w:jc w:val="both"/>
        <w:rPr>
          <w:rFonts w:ascii="Verdana" w:hAnsi="Verdana"/>
          <w:bCs/>
          <w:sz w:val="20"/>
        </w:rPr>
      </w:pPr>
      <w:r w:rsidRPr="00C22733">
        <w:rPr>
          <w:rFonts w:ascii="Verdana" w:hAnsi="Verdana"/>
          <w:bCs/>
          <w:sz w:val="20"/>
        </w:rPr>
        <w:t>42.        FGR. Fiscalía General de la República.</w:t>
      </w:r>
    </w:p>
    <w:p w:rsidR="00C22733" w:rsidRPr="00C22733" w:rsidRDefault="00C22733" w:rsidP="00C22733">
      <w:pPr>
        <w:jc w:val="both"/>
        <w:rPr>
          <w:rFonts w:ascii="Verdana" w:hAnsi="Verdana"/>
          <w:bCs/>
          <w:sz w:val="20"/>
        </w:rPr>
      </w:pPr>
      <w:r w:rsidRPr="00C22733">
        <w:rPr>
          <w:rFonts w:ascii="Verdana" w:hAnsi="Verdana"/>
          <w:bCs/>
          <w:sz w:val="20"/>
        </w:rPr>
        <w:t>.........................................................................................................................................................................</w:t>
      </w:r>
    </w:p>
    <w:p w:rsidR="00C22733" w:rsidRPr="00C22733" w:rsidRDefault="00C22733" w:rsidP="00C22733">
      <w:pPr>
        <w:jc w:val="both"/>
        <w:rPr>
          <w:rFonts w:ascii="Verdana" w:hAnsi="Verdana"/>
          <w:bCs/>
          <w:sz w:val="20"/>
        </w:rPr>
      </w:pPr>
      <w:r w:rsidRPr="00C22733">
        <w:rPr>
          <w:rFonts w:ascii="Verdana" w:hAnsi="Verdana"/>
          <w:bCs/>
          <w:sz w:val="20"/>
        </w:rPr>
        <w:t>Segundo. Se realizan las siguientes modificaciones, adiciones y derogación a la Resolución que establece las RGCE para 2018, publicada en el DOF el 18 de diciembre de 2017:</w:t>
      </w:r>
    </w:p>
    <w:p w:rsidR="00C22733" w:rsidRPr="00C22733" w:rsidRDefault="00C22733" w:rsidP="00C22733">
      <w:pPr>
        <w:jc w:val="both"/>
        <w:rPr>
          <w:rFonts w:ascii="Verdana" w:hAnsi="Verdana"/>
          <w:bCs/>
          <w:sz w:val="20"/>
        </w:rPr>
      </w:pPr>
      <w:r w:rsidRPr="00C22733">
        <w:rPr>
          <w:rFonts w:ascii="Verdana" w:hAnsi="Verdana"/>
          <w:bCs/>
          <w:sz w:val="20"/>
        </w:rPr>
        <w:t>A.        Se modifican las siguientes reglas:</w:t>
      </w:r>
    </w:p>
    <w:p w:rsidR="00C22733" w:rsidRPr="00C22733" w:rsidRDefault="00C22733" w:rsidP="00C22733">
      <w:pPr>
        <w:jc w:val="both"/>
        <w:rPr>
          <w:rFonts w:ascii="Verdana" w:hAnsi="Verdana"/>
          <w:bCs/>
          <w:sz w:val="20"/>
        </w:rPr>
      </w:pPr>
      <w:r w:rsidRPr="00C22733">
        <w:rPr>
          <w:rFonts w:ascii="Verdana" w:hAnsi="Verdana"/>
          <w:bCs/>
          <w:sz w:val="20"/>
        </w:rPr>
        <w:t>1.3.1., fracción XVI.</w:t>
      </w:r>
    </w:p>
    <w:p w:rsidR="00C22733" w:rsidRPr="00C22733" w:rsidRDefault="00C22733" w:rsidP="00C22733">
      <w:pPr>
        <w:jc w:val="both"/>
        <w:rPr>
          <w:rFonts w:ascii="Verdana" w:hAnsi="Verdana"/>
          <w:bCs/>
          <w:sz w:val="20"/>
        </w:rPr>
      </w:pPr>
      <w:r w:rsidRPr="00C22733">
        <w:rPr>
          <w:rFonts w:ascii="Verdana" w:hAnsi="Verdana"/>
          <w:bCs/>
          <w:sz w:val="20"/>
        </w:rPr>
        <w:t>1.4.14., primer párrafo; fracciones V, primer párrafo; VI, primer párrafo, y VII, primer párrafo.</w:t>
      </w:r>
    </w:p>
    <w:p w:rsidR="00C22733" w:rsidRPr="00C22733" w:rsidRDefault="00C22733" w:rsidP="00C22733">
      <w:pPr>
        <w:jc w:val="both"/>
        <w:rPr>
          <w:rFonts w:ascii="Verdana" w:hAnsi="Verdana"/>
          <w:bCs/>
          <w:sz w:val="20"/>
        </w:rPr>
      </w:pPr>
      <w:r w:rsidRPr="00C22733">
        <w:rPr>
          <w:rFonts w:ascii="Verdana" w:hAnsi="Verdana"/>
          <w:bCs/>
          <w:sz w:val="20"/>
        </w:rPr>
        <w:t>1.4.17., primer párrafo.</w:t>
      </w:r>
    </w:p>
    <w:p w:rsidR="00C22733" w:rsidRPr="00C22733" w:rsidRDefault="00C22733" w:rsidP="00C22733">
      <w:pPr>
        <w:jc w:val="both"/>
        <w:rPr>
          <w:rFonts w:ascii="Verdana" w:hAnsi="Verdana"/>
          <w:bCs/>
          <w:sz w:val="20"/>
        </w:rPr>
      </w:pPr>
      <w:r w:rsidRPr="00C22733">
        <w:rPr>
          <w:rFonts w:ascii="Verdana" w:hAnsi="Verdana"/>
          <w:bCs/>
          <w:sz w:val="20"/>
        </w:rPr>
        <w:lastRenderedPageBreak/>
        <w:t>1.5.4.</w:t>
      </w:r>
    </w:p>
    <w:p w:rsidR="00C22733" w:rsidRPr="00C22733" w:rsidRDefault="00C22733" w:rsidP="00C22733">
      <w:pPr>
        <w:jc w:val="both"/>
        <w:rPr>
          <w:rFonts w:ascii="Verdana" w:hAnsi="Verdana"/>
          <w:bCs/>
          <w:sz w:val="20"/>
        </w:rPr>
      </w:pPr>
      <w:r w:rsidRPr="00C22733">
        <w:rPr>
          <w:rFonts w:ascii="Verdana" w:hAnsi="Verdana"/>
          <w:bCs/>
          <w:sz w:val="20"/>
        </w:rPr>
        <w:t>3.1.3., primer y segundo párrafos.</w:t>
      </w:r>
    </w:p>
    <w:p w:rsidR="00C22733" w:rsidRPr="00C22733" w:rsidRDefault="00C22733" w:rsidP="00C22733">
      <w:pPr>
        <w:jc w:val="both"/>
        <w:rPr>
          <w:rFonts w:ascii="Verdana" w:hAnsi="Verdana"/>
          <w:bCs/>
          <w:sz w:val="20"/>
        </w:rPr>
      </w:pPr>
      <w:r w:rsidRPr="00C22733">
        <w:rPr>
          <w:rFonts w:ascii="Verdana" w:hAnsi="Verdana"/>
          <w:bCs/>
          <w:sz w:val="20"/>
        </w:rPr>
        <w:t>3.1.27., segundo párrafo.</w:t>
      </w:r>
    </w:p>
    <w:p w:rsidR="00C22733" w:rsidRPr="00C22733" w:rsidRDefault="00C22733" w:rsidP="00C22733">
      <w:pPr>
        <w:jc w:val="both"/>
        <w:rPr>
          <w:rFonts w:ascii="Verdana" w:hAnsi="Verdana"/>
          <w:bCs/>
          <w:sz w:val="20"/>
        </w:rPr>
      </w:pPr>
      <w:r w:rsidRPr="00C22733">
        <w:rPr>
          <w:rFonts w:ascii="Verdana" w:hAnsi="Verdana"/>
          <w:bCs/>
          <w:sz w:val="20"/>
        </w:rPr>
        <w:t>4.3.21., primer párrafo.</w:t>
      </w:r>
    </w:p>
    <w:p w:rsidR="00C22733" w:rsidRPr="00C22733" w:rsidRDefault="00C22733" w:rsidP="00C22733">
      <w:pPr>
        <w:jc w:val="both"/>
        <w:rPr>
          <w:rFonts w:ascii="Verdana" w:hAnsi="Verdana"/>
          <w:bCs/>
          <w:sz w:val="20"/>
        </w:rPr>
      </w:pPr>
      <w:r w:rsidRPr="00C22733">
        <w:rPr>
          <w:rFonts w:ascii="Verdana" w:hAnsi="Verdana"/>
          <w:bCs/>
          <w:sz w:val="20"/>
        </w:rPr>
        <w:t>4.4.7., primer párrafo.</w:t>
      </w:r>
    </w:p>
    <w:p w:rsidR="00C22733" w:rsidRPr="00C22733" w:rsidRDefault="00C22733" w:rsidP="00C22733">
      <w:pPr>
        <w:jc w:val="both"/>
        <w:rPr>
          <w:rFonts w:ascii="Verdana" w:hAnsi="Verdana"/>
          <w:bCs/>
          <w:sz w:val="20"/>
        </w:rPr>
      </w:pPr>
      <w:r w:rsidRPr="00C22733">
        <w:rPr>
          <w:rFonts w:ascii="Verdana" w:hAnsi="Verdana"/>
          <w:bCs/>
          <w:sz w:val="20"/>
        </w:rPr>
        <w:t>4.5.31., fracciones III, segundo y tercer párrafos.</w:t>
      </w:r>
    </w:p>
    <w:p w:rsidR="00C22733" w:rsidRPr="00C22733" w:rsidRDefault="00C22733" w:rsidP="00C22733">
      <w:pPr>
        <w:jc w:val="both"/>
        <w:rPr>
          <w:rFonts w:ascii="Verdana" w:hAnsi="Verdana"/>
          <w:bCs/>
          <w:sz w:val="20"/>
        </w:rPr>
      </w:pPr>
      <w:r w:rsidRPr="00C22733">
        <w:rPr>
          <w:rFonts w:ascii="Verdana" w:hAnsi="Verdana"/>
          <w:bCs/>
          <w:sz w:val="20"/>
        </w:rPr>
        <w:t>B.        Se adicionan las siguientes reglas:</w:t>
      </w:r>
    </w:p>
    <w:p w:rsidR="00C22733" w:rsidRPr="00C22733" w:rsidRDefault="00C22733" w:rsidP="00C22733">
      <w:pPr>
        <w:jc w:val="both"/>
        <w:rPr>
          <w:rFonts w:ascii="Verdana" w:hAnsi="Verdana"/>
          <w:bCs/>
          <w:sz w:val="20"/>
        </w:rPr>
      </w:pPr>
      <w:r w:rsidRPr="00C22733">
        <w:rPr>
          <w:rFonts w:ascii="Verdana" w:hAnsi="Verdana"/>
          <w:bCs/>
          <w:sz w:val="20"/>
        </w:rPr>
        <w:t>1.3.3., con las fracciones XLIII y XLIV.</w:t>
      </w:r>
    </w:p>
    <w:p w:rsidR="00C22733" w:rsidRPr="00C22733" w:rsidRDefault="00C22733" w:rsidP="00C22733">
      <w:pPr>
        <w:jc w:val="both"/>
        <w:rPr>
          <w:rFonts w:ascii="Verdana" w:hAnsi="Verdana"/>
          <w:bCs/>
          <w:sz w:val="20"/>
        </w:rPr>
      </w:pPr>
      <w:r w:rsidRPr="00C22733">
        <w:rPr>
          <w:rFonts w:ascii="Verdana" w:hAnsi="Verdana"/>
          <w:bCs/>
          <w:sz w:val="20"/>
        </w:rPr>
        <w:t>3.1.22., con un cuarto párrafo, pasando el actual cuarto párrafo a ser quinto párrafo.</w:t>
      </w:r>
    </w:p>
    <w:p w:rsidR="00C22733" w:rsidRPr="00C22733" w:rsidRDefault="00C22733" w:rsidP="00C22733">
      <w:pPr>
        <w:jc w:val="both"/>
        <w:rPr>
          <w:rFonts w:ascii="Verdana" w:hAnsi="Verdana"/>
          <w:bCs/>
          <w:sz w:val="20"/>
        </w:rPr>
      </w:pPr>
      <w:r w:rsidRPr="00C22733">
        <w:rPr>
          <w:rFonts w:ascii="Verdana" w:hAnsi="Verdana"/>
          <w:bCs/>
          <w:sz w:val="20"/>
        </w:rPr>
        <w:t>C.        Se deroga la siguiente regla:</w:t>
      </w:r>
    </w:p>
    <w:p w:rsidR="00C22733" w:rsidRPr="00C22733" w:rsidRDefault="00C22733" w:rsidP="00C22733">
      <w:pPr>
        <w:jc w:val="both"/>
        <w:rPr>
          <w:rFonts w:ascii="Verdana" w:hAnsi="Verdana"/>
          <w:bCs/>
          <w:sz w:val="20"/>
        </w:rPr>
      </w:pPr>
      <w:r w:rsidRPr="00C22733">
        <w:rPr>
          <w:rFonts w:ascii="Verdana" w:hAnsi="Verdana"/>
          <w:bCs/>
          <w:sz w:val="20"/>
        </w:rPr>
        <w:t>1.4.1.</w:t>
      </w:r>
    </w:p>
    <w:p w:rsidR="00C22733" w:rsidRPr="00C22733" w:rsidRDefault="00C22733" w:rsidP="00C22733">
      <w:pPr>
        <w:jc w:val="both"/>
        <w:rPr>
          <w:rFonts w:ascii="Verdana" w:hAnsi="Verdana"/>
          <w:bCs/>
          <w:sz w:val="20"/>
        </w:rPr>
      </w:pPr>
      <w:r w:rsidRPr="00C22733">
        <w:rPr>
          <w:rFonts w:ascii="Verdana" w:hAnsi="Verdana"/>
          <w:bCs/>
          <w:sz w:val="20"/>
        </w:rPr>
        <w:t>Las modificaciones, adiciones y derogación anteriores quedan como sigue:</w:t>
      </w:r>
    </w:p>
    <w:p w:rsidR="00C22733" w:rsidRPr="00C22733" w:rsidRDefault="00C22733" w:rsidP="00C22733">
      <w:pPr>
        <w:jc w:val="both"/>
        <w:rPr>
          <w:rFonts w:ascii="Verdana" w:hAnsi="Verdana"/>
          <w:bCs/>
          <w:sz w:val="20"/>
        </w:rPr>
      </w:pPr>
      <w:r w:rsidRPr="00C22733">
        <w:rPr>
          <w:rFonts w:ascii="Verdana" w:hAnsi="Verdana"/>
          <w:bCs/>
          <w:sz w:val="20"/>
        </w:rPr>
        <w:t>       Importación de mercancías exentas de inscripción en los padrones a que se refiere el artículo 59 de la Ley (Anexos 7 y 8)</w:t>
      </w:r>
    </w:p>
    <w:p w:rsidR="00C22733" w:rsidRPr="00C22733" w:rsidRDefault="00C22733" w:rsidP="00C22733">
      <w:pPr>
        <w:jc w:val="both"/>
        <w:rPr>
          <w:rFonts w:ascii="Verdana" w:hAnsi="Verdana"/>
          <w:bCs/>
          <w:sz w:val="20"/>
        </w:rPr>
      </w:pPr>
      <w:r w:rsidRPr="00C22733">
        <w:rPr>
          <w:rFonts w:ascii="Verdana" w:hAnsi="Verdana"/>
          <w:bCs/>
          <w:sz w:val="20"/>
        </w:rPr>
        <w:t>1.3.1.                </w:t>
      </w:r>
    </w:p>
    <w:p w:rsidR="00C22733" w:rsidRPr="00C22733" w:rsidRDefault="00C22733" w:rsidP="00C22733">
      <w:pPr>
        <w:jc w:val="both"/>
        <w:rPr>
          <w:rFonts w:ascii="Verdana" w:hAnsi="Verdana"/>
          <w:bCs/>
          <w:sz w:val="20"/>
        </w:rPr>
      </w:pPr>
      <w:r w:rsidRPr="00C22733">
        <w:rPr>
          <w:rFonts w:ascii="Verdana" w:hAnsi="Verdana"/>
          <w:bCs/>
          <w:sz w:val="20"/>
        </w:rPr>
        <w:t>XVI.        Las importadas por el Ejército, la Fuerza Aérea, la Armada de México, cuerpos o asociaciones de bomberos, la SEGOB y de los Estados, autoridades federales, estatales o municipales y sus órganos desconcentrados, FGR, PGJE, SAT o AGA, para su uso exclusivo en el ejercicio de sus funciones, con el objeto de destinarlas a finalidades de seguridad y defensa nacional, así como seguridad pública, según corresponda.</w:t>
      </w:r>
    </w:p>
    <w:p w:rsidR="00C22733" w:rsidRPr="00C22733" w:rsidRDefault="00C22733" w:rsidP="00C22733">
      <w:pPr>
        <w:jc w:val="both"/>
        <w:rPr>
          <w:rFonts w:ascii="Verdana" w:hAnsi="Verdana"/>
          <w:bCs/>
          <w:sz w:val="20"/>
        </w:rPr>
      </w:pPr>
      <w:r w:rsidRPr="00C22733">
        <w:rPr>
          <w:rFonts w:ascii="Verdana" w:hAnsi="Verdana"/>
          <w:bCs/>
          <w:sz w:val="20"/>
        </w:rPr>
        <w:t>               </w:t>
      </w:r>
    </w:p>
    <w:p w:rsidR="00C22733" w:rsidRPr="00C22733" w:rsidRDefault="00C22733" w:rsidP="00C22733">
      <w:pPr>
        <w:jc w:val="both"/>
        <w:rPr>
          <w:rFonts w:ascii="Verdana" w:hAnsi="Verdana"/>
          <w:bCs/>
          <w:sz w:val="20"/>
        </w:rPr>
      </w:pPr>
      <w:r w:rsidRPr="00C22733">
        <w:rPr>
          <w:rFonts w:ascii="Verdana" w:hAnsi="Verdana"/>
          <w:bCs/>
          <w:sz w:val="20"/>
        </w:rPr>
        <w:t>       Ley 59-IV, 61-I, IX, XI, XV, XVI, XVII, 62-I, 90, 103, 104, 106, 116, 117, 121-I, Ley General de Organizaciones y Actividades Auxiliares del Crédito 22, Reglamento 82, 88-I, 89, 90, RGCE 3.2.2., 3.5.2., Anexo 7, 8, 9, 10</w:t>
      </w:r>
    </w:p>
    <w:p w:rsidR="00C22733" w:rsidRPr="00C22733" w:rsidRDefault="00C22733" w:rsidP="00C22733">
      <w:pPr>
        <w:jc w:val="both"/>
        <w:rPr>
          <w:rFonts w:ascii="Verdana" w:hAnsi="Verdana"/>
          <w:bCs/>
          <w:sz w:val="20"/>
        </w:rPr>
      </w:pPr>
      <w:r w:rsidRPr="00C22733">
        <w:rPr>
          <w:rFonts w:ascii="Verdana" w:hAnsi="Verdana"/>
          <w:bCs/>
          <w:sz w:val="20"/>
        </w:rPr>
        <w:t>       Causales de suspensión en los padrones</w:t>
      </w:r>
    </w:p>
    <w:p w:rsidR="00C22733" w:rsidRPr="00C22733" w:rsidRDefault="00C22733" w:rsidP="00C22733">
      <w:pPr>
        <w:jc w:val="both"/>
        <w:rPr>
          <w:rFonts w:ascii="Verdana" w:hAnsi="Verdana"/>
          <w:bCs/>
          <w:sz w:val="20"/>
        </w:rPr>
      </w:pPr>
      <w:r w:rsidRPr="00C22733">
        <w:rPr>
          <w:rFonts w:ascii="Verdana" w:hAnsi="Verdana"/>
          <w:bCs/>
          <w:sz w:val="20"/>
        </w:rPr>
        <w:t>1.3.3.                </w:t>
      </w:r>
    </w:p>
    <w:p w:rsidR="00C22733" w:rsidRPr="00C22733" w:rsidRDefault="00C22733" w:rsidP="00C22733">
      <w:pPr>
        <w:jc w:val="both"/>
        <w:rPr>
          <w:rFonts w:ascii="Verdana" w:hAnsi="Verdana"/>
          <w:bCs/>
          <w:sz w:val="20"/>
        </w:rPr>
      </w:pPr>
      <w:r w:rsidRPr="00C22733">
        <w:rPr>
          <w:rFonts w:ascii="Verdana" w:hAnsi="Verdana"/>
          <w:bCs/>
          <w:sz w:val="20"/>
        </w:rPr>
        <w:t xml:space="preserve">XLIII.        Las empresas con Programa IMMEX, respecto de las mercancías clasificadas en las fracciones arancelarias señaladas en el Anexo 10, Apartado A, Sectores 10 "Calzado", 11 "Textil y Confección", 14 "Siderúrgico" y 15 "Productos Siderúrgicos", así como del Apartado B, Sectores 8 "Minerales de Hierro y sus concentrados", 9 "Oro, plata y cobre", 14 "Hierro y Acero" y 15 "Aluminio", realicen operaciones de comercio </w:t>
      </w:r>
      <w:r w:rsidRPr="00C22733">
        <w:rPr>
          <w:rFonts w:ascii="Verdana" w:hAnsi="Verdana"/>
          <w:bCs/>
          <w:sz w:val="20"/>
        </w:rPr>
        <w:lastRenderedPageBreak/>
        <w:t>exterior mediante pedimentos consolidados, en contravención o sin cumplir con lo señalado en la regla 3.1.22., cuarto párrafo.</w:t>
      </w:r>
    </w:p>
    <w:p w:rsidR="00C22733" w:rsidRPr="00C22733" w:rsidRDefault="00C22733" w:rsidP="00C22733">
      <w:pPr>
        <w:jc w:val="both"/>
        <w:rPr>
          <w:rFonts w:ascii="Verdana" w:hAnsi="Verdana"/>
          <w:bCs/>
          <w:sz w:val="20"/>
        </w:rPr>
      </w:pPr>
      <w:r w:rsidRPr="00C22733">
        <w:rPr>
          <w:rFonts w:ascii="Verdana" w:hAnsi="Verdana"/>
          <w:bCs/>
          <w:sz w:val="20"/>
        </w:rPr>
        <w:t>XLIV.        El importador no retire la mercancía introducida al régimen de depósito fiscal, en el plazo de permanencia previsto en el artículo 119-A, segundo párrafo de la Ley.</w:t>
      </w:r>
    </w:p>
    <w:p w:rsidR="00C22733" w:rsidRPr="00C22733" w:rsidRDefault="00C22733" w:rsidP="00C22733">
      <w:pPr>
        <w:jc w:val="both"/>
        <w:rPr>
          <w:rFonts w:ascii="Verdana" w:hAnsi="Verdana"/>
          <w:bCs/>
          <w:sz w:val="20"/>
        </w:rPr>
      </w:pPr>
      <w:r w:rsidRPr="00C22733">
        <w:rPr>
          <w:rFonts w:ascii="Verdana" w:hAnsi="Verdana"/>
          <w:bCs/>
          <w:sz w:val="20"/>
        </w:rPr>
        <w:t>               </w:t>
      </w:r>
    </w:p>
    <w:p w:rsidR="00C22733" w:rsidRPr="00C22733" w:rsidRDefault="00C22733" w:rsidP="00C22733">
      <w:pPr>
        <w:jc w:val="both"/>
        <w:rPr>
          <w:rFonts w:ascii="Verdana" w:hAnsi="Verdana"/>
          <w:bCs/>
          <w:sz w:val="20"/>
        </w:rPr>
      </w:pPr>
      <w:r w:rsidRPr="00C22733">
        <w:rPr>
          <w:rFonts w:ascii="Verdana" w:hAnsi="Verdana"/>
          <w:bCs/>
          <w:sz w:val="20"/>
        </w:rPr>
        <w:t>       Ley 36-A, 37-A, 59-IV, 59-A, 86-A, 119, 119-A, 158-I, 176, 177, 179, 182-II, LFPIORPI 17-XVI, CPF 193, CFF 27, 42, 134, Decreto de vehículos usados 9, Decreto IMMEX 7, 24-VI, 27, TIGIE Capítulos 50 al 64, Reglamento 39, 84, 87, 177, RGCE 1.2.1., 1.2.2., 1.3.2., 1.3.4., 1.3.7., 2.4.3., 3.1.17., 3.1.22., 7.1.2., 7.1.3., 7.2.1., 7.4.1., 7.4.3., Anexo 1, 1-A, 10, Anexo 11 de la RMF</w:t>
      </w:r>
    </w:p>
    <w:p w:rsidR="00C22733" w:rsidRPr="00C22733" w:rsidRDefault="00C22733" w:rsidP="00C22733">
      <w:pPr>
        <w:jc w:val="both"/>
        <w:rPr>
          <w:rFonts w:ascii="Verdana" w:hAnsi="Verdana"/>
          <w:bCs/>
          <w:sz w:val="20"/>
        </w:rPr>
      </w:pPr>
      <w:r w:rsidRPr="00C22733">
        <w:rPr>
          <w:rFonts w:ascii="Verdana" w:hAnsi="Verdana"/>
          <w:bCs/>
          <w:sz w:val="20"/>
        </w:rPr>
        <w:t>       Autorizaciones para los agentes aduanales</w:t>
      </w:r>
    </w:p>
    <w:p w:rsidR="00C22733" w:rsidRPr="00C22733" w:rsidRDefault="00C22733" w:rsidP="00C22733">
      <w:pPr>
        <w:jc w:val="both"/>
        <w:rPr>
          <w:rFonts w:ascii="Verdana" w:hAnsi="Verdana"/>
          <w:bCs/>
          <w:sz w:val="20"/>
        </w:rPr>
      </w:pPr>
      <w:r w:rsidRPr="00C22733">
        <w:rPr>
          <w:rFonts w:ascii="Verdana" w:hAnsi="Verdana"/>
          <w:bCs/>
          <w:sz w:val="20"/>
        </w:rPr>
        <w:t>1.4.1.        Se deroga.</w:t>
      </w:r>
    </w:p>
    <w:p w:rsidR="00C22733" w:rsidRPr="00C22733" w:rsidRDefault="00C22733" w:rsidP="00C22733">
      <w:pPr>
        <w:jc w:val="both"/>
        <w:rPr>
          <w:rFonts w:ascii="Verdana" w:hAnsi="Verdana"/>
          <w:bCs/>
          <w:sz w:val="20"/>
        </w:rPr>
      </w:pPr>
      <w:r w:rsidRPr="00C22733">
        <w:rPr>
          <w:rFonts w:ascii="Verdana" w:hAnsi="Verdana"/>
          <w:bCs/>
          <w:sz w:val="20"/>
        </w:rPr>
        <w:t>       Autorización para modificar la designación, ratificación y publicación de patente de agente aduanal por sustitución</w:t>
      </w:r>
    </w:p>
    <w:p w:rsidR="00C22733" w:rsidRPr="00C22733" w:rsidRDefault="00C22733" w:rsidP="00C22733">
      <w:pPr>
        <w:jc w:val="both"/>
        <w:rPr>
          <w:rFonts w:ascii="Verdana" w:hAnsi="Verdana"/>
          <w:bCs/>
          <w:sz w:val="20"/>
        </w:rPr>
      </w:pPr>
      <w:r w:rsidRPr="00C22733">
        <w:rPr>
          <w:rFonts w:ascii="Verdana" w:hAnsi="Verdana"/>
          <w:bCs/>
          <w:sz w:val="20"/>
        </w:rPr>
        <w:t>1.4.14.        En términos del artículo cuarto transitorio del "Decreto por el que se reforman, adicionan y derogan diversas disposiciones de la Ley Aduanera", publicado en el DOF el 9 de diciembre de 2013, y lo establecido en los Resolutivos, Quinto de la Tercera Resolución de Modificaciones a las Reglas de Carácter General en Materia de Comercio Exterior para 2013, publicada en el DOF el 9 de diciembre de 2013 y sus posteriores modificaciones, Décimo cuarto de las Reglas de Carácter General en Materia de Comercio Exterior para 2014, publicadas en el DOF el 29 de agosto de 2014, Décimo segundo de las Reglas Generales de Comercio Exterior para 2015, publicadas en el DOF el 7 de abril de 2015 y sus posteriores modificaciones, Décimo segundo de las Reglas Generales de Comercio Exterior para 2016, publicadas en el DOF el 27 de enero de 2016 y sus posteriores modificaciones y Décimo primero de las Reglas Generales de Comercio Exterior para 2017, publicadas en el DOF el 27 de enero de 2017 y sus posteriores modificaciones; los agentes aduanales que obtuvieron su patente de agente aduanal conforme al Título Séptimo, Sección Primera, de la Ley Aduanera vigente hasta el 9 de diciembre de 2013, y que con anterioridad a su entrada en vigor, hubieran designado un agente aduanal por sustitución, podrán concluir el proceso de sustitución a más tardar el 30 de junio del 2019, con la finalidad de que la ACAJA les emita el "Acuerdo de otorgamiento de patente de agente aduanal por sustitución", a más tardar el 30 de septiembre del 2019, conforme a lo siguiente:</w:t>
      </w:r>
    </w:p>
    <w:p w:rsidR="00C22733" w:rsidRPr="00C22733" w:rsidRDefault="00C22733" w:rsidP="00C22733">
      <w:pPr>
        <w:jc w:val="both"/>
        <w:rPr>
          <w:rFonts w:ascii="Verdana" w:hAnsi="Verdana"/>
          <w:bCs/>
          <w:sz w:val="20"/>
        </w:rPr>
      </w:pPr>
      <w:r w:rsidRPr="00C22733">
        <w:rPr>
          <w:rFonts w:ascii="Verdana" w:hAnsi="Verdana"/>
          <w:bCs/>
          <w:sz w:val="20"/>
        </w:rPr>
        <w:t>               </w:t>
      </w:r>
    </w:p>
    <w:p w:rsidR="00C22733" w:rsidRPr="00C22733" w:rsidRDefault="00C22733" w:rsidP="00C22733">
      <w:pPr>
        <w:jc w:val="both"/>
        <w:rPr>
          <w:rFonts w:ascii="Verdana" w:hAnsi="Verdana"/>
          <w:bCs/>
          <w:sz w:val="20"/>
        </w:rPr>
      </w:pPr>
      <w:r w:rsidRPr="00C22733">
        <w:rPr>
          <w:rFonts w:ascii="Verdana" w:hAnsi="Verdana"/>
          <w:bCs/>
          <w:sz w:val="20"/>
        </w:rPr>
        <w:t>V.        El agente aduanal a sustituir deberá solicitar su retiro voluntario cumpliendo con lo previsto en la ficha de trámite 18/LA, a más tardar el 30 de abril del 2019.</w:t>
      </w:r>
    </w:p>
    <w:p w:rsidR="00C22733" w:rsidRPr="00C22733" w:rsidRDefault="00C22733" w:rsidP="00C22733">
      <w:pPr>
        <w:jc w:val="both"/>
        <w:rPr>
          <w:rFonts w:ascii="Verdana" w:hAnsi="Verdana"/>
          <w:bCs/>
          <w:sz w:val="20"/>
        </w:rPr>
      </w:pPr>
      <w:r w:rsidRPr="00C22733">
        <w:rPr>
          <w:rFonts w:ascii="Verdana" w:hAnsi="Verdana"/>
          <w:bCs/>
          <w:sz w:val="20"/>
        </w:rPr>
        <w:t>               </w:t>
      </w:r>
    </w:p>
    <w:p w:rsidR="00C22733" w:rsidRPr="00C22733" w:rsidRDefault="00C22733" w:rsidP="00C22733">
      <w:pPr>
        <w:jc w:val="both"/>
        <w:rPr>
          <w:rFonts w:ascii="Verdana" w:hAnsi="Verdana"/>
          <w:bCs/>
          <w:sz w:val="20"/>
        </w:rPr>
      </w:pPr>
      <w:r w:rsidRPr="00C22733">
        <w:rPr>
          <w:rFonts w:ascii="Verdana" w:hAnsi="Verdana"/>
          <w:bCs/>
          <w:sz w:val="20"/>
        </w:rPr>
        <w:lastRenderedPageBreak/>
        <w:t>VI.        El agente aduanal deberá ratificar su retiro voluntario ante la ACAJA, mediante acta que al efecto se levante, a más tardar el 30 de junio del 2019, presentando la documentación a que se refiere el Apartado de "Requisitos" de la ficha de trámite 18/LA. La ACAJA notificará la fecha, lugar y hora en la que se llevará a cabo. Tratándose de fallecimiento o incapacidad permanente, sólo se deberá presentar la documentación a que se refiere el Apartado de "Requisitos" de la ficha de trámite 18/LA. Una vez ratificado el retiro voluntario del agente aduanal, la ACAJA emitirá y notificará el "Acuerdo de retiro voluntario".</w:t>
      </w:r>
    </w:p>
    <w:p w:rsidR="00C22733" w:rsidRPr="00C22733" w:rsidRDefault="00C22733" w:rsidP="00C22733">
      <w:pPr>
        <w:jc w:val="both"/>
        <w:rPr>
          <w:rFonts w:ascii="Verdana" w:hAnsi="Verdana"/>
          <w:bCs/>
          <w:sz w:val="20"/>
        </w:rPr>
      </w:pPr>
      <w:r w:rsidRPr="00C22733">
        <w:rPr>
          <w:rFonts w:ascii="Verdana" w:hAnsi="Verdana"/>
          <w:bCs/>
          <w:sz w:val="20"/>
        </w:rPr>
        <w:t>               </w:t>
      </w:r>
    </w:p>
    <w:p w:rsidR="00C22733" w:rsidRPr="00C22733" w:rsidRDefault="00C22733" w:rsidP="00C22733">
      <w:pPr>
        <w:jc w:val="both"/>
        <w:rPr>
          <w:rFonts w:ascii="Verdana" w:hAnsi="Verdana"/>
          <w:bCs/>
          <w:sz w:val="20"/>
        </w:rPr>
      </w:pPr>
      <w:r w:rsidRPr="00C22733">
        <w:rPr>
          <w:rFonts w:ascii="Verdana" w:hAnsi="Verdana"/>
          <w:bCs/>
          <w:sz w:val="20"/>
        </w:rPr>
        <w:t>VII.        Una vez notificado el retiro voluntario del agente aduanal, el aspirante a agente aduanal por sustitución designado por el agente aduanal que se retira, contará con un plazo de 20 días para solicitar mediante escrito libre, cumpliendo con la ficha de trámite 19/LA, la expedición de la patente, a través del "Acuerdo de otorgamiento de patente de agente aduanal por sustitución", que deberá emitir y notificar la ACAJA de manera personal al agente aduanal que obtiene su patente por sustitución.</w:t>
      </w:r>
    </w:p>
    <w:p w:rsidR="00C22733" w:rsidRPr="00C22733" w:rsidRDefault="00C22733" w:rsidP="00C22733">
      <w:pPr>
        <w:jc w:val="both"/>
        <w:rPr>
          <w:rFonts w:ascii="Verdana" w:hAnsi="Verdana"/>
          <w:bCs/>
          <w:sz w:val="20"/>
        </w:rPr>
      </w:pPr>
      <w:r w:rsidRPr="00C22733">
        <w:rPr>
          <w:rFonts w:ascii="Verdana" w:hAnsi="Verdana"/>
          <w:bCs/>
          <w:sz w:val="20"/>
        </w:rPr>
        <w:t>               </w:t>
      </w:r>
    </w:p>
    <w:p w:rsidR="00C22733" w:rsidRPr="00C22733" w:rsidRDefault="00C22733" w:rsidP="00C22733">
      <w:pPr>
        <w:jc w:val="both"/>
        <w:rPr>
          <w:rFonts w:ascii="Verdana" w:hAnsi="Verdana"/>
          <w:bCs/>
          <w:sz w:val="20"/>
        </w:rPr>
      </w:pPr>
      <w:r w:rsidRPr="00C22733">
        <w:rPr>
          <w:rFonts w:ascii="Verdana" w:hAnsi="Verdana"/>
          <w:bCs/>
          <w:sz w:val="20"/>
        </w:rPr>
        <w:t>               </w:t>
      </w:r>
    </w:p>
    <w:p w:rsidR="00C22733" w:rsidRPr="00C22733" w:rsidRDefault="00C22733" w:rsidP="00C22733">
      <w:pPr>
        <w:jc w:val="both"/>
        <w:rPr>
          <w:rFonts w:ascii="Verdana" w:hAnsi="Verdana"/>
          <w:bCs/>
          <w:sz w:val="20"/>
        </w:rPr>
      </w:pPr>
      <w:r w:rsidRPr="00C22733">
        <w:rPr>
          <w:rFonts w:ascii="Verdana" w:hAnsi="Verdana"/>
          <w:bCs/>
          <w:sz w:val="20"/>
        </w:rPr>
        <w:t>       RGCE 1.2.2., Anexo 1-A</w:t>
      </w:r>
    </w:p>
    <w:p w:rsidR="00C22733" w:rsidRPr="00C22733" w:rsidRDefault="00C22733" w:rsidP="00C22733">
      <w:pPr>
        <w:jc w:val="both"/>
        <w:rPr>
          <w:rFonts w:ascii="Verdana" w:hAnsi="Verdana"/>
          <w:bCs/>
          <w:sz w:val="20"/>
        </w:rPr>
      </w:pPr>
      <w:r w:rsidRPr="00C22733">
        <w:rPr>
          <w:rFonts w:ascii="Verdana" w:hAnsi="Verdana"/>
          <w:bCs/>
          <w:sz w:val="20"/>
        </w:rPr>
        <w:t>       Otorgamiento de patente de agente aduanal por sustitución</w:t>
      </w:r>
    </w:p>
    <w:p w:rsidR="00C22733" w:rsidRPr="00C22733" w:rsidRDefault="00C22733" w:rsidP="00C22733">
      <w:pPr>
        <w:jc w:val="both"/>
        <w:rPr>
          <w:rFonts w:ascii="Verdana" w:hAnsi="Verdana"/>
          <w:bCs/>
          <w:sz w:val="20"/>
        </w:rPr>
      </w:pPr>
      <w:r w:rsidRPr="00C22733">
        <w:rPr>
          <w:rFonts w:ascii="Verdana" w:hAnsi="Verdana"/>
          <w:bCs/>
          <w:sz w:val="20"/>
        </w:rPr>
        <w:t>1.4.17.        Para efectos de la regla 1.4.14., una vez cumplidos los trámites y requisitos a que se refieren las fracciones I, II y III de la citada regla, los agentes aduanales que cuenten con el oficio emitido por la ACAJA, en el que se reconozca que se han concluido los trámites para la designación de aspirante a agente aduanal por sustitución y que el aspirante ha cumplido con los requisitos exigidos para ser reconocido como tal; podrán presentar escrito libre ante la ACAJA, a más tardar el 30 de junio del 2019, confirmando la notificación del citado oficio e informando su renuncia expresa a continuar con el trámite previsto en la regla 1.4.14., sin que por lo tanto presenten las fichas de trámite de retiro voluntario y su ratificación, a que se refieren las fracciones V y VI de la regla 1.4.14.</w:t>
      </w:r>
    </w:p>
    <w:p w:rsidR="00C22733" w:rsidRPr="00C22733" w:rsidRDefault="00C22733" w:rsidP="00C22733">
      <w:pPr>
        <w:jc w:val="both"/>
        <w:rPr>
          <w:rFonts w:ascii="Verdana" w:hAnsi="Verdana"/>
          <w:bCs/>
          <w:sz w:val="20"/>
        </w:rPr>
      </w:pPr>
      <w:r w:rsidRPr="00C22733">
        <w:rPr>
          <w:rFonts w:ascii="Verdana" w:hAnsi="Verdana"/>
          <w:bCs/>
          <w:sz w:val="20"/>
        </w:rPr>
        <w:t>               </w:t>
      </w:r>
    </w:p>
    <w:p w:rsidR="00C22733" w:rsidRPr="00C22733" w:rsidRDefault="00C22733" w:rsidP="00C22733">
      <w:pPr>
        <w:jc w:val="both"/>
        <w:rPr>
          <w:rFonts w:ascii="Verdana" w:hAnsi="Verdana"/>
          <w:bCs/>
          <w:sz w:val="20"/>
        </w:rPr>
      </w:pPr>
      <w:r w:rsidRPr="00C22733">
        <w:rPr>
          <w:rFonts w:ascii="Verdana" w:hAnsi="Verdana"/>
          <w:bCs/>
          <w:sz w:val="20"/>
        </w:rPr>
        <w:t>       Ley 167-E, 167-K, RGCE 1.4.14.</w:t>
      </w:r>
    </w:p>
    <w:p w:rsidR="00C22733" w:rsidRPr="00C22733" w:rsidRDefault="00C22733" w:rsidP="00C22733">
      <w:pPr>
        <w:jc w:val="both"/>
        <w:rPr>
          <w:rFonts w:ascii="Verdana" w:hAnsi="Verdana"/>
          <w:bCs/>
          <w:sz w:val="20"/>
        </w:rPr>
      </w:pPr>
      <w:r w:rsidRPr="00C22733">
        <w:rPr>
          <w:rFonts w:ascii="Verdana" w:hAnsi="Verdana"/>
          <w:bCs/>
          <w:sz w:val="20"/>
        </w:rPr>
        <w:t>       Exigibilidad del artículo 81 del Reglamento</w:t>
      </w:r>
    </w:p>
    <w:p w:rsidR="00C22733" w:rsidRPr="00C22733" w:rsidRDefault="00C22733" w:rsidP="00C22733">
      <w:pPr>
        <w:jc w:val="both"/>
        <w:rPr>
          <w:rFonts w:ascii="Verdana" w:hAnsi="Verdana"/>
          <w:bCs/>
          <w:sz w:val="20"/>
        </w:rPr>
      </w:pPr>
      <w:r w:rsidRPr="00C22733">
        <w:rPr>
          <w:rFonts w:ascii="Verdana" w:hAnsi="Verdana"/>
          <w:bCs/>
          <w:sz w:val="20"/>
        </w:rPr>
        <w:t>1.5.4.        Los elementos que el importador debe proporcionar anexos a la manifestación de valor, de conformidad con el artículo 81 del Reglamento, serán exigibles a partir del 1 de julio de 2019.</w:t>
      </w:r>
    </w:p>
    <w:p w:rsidR="00C22733" w:rsidRPr="00C22733" w:rsidRDefault="00C22733" w:rsidP="00C22733">
      <w:pPr>
        <w:jc w:val="both"/>
        <w:rPr>
          <w:rFonts w:ascii="Verdana" w:hAnsi="Verdana"/>
          <w:bCs/>
          <w:sz w:val="20"/>
        </w:rPr>
      </w:pPr>
      <w:r w:rsidRPr="00C22733">
        <w:rPr>
          <w:rFonts w:ascii="Verdana" w:hAnsi="Verdana"/>
          <w:bCs/>
          <w:sz w:val="20"/>
        </w:rPr>
        <w:t>       Ley 59, Reglamento 81</w:t>
      </w:r>
    </w:p>
    <w:p w:rsidR="00C22733" w:rsidRPr="00C22733" w:rsidRDefault="00C22733" w:rsidP="00C22733">
      <w:pPr>
        <w:jc w:val="both"/>
        <w:rPr>
          <w:rFonts w:ascii="Verdana" w:hAnsi="Verdana"/>
          <w:bCs/>
          <w:sz w:val="20"/>
        </w:rPr>
      </w:pPr>
      <w:r w:rsidRPr="00C22733">
        <w:rPr>
          <w:rFonts w:ascii="Verdana" w:hAnsi="Verdana"/>
          <w:bCs/>
          <w:sz w:val="20"/>
        </w:rPr>
        <w:lastRenderedPageBreak/>
        <w:t>       Solicitud y renovación de registro de toma de muestras de mercancías peligrosas (Anexo 23)</w:t>
      </w:r>
    </w:p>
    <w:p w:rsidR="00C22733" w:rsidRPr="00C22733" w:rsidRDefault="00C22733" w:rsidP="00C22733">
      <w:pPr>
        <w:jc w:val="both"/>
        <w:rPr>
          <w:rFonts w:ascii="Verdana" w:hAnsi="Verdana"/>
          <w:bCs/>
          <w:sz w:val="20"/>
        </w:rPr>
      </w:pPr>
      <w:r w:rsidRPr="00C22733">
        <w:rPr>
          <w:rFonts w:ascii="Verdana" w:hAnsi="Verdana"/>
          <w:bCs/>
          <w:sz w:val="20"/>
        </w:rPr>
        <w:t>3.1.3.        Para los efectos de los artículos 45, segundo párrafo, de la Ley y 73 del Reglamento, los importadores o exportadores interesados en obtener su registro para la toma de muestras de mercancías estériles, radiactivas, peligrosas o para las que se requiera de instalaciones o equipos especiales para la toma de las mismas, podrán presentar solicitud ante la ACAJA, en el Portal del SAT, accediendo a la Ventanilla Digital cumpliendo con lo establecido en la ficha de trámite 36/LA.</w:t>
      </w:r>
    </w:p>
    <w:p w:rsidR="00C22733" w:rsidRPr="00C22733" w:rsidRDefault="00C22733" w:rsidP="00C22733">
      <w:pPr>
        <w:jc w:val="both"/>
        <w:rPr>
          <w:rFonts w:ascii="Verdana" w:hAnsi="Verdana"/>
          <w:bCs/>
          <w:sz w:val="20"/>
        </w:rPr>
      </w:pPr>
      <w:r w:rsidRPr="00C22733">
        <w:rPr>
          <w:rFonts w:ascii="Verdana" w:hAnsi="Verdana"/>
          <w:bCs/>
          <w:sz w:val="20"/>
        </w:rPr>
        <w:t>       Cuando la autoridad no haya emitido el dictamen en el plazo correspondiente, el número de muestra que la identifica como inscrita en el registro a que se refiere la presente regla, será el que haya proporcionado la ACAJA al momento de presentar el comprobante de pago realizado a través del esquema electrónico e5cinco.</w:t>
      </w:r>
    </w:p>
    <w:p w:rsidR="00C22733" w:rsidRPr="00C22733" w:rsidRDefault="00C22733" w:rsidP="00C22733">
      <w:pPr>
        <w:jc w:val="both"/>
        <w:rPr>
          <w:rFonts w:ascii="Verdana" w:hAnsi="Verdana"/>
          <w:bCs/>
          <w:sz w:val="20"/>
        </w:rPr>
      </w:pPr>
      <w:r w:rsidRPr="00C22733">
        <w:rPr>
          <w:rFonts w:ascii="Verdana" w:hAnsi="Verdana"/>
          <w:bCs/>
          <w:sz w:val="20"/>
        </w:rPr>
        <w:t>               </w:t>
      </w:r>
    </w:p>
    <w:p w:rsidR="00C22733" w:rsidRPr="00C22733" w:rsidRDefault="00C22733" w:rsidP="00C22733">
      <w:pPr>
        <w:jc w:val="both"/>
        <w:rPr>
          <w:rFonts w:ascii="Verdana" w:hAnsi="Verdana"/>
          <w:bCs/>
          <w:sz w:val="20"/>
        </w:rPr>
      </w:pPr>
      <w:r w:rsidRPr="00C22733">
        <w:rPr>
          <w:rFonts w:ascii="Verdana" w:hAnsi="Verdana"/>
          <w:bCs/>
          <w:sz w:val="20"/>
        </w:rPr>
        <w:t>       Ley 2-XV, 25, 35, 42, 43, 45, Reglamento 73, RGCE 1.2.2., Anexo 1-A, 22, 23</w:t>
      </w:r>
    </w:p>
    <w:p w:rsidR="00C22733" w:rsidRPr="00C22733" w:rsidRDefault="00C22733" w:rsidP="00C22733">
      <w:pPr>
        <w:jc w:val="both"/>
        <w:rPr>
          <w:rFonts w:ascii="Verdana" w:hAnsi="Verdana"/>
          <w:bCs/>
          <w:sz w:val="20"/>
        </w:rPr>
      </w:pPr>
      <w:r w:rsidRPr="00C22733">
        <w:rPr>
          <w:rFonts w:ascii="Verdana" w:hAnsi="Verdana"/>
          <w:bCs/>
          <w:sz w:val="20"/>
        </w:rPr>
        <w:t>       Pedimento consolidado con relación de facturas</w:t>
      </w:r>
    </w:p>
    <w:p w:rsidR="00C22733" w:rsidRPr="00C22733" w:rsidRDefault="00C22733" w:rsidP="00C22733">
      <w:pPr>
        <w:jc w:val="both"/>
        <w:rPr>
          <w:rFonts w:ascii="Verdana" w:hAnsi="Verdana"/>
          <w:bCs/>
          <w:sz w:val="20"/>
        </w:rPr>
      </w:pPr>
      <w:r w:rsidRPr="00C22733">
        <w:rPr>
          <w:rFonts w:ascii="Verdana" w:hAnsi="Verdana"/>
          <w:bCs/>
          <w:sz w:val="20"/>
        </w:rPr>
        <w:t>3.1.22.                </w:t>
      </w:r>
    </w:p>
    <w:p w:rsidR="00C22733" w:rsidRPr="00C22733" w:rsidRDefault="00C22733" w:rsidP="00C22733">
      <w:pPr>
        <w:jc w:val="both"/>
        <w:rPr>
          <w:rFonts w:ascii="Verdana" w:hAnsi="Verdana"/>
          <w:bCs/>
          <w:sz w:val="20"/>
        </w:rPr>
      </w:pPr>
      <w:r w:rsidRPr="00C22733">
        <w:rPr>
          <w:rFonts w:ascii="Verdana" w:hAnsi="Verdana"/>
          <w:bCs/>
          <w:sz w:val="20"/>
        </w:rPr>
        <w:t>       Para los efectos de la presente regla, cuando se trate de la importación temporal de mercancías clasificadas en las fracciones arancelarias señaladas en el Anexo 10, Apartado A, Sectores 10 "Calzado", 11 "Textil y Confección", 14 "Siderúrgico" y 15 "Productos Siderúrgicos", así como del Apartado B, Sectores 8 "Minerales de Hierro y sus concentrados", 9 "Oro, plata y cobre", 14 "Hierro y Acero" y 15 "Aluminio", las empresas con Programa IMMEX podrán efectuar el despacho aduanero mediante pedimento consolidado cuando:</w:t>
      </w:r>
    </w:p>
    <w:p w:rsidR="00C22733" w:rsidRPr="00C22733" w:rsidRDefault="00C22733" w:rsidP="00C22733">
      <w:pPr>
        <w:jc w:val="both"/>
        <w:rPr>
          <w:rFonts w:ascii="Verdana" w:hAnsi="Verdana"/>
          <w:bCs/>
          <w:sz w:val="20"/>
        </w:rPr>
      </w:pPr>
      <w:r w:rsidRPr="00C22733">
        <w:rPr>
          <w:rFonts w:ascii="Verdana" w:hAnsi="Verdana"/>
          <w:bCs/>
          <w:sz w:val="20"/>
        </w:rPr>
        <w:t>I.        Acrediten con su control de inventarios que las mercancías importadas temporalmente fueron retornadas o importadas en definitiva dentro de su plazo de permanencia conforme el Decreto IMMEX, y</w:t>
      </w:r>
    </w:p>
    <w:p w:rsidR="00C22733" w:rsidRPr="00C22733" w:rsidRDefault="00C22733" w:rsidP="00C22733">
      <w:pPr>
        <w:jc w:val="both"/>
        <w:rPr>
          <w:rFonts w:ascii="Verdana" w:hAnsi="Verdana"/>
          <w:bCs/>
          <w:sz w:val="20"/>
        </w:rPr>
      </w:pPr>
      <w:r w:rsidRPr="00C22733">
        <w:rPr>
          <w:rFonts w:ascii="Verdana" w:hAnsi="Verdana"/>
          <w:bCs/>
          <w:sz w:val="20"/>
        </w:rPr>
        <w:t>II.        Cuenten con un Programa IMMEX que haya estado activo por lo menos 12 meses, o hayan realizado operaciones de comercio exterior durante el ejercicio inmediato anterior.</w:t>
      </w:r>
    </w:p>
    <w:p w:rsidR="00C22733" w:rsidRPr="00C22733" w:rsidRDefault="00C22733" w:rsidP="00C22733">
      <w:pPr>
        <w:jc w:val="both"/>
        <w:rPr>
          <w:rFonts w:ascii="Verdana" w:hAnsi="Verdana"/>
          <w:bCs/>
          <w:sz w:val="20"/>
        </w:rPr>
      </w:pPr>
      <w:r w:rsidRPr="00C22733">
        <w:rPr>
          <w:rFonts w:ascii="Verdana" w:hAnsi="Verdana"/>
          <w:bCs/>
          <w:sz w:val="20"/>
        </w:rPr>
        <w:t>       Cuando las empresas no se encuentren en los supuestos señalados en el párrafo anterior, podrán cumplir con lo siguiente:</w:t>
      </w:r>
    </w:p>
    <w:p w:rsidR="00C22733" w:rsidRPr="00C22733" w:rsidRDefault="00C22733" w:rsidP="00C22733">
      <w:pPr>
        <w:jc w:val="both"/>
        <w:rPr>
          <w:rFonts w:ascii="Verdana" w:hAnsi="Verdana"/>
          <w:bCs/>
          <w:sz w:val="20"/>
        </w:rPr>
      </w:pPr>
      <w:r w:rsidRPr="00C22733">
        <w:rPr>
          <w:rFonts w:ascii="Verdana" w:hAnsi="Verdana"/>
          <w:bCs/>
          <w:sz w:val="20"/>
        </w:rPr>
        <w:t>a)        Encontrarse al corriente en el cumplimiento de sus obligaciones fiscales en los términos del artículo 32-D del CFF, y</w:t>
      </w:r>
    </w:p>
    <w:p w:rsidR="00C22733" w:rsidRPr="00C22733" w:rsidRDefault="00C22733" w:rsidP="00C22733">
      <w:pPr>
        <w:jc w:val="both"/>
        <w:rPr>
          <w:rFonts w:ascii="Verdana" w:hAnsi="Verdana"/>
          <w:bCs/>
          <w:sz w:val="20"/>
        </w:rPr>
      </w:pPr>
      <w:r w:rsidRPr="00C22733">
        <w:rPr>
          <w:rFonts w:ascii="Verdana" w:hAnsi="Verdana"/>
          <w:bCs/>
          <w:sz w:val="20"/>
        </w:rPr>
        <w:t>b)        Cumplir con cualquiera de las condiciones siguientes:</w:t>
      </w:r>
    </w:p>
    <w:p w:rsidR="00C22733" w:rsidRPr="00C22733" w:rsidRDefault="00C22733" w:rsidP="00C22733">
      <w:pPr>
        <w:jc w:val="both"/>
        <w:rPr>
          <w:rFonts w:ascii="Verdana" w:hAnsi="Verdana"/>
          <w:bCs/>
          <w:sz w:val="20"/>
        </w:rPr>
      </w:pPr>
      <w:r w:rsidRPr="00C22733">
        <w:rPr>
          <w:rFonts w:ascii="Verdana" w:hAnsi="Verdana"/>
          <w:bCs/>
          <w:sz w:val="20"/>
        </w:rPr>
        <w:t>1.        Estar inscritos en el Registro en el Esquema de Certificación de Empresas.</w:t>
      </w:r>
    </w:p>
    <w:p w:rsidR="00C22733" w:rsidRPr="00C22733" w:rsidRDefault="00C22733" w:rsidP="00C22733">
      <w:pPr>
        <w:jc w:val="both"/>
        <w:rPr>
          <w:rFonts w:ascii="Verdana" w:hAnsi="Verdana"/>
          <w:bCs/>
          <w:sz w:val="20"/>
        </w:rPr>
      </w:pPr>
      <w:r w:rsidRPr="00C22733">
        <w:rPr>
          <w:rFonts w:ascii="Verdana" w:hAnsi="Verdana"/>
          <w:bCs/>
          <w:sz w:val="20"/>
        </w:rPr>
        <w:t>2.        Tener registrados ante el IMSS al menos a 100 empleados.</w:t>
      </w:r>
    </w:p>
    <w:p w:rsidR="00C22733" w:rsidRPr="00C22733" w:rsidRDefault="00C22733" w:rsidP="00C22733">
      <w:pPr>
        <w:jc w:val="both"/>
        <w:rPr>
          <w:rFonts w:ascii="Verdana" w:hAnsi="Verdana"/>
          <w:bCs/>
          <w:sz w:val="20"/>
        </w:rPr>
      </w:pPr>
      <w:r w:rsidRPr="00C22733">
        <w:rPr>
          <w:rFonts w:ascii="Verdana" w:hAnsi="Verdana"/>
          <w:bCs/>
          <w:sz w:val="20"/>
        </w:rPr>
        <w:lastRenderedPageBreak/>
        <w:t>3.        Ser proveedora de insumos vinculados a la operación de maquila o de manufactura de alguna empresa con Registro en el Esquema de Certificación de Empresas, modalidad IVA e IEPS, rubro AAA o de la industria automotriz terminal con autorización a que se refiere la regla 4.5.30.</w:t>
      </w:r>
    </w:p>
    <w:p w:rsidR="00C22733" w:rsidRPr="00C22733" w:rsidRDefault="00C22733" w:rsidP="00C22733">
      <w:pPr>
        <w:jc w:val="both"/>
        <w:rPr>
          <w:rFonts w:ascii="Verdana" w:hAnsi="Verdana"/>
          <w:bCs/>
          <w:sz w:val="20"/>
        </w:rPr>
      </w:pPr>
      <w:r w:rsidRPr="00C22733">
        <w:rPr>
          <w:rFonts w:ascii="Verdana" w:hAnsi="Verdana"/>
          <w:bCs/>
          <w:sz w:val="20"/>
        </w:rPr>
        <w:t>4.        Pertenecer a un mismo grupo conformado por empresas que tengan Registro en el Esquema de Certificación de Empresas, modalidad IVA e IEPS, rubro AAA.</w:t>
      </w:r>
    </w:p>
    <w:p w:rsidR="00C22733" w:rsidRPr="00C22733" w:rsidRDefault="00C22733" w:rsidP="00C22733">
      <w:pPr>
        <w:jc w:val="both"/>
        <w:rPr>
          <w:rFonts w:ascii="Verdana" w:hAnsi="Verdana"/>
          <w:bCs/>
          <w:sz w:val="20"/>
        </w:rPr>
      </w:pPr>
      <w:r w:rsidRPr="00C22733">
        <w:rPr>
          <w:rFonts w:ascii="Verdana" w:hAnsi="Verdana"/>
          <w:bCs/>
          <w:sz w:val="20"/>
        </w:rPr>
        <w:t>               </w:t>
      </w:r>
    </w:p>
    <w:p w:rsidR="00C22733" w:rsidRPr="00C22733" w:rsidRDefault="00C22733" w:rsidP="00C22733">
      <w:pPr>
        <w:jc w:val="both"/>
        <w:rPr>
          <w:rFonts w:ascii="Verdana" w:hAnsi="Verdana"/>
          <w:bCs/>
          <w:sz w:val="20"/>
        </w:rPr>
      </w:pPr>
      <w:r w:rsidRPr="00C22733">
        <w:rPr>
          <w:rFonts w:ascii="Verdana" w:hAnsi="Verdana"/>
          <w:bCs/>
          <w:sz w:val="20"/>
        </w:rPr>
        <w:t>       Ley 35, 37, 37-A, 43, Decreto IMMEX Anexos I-II, Reglamento, 42, RGCE 1.3.3.</w:t>
      </w:r>
      <w:proofErr w:type="gramStart"/>
      <w:r w:rsidRPr="00C22733">
        <w:rPr>
          <w:rFonts w:ascii="Verdana" w:hAnsi="Verdana"/>
          <w:bCs/>
          <w:sz w:val="20"/>
        </w:rPr>
        <w:t>,1.9.19</w:t>
      </w:r>
      <w:proofErr w:type="gramEnd"/>
      <w:r w:rsidRPr="00C22733">
        <w:rPr>
          <w:rFonts w:ascii="Verdana" w:hAnsi="Verdana"/>
          <w:bCs/>
          <w:sz w:val="20"/>
        </w:rPr>
        <w:t>., 3.1.30., 4.5.30., 7.1.1., 7.1.2., 7.1.3., 7.1.4., Anexo 10</w:t>
      </w:r>
    </w:p>
    <w:p w:rsidR="00C22733" w:rsidRPr="00C22733" w:rsidRDefault="00C22733" w:rsidP="00C22733">
      <w:pPr>
        <w:jc w:val="both"/>
        <w:rPr>
          <w:rFonts w:ascii="Verdana" w:hAnsi="Verdana"/>
          <w:bCs/>
          <w:sz w:val="20"/>
        </w:rPr>
      </w:pPr>
      <w:r w:rsidRPr="00C22733">
        <w:rPr>
          <w:rFonts w:ascii="Verdana" w:hAnsi="Verdana"/>
          <w:bCs/>
          <w:sz w:val="20"/>
        </w:rPr>
        <w:t>       Uso de Aduanas exclusivas (Anexo 21)</w:t>
      </w:r>
    </w:p>
    <w:p w:rsidR="00C22733" w:rsidRPr="00C22733" w:rsidRDefault="00C22733" w:rsidP="00C22733">
      <w:pPr>
        <w:jc w:val="both"/>
        <w:rPr>
          <w:rFonts w:ascii="Verdana" w:hAnsi="Verdana"/>
          <w:bCs/>
          <w:sz w:val="20"/>
        </w:rPr>
      </w:pPr>
      <w:r w:rsidRPr="00C22733">
        <w:rPr>
          <w:rFonts w:ascii="Verdana" w:hAnsi="Verdana"/>
          <w:bCs/>
          <w:sz w:val="20"/>
        </w:rPr>
        <w:t>3.1.27.                </w:t>
      </w:r>
    </w:p>
    <w:p w:rsidR="00C22733" w:rsidRPr="00C22733" w:rsidRDefault="00C22733" w:rsidP="00C22733">
      <w:pPr>
        <w:jc w:val="both"/>
        <w:rPr>
          <w:rFonts w:ascii="Verdana" w:hAnsi="Verdana"/>
          <w:bCs/>
          <w:sz w:val="20"/>
        </w:rPr>
      </w:pPr>
      <w:r w:rsidRPr="00C22733">
        <w:rPr>
          <w:rFonts w:ascii="Verdana" w:hAnsi="Verdana"/>
          <w:bCs/>
          <w:sz w:val="20"/>
        </w:rPr>
        <w:t>       Lo anterior, no será aplicable cuando se trate de las operaciones de comercio exterior efectuadas por el Ejército, la Fuerza Aérea, la Armada de México, cuerpos o asociaciones de bomberos, de la SEGOB y de los Estados, autoridades federales, estatales o municipales y sus órganos desconcentrados encargadas de la seguridad pública, FGR, PGJE, SAT o por la AGA, para su uso exclusivo en el ejercicio de sus funciones de defensa nacional y seguridad pública.</w:t>
      </w:r>
    </w:p>
    <w:p w:rsidR="00C22733" w:rsidRPr="00C22733" w:rsidRDefault="00C22733" w:rsidP="00C22733">
      <w:pPr>
        <w:jc w:val="both"/>
        <w:rPr>
          <w:rFonts w:ascii="Verdana" w:hAnsi="Verdana"/>
          <w:bCs/>
          <w:sz w:val="20"/>
        </w:rPr>
      </w:pPr>
      <w:r w:rsidRPr="00C22733">
        <w:rPr>
          <w:rFonts w:ascii="Verdana" w:hAnsi="Verdana"/>
          <w:bCs/>
          <w:sz w:val="20"/>
        </w:rPr>
        <w:t>               </w:t>
      </w:r>
    </w:p>
    <w:p w:rsidR="00C22733" w:rsidRPr="00C22733" w:rsidRDefault="00C22733" w:rsidP="00C22733">
      <w:pPr>
        <w:jc w:val="both"/>
        <w:rPr>
          <w:rFonts w:ascii="Verdana" w:hAnsi="Verdana"/>
          <w:bCs/>
          <w:sz w:val="20"/>
        </w:rPr>
      </w:pPr>
      <w:r w:rsidRPr="00C22733">
        <w:rPr>
          <w:rFonts w:ascii="Verdana" w:hAnsi="Verdana"/>
          <w:bCs/>
          <w:sz w:val="20"/>
        </w:rPr>
        <w:t>       Ley 10, 35, 144-I, Reglamento 9, 12, RGCE 3.5.1., Anexo 21</w:t>
      </w:r>
    </w:p>
    <w:p w:rsidR="00C22733" w:rsidRPr="00C22733" w:rsidRDefault="00C22733" w:rsidP="00C22733">
      <w:pPr>
        <w:jc w:val="both"/>
        <w:rPr>
          <w:rFonts w:ascii="Verdana" w:hAnsi="Verdana"/>
          <w:bCs/>
          <w:sz w:val="20"/>
        </w:rPr>
      </w:pPr>
      <w:r w:rsidRPr="00C22733">
        <w:rPr>
          <w:rFonts w:ascii="Verdana" w:hAnsi="Verdana"/>
          <w:bCs/>
          <w:sz w:val="20"/>
        </w:rPr>
        <w:t>       Garantía del pago de contribuciones por la importación temporal de las mercancías señaladas en el Anexo II del Decreto IMMEX</w:t>
      </w:r>
    </w:p>
    <w:p w:rsidR="00C22733" w:rsidRPr="00C22733" w:rsidRDefault="00C22733" w:rsidP="00C22733">
      <w:pPr>
        <w:jc w:val="both"/>
        <w:rPr>
          <w:rFonts w:ascii="Verdana" w:hAnsi="Verdana"/>
          <w:bCs/>
          <w:sz w:val="20"/>
        </w:rPr>
      </w:pPr>
      <w:r w:rsidRPr="00C22733">
        <w:rPr>
          <w:rFonts w:ascii="Verdana" w:hAnsi="Verdana"/>
          <w:bCs/>
          <w:sz w:val="20"/>
        </w:rPr>
        <w:t>4.3.21.        Para los efectos del artículo 108 de la Ley, las empresas que cuenten con Programa IMMEX y que importen temporalmente mercancías sensibles del Anexo II al amparo de su Programa, deberán garantizar el pago de las contribuciones por la importación temporal de dichas mercancías observando lo dispuesto en el Acuerdo que la SE publique en el DOF, a su entrada en vigor, para la aplicación del artículo 5, fracción IV del Decreto IMMEX, a través de las pólizas de fianza que emitan las afianzadoras, las cuales deberán transmitirse de manera electrónica, y contener la siguiente información:</w:t>
      </w:r>
    </w:p>
    <w:p w:rsidR="00C22733" w:rsidRPr="00C22733" w:rsidRDefault="00C22733" w:rsidP="00C22733">
      <w:pPr>
        <w:jc w:val="both"/>
        <w:rPr>
          <w:rFonts w:ascii="Verdana" w:hAnsi="Verdana"/>
          <w:bCs/>
          <w:sz w:val="20"/>
        </w:rPr>
      </w:pPr>
      <w:r w:rsidRPr="00C22733">
        <w:rPr>
          <w:rFonts w:ascii="Verdana" w:hAnsi="Verdana"/>
          <w:bCs/>
          <w:sz w:val="20"/>
        </w:rPr>
        <w:t>               </w:t>
      </w:r>
    </w:p>
    <w:p w:rsidR="00C22733" w:rsidRPr="00C22733" w:rsidRDefault="00C22733" w:rsidP="00C22733">
      <w:pPr>
        <w:jc w:val="both"/>
        <w:rPr>
          <w:rFonts w:ascii="Verdana" w:hAnsi="Verdana"/>
          <w:bCs/>
          <w:sz w:val="20"/>
        </w:rPr>
      </w:pPr>
      <w:r w:rsidRPr="00C22733">
        <w:rPr>
          <w:rFonts w:ascii="Verdana" w:hAnsi="Verdana"/>
          <w:bCs/>
          <w:sz w:val="20"/>
        </w:rPr>
        <w:t>       Ley 108, CFF 17-A, 20, 21, 67, 74, 141-III, 143, Decreto IMMEX 5, Reglamento 77, 82, RMF Anexo 1-A</w:t>
      </w:r>
    </w:p>
    <w:p w:rsidR="00C22733" w:rsidRPr="00C22733" w:rsidRDefault="00C22733" w:rsidP="00C22733">
      <w:pPr>
        <w:jc w:val="both"/>
        <w:rPr>
          <w:rFonts w:ascii="Verdana" w:hAnsi="Verdana"/>
          <w:bCs/>
          <w:sz w:val="20"/>
        </w:rPr>
      </w:pPr>
      <w:r w:rsidRPr="00C22733">
        <w:rPr>
          <w:rFonts w:ascii="Verdana" w:hAnsi="Verdana"/>
          <w:bCs/>
          <w:sz w:val="20"/>
        </w:rPr>
        <w:t>       Retornos de reparaciones del TLCAN, TLCCH, TLCU, TLCP, PAAP y TIPAT</w:t>
      </w:r>
    </w:p>
    <w:p w:rsidR="00C22733" w:rsidRPr="00C22733" w:rsidRDefault="00C22733" w:rsidP="00C22733">
      <w:pPr>
        <w:jc w:val="both"/>
        <w:rPr>
          <w:rFonts w:ascii="Verdana" w:hAnsi="Verdana"/>
          <w:bCs/>
          <w:sz w:val="20"/>
        </w:rPr>
      </w:pPr>
      <w:r w:rsidRPr="00C22733">
        <w:rPr>
          <w:rFonts w:ascii="Verdana" w:hAnsi="Verdana"/>
          <w:bCs/>
          <w:sz w:val="20"/>
        </w:rPr>
        <w:t xml:space="preserve">4.4.7.        Para los efectos de los artículos 307(1) y 318 del TLCAN, los artículos 3-01 y 3-08 del TLCCH, los artículos 3-01 y 3-07 del TLCU, el artículo 3.7 del TLCP, el artículo 3.12 del AICP, el artículo 3.13 del PAAP y el artículo 2.6 del TIPAT, podrá </w:t>
      </w:r>
      <w:r w:rsidRPr="00C22733">
        <w:rPr>
          <w:rFonts w:ascii="Verdana" w:hAnsi="Verdana"/>
          <w:bCs/>
          <w:sz w:val="20"/>
        </w:rPr>
        <w:lastRenderedPageBreak/>
        <w:t>efectuarse el retorno libre del pago de impuestos al comercio exterior de las mercancías que se hayan exportado temporalmente a un país Parte del tratado que corresponda, para someterse a algún proceso de reparación o alteración, siempre que al efectuarse dicho retorno al territorio nacional se acredite que dichas mercancías no se hayan sometido a alguna operación o proceso que destruya sus características esenciales o la conviertan en un bien nuevo o comercialmente diferente.</w:t>
      </w:r>
    </w:p>
    <w:p w:rsidR="00C22733" w:rsidRPr="00C22733" w:rsidRDefault="00C22733" w:rsidP="00C22733">
      <w:pPr>
        <w:jc w:val="both"/>
        <w:rPr>
          <w:rFonts w:ascii="Verdana" w:hAnsi="Verdana"/>
          <w:bCs/>
          <w:sz w:val="20"/>
        </w:rPr>
      </w:pPr>
      <w:r w:rsidRPr="00C22733">
        <w:rPr>
          <w:rFonts w:ascii="Verdana" w:hAnsi="Verdana"/>
          <w:bCs/>
          <w:sz w:val="20"/>
        </w:rPr>
        <w:t>               </w:t>
      </w:r>
    </w:p>
    <w:p w:rsidR="00C22733" w:rsidRPr="00C22733" w:rsidRDefault="00C22733" w:rsidP="00C22733">
      <w:pPr>
        <w:jc w:val="both"/>
        <w:rPr>
          <w:rFonts w:ascii="Verdana" w:hAnsi="Verdana"/>
          <w:bCs/>
          <w:sz w:val="20"/>
        </w:rPr>
      </w:pPr>
      <w:r w:rsidRPr="00C22733">
        <w:rPr>
          <w:rFonts w:ascii="Verdana" w:hAnsi="Verdana"/>
          <w:bCs/>
          <w:sz w:val="20"/>
        </w:rPr>
        <w:t>       TLCAN 307-1, 318, TLCCH 3-01, 3-08, TLCU 3-01, 3-07, TLCP 3.7, AICP 3.12, PAAP 3.13, TIPAT 2.6</w:t>
      </w:r>
    </w:p>
    <w:p w:rsidR="00C22733" w:rsidRPr="00C22733" w:rsidRDefault="00C22733" w:rsidP="00C22733">
      <w:pPr>
        <w:jc w:val="both"/>
        <w:rPr>
          <w:rFonts w:ascii="Verdana" w:hAnsi="Verdana"/>
          <w:bCs/>
          <w:sz w:val="20"/>
        </w:rPr>
      </w:pPr>
      <w:r w:rsidRPr="00C22733">
        <w:rPr>
          <w:rFonts w:ascii="Verdana" w:hAnsi="Verdana"/>
          <w:bCs/>
          <w:sz w:val="20"/>
        </w:rPr>
        <w:t>       Beneficios para la industria automotriz</w:t>
      </w:r>
    </w:p>
    <w:p w:rsidR="00C22733" w:rsidRPr="00C22733" w:rsidRDefault="00C22733" w:rsidP="00C22733">
      <w:pPr>
        <w:jc w:val="both"/>
        <w:rPr>
          <w:rFonts w:ascii="Verdana" w:hAnsi="Verdana"/>
          <w:bCs/>
          <w:sz w:val="20"/>
        </w:rPr>
      </w:pPr>
      <w:r w:rsidRPr="00C22733">
        <w:rPr>
          <w:rFonts w:ascii="Verdana" w:hAnsi="Verdana"/>
          <w:bCs/>
          <w:sz w:val="20"/>
        </w:rPr>
        <w:t>4.5.31.                </w:t>
      </w:r>
    </w:p>
    <w:p w:rsidR="00C22733" w:rsidRPr="00C22733" w:rsidRDefault="00C22733" w:rsidP="00C22733">
      <w:pPr>
        <w:jc w:val="both"/>
        <w:rPr>
          <w:rFonts w:ascii="Verdana" w:hAnsi="Verdana"/>
          <w:bCs/>
          <w:sz w:val="20"/>
        </w:rPr>
      </w:pPr>
      <w:r w:rsidRPr="00C22733">
        <w:rPr>
          <w:rFonts w:ascii="Verdana" w:hAnsi="Verdana"/>
          <w:bCs/>
          <w:sz w:val="20"/>
        </w:rPr>
        <w:t>III.                </w:t>
      </w:r>
    </w:p>
    <w:p w:rsidR="00C22733" w:rsidRPr="00C22733" w:rsidRDefault="00C22733" w:rsidP="00C22733">
      <w:pPr>
        <w:jc w:val="both"/>
        <w:rPr>
          <w:rFonts w:ascii="Verdana" w:hAnsi="Verdana"/>
          <w:bCs/>
          <w:sz w:val="20"/>
        </w:rPr>
      </w:pPr>
      <w:r w:rsidRPr="00C22733">
        <w:rPr>
          <w:rFonts w:ascii="Verdana" w:hAnsi="Verdana"/>
          <w:bCs/>
          <w:sz w:val="20"/>
        </w:rPr>
        <w:t>       Para los efectos de lo dispuesto en el artículo 146 de la Ley, la tenencia, transporte o manejo de las mercancías podrá ampararse con copia del pedimento de introducción a depósito fiscal.</w:t>
      </w:r>
    </w:p>
    <w:p w:rsidR="00C22733" w:rsidRPr="00C22733" w:rsidRDefault="00C22733" w:rsidP="00C22733">
      <w:pPr>
        <w:jc w:val="both"/>
        <w:rPr>
          <w:rFonts w:ascii="Verdana" w:hAnsi="Verdana"/>
          <w:bCs/>
          <w:sz w:val="20"/>
        </w:rPr>
      </w:pPr>
      <w:r w:rsidRPr="00C22733">
        <w:rPr>
          <w:rFonts w:ascii="Verdana" w:hAnsi="Verdana"/>
          <w:bCs/>
          <w:sz w:val="20"/>
        </w:rPr>
        <w:t>       Las empresas de la industria automotriz terminal o manufacturera de vehículos de transporte, podrán transferir el uso de las unidades de prueba introducidas al territorio nacional bajo el régimen de depósito fiscal a empresas que lleven a cabo las pruebas de funcionalidad técnica, mecánica y de durabilidad de las unidades, siempre que celebren contratos de comodato con dichas empresas y las unidades sean amparadas en todo momento con copia del contrato de comodato y del pedimento de introducción a depósito fiscal.</w:t>
      </w:r>
    </w:p>
    <w:p w:rsidR="00C22733" w:rsidRPr="00C22733" w:rsidRDefault="00C22733" w:rsidP="00C22733">
      <w:pPr>
        <w:jc w:val="both"/>
        <w:rPr>
          <w:rFonts w:ascii="Verdana" w:hAnsi="Verdana"/>
          <w:bCs/>
          <w:sz w:val="20"/>
        </w:rPr>
      </w:pPr>
      <w:r w:rsidRPr="00C22733">
        <w:rPr>
          <w:rFonts w:ascii="Verdana" w:hAnsi="Verdana"/>
          <w:bCs/>
          <w:sz w:val="20"/>
        </w:rPr>
        <w:t>               </w:t>
      </w:r>
    </w:p>
    <w:p w:rsidR="00C22733" w:rsidRPr="00C22733" w:rsidRDefault="00C22733" w:rsidP="00C22733">
      <w:pPr>
        <w:jc w:val="both"/>
        <w:rPr>
          <w:rFonts w:ascii="Verdana" w:hAnsi="Verdana"/>
          <w:bCs/>
          <w:sz w:val="20"/>
        </w:rPr>
      </w:pPr>
      <w:r w:rsidRPr="00C22733">
        <w:rPr>
          <w:rFonts w:ascii="Verdana" w:hAnsi="Verdana"/>
          <w:bCs/>
          <w:sz w:val="20"/>
        </w:rPr>
        <w:t>               </w:t>
      </w:r>
    </w:p>
    <w:p w:rsidR="00C22733" w:rsidRPr="00C22733" w:rsidRDefault="00C22733" w:rsidP="00C22733">
      <w:pPr>
        <w:jc w:val="both"/>
        <w:rPr>
          <w:rFonts w:ascii="Verdana" w:hAnsi="Verdana"/>
          <w:bCs/>
          <w:sz w:val="20"/>
        </w:rPr>
      </w:pPr>
      <w:r w:rsidRPr="00C22733">
        <w:rPr>
          <w:rFonts w:ascii="Verdana" w:hAnsi="Verdana"/>
          <w:bCs/>
          <w:sz w:val="20"/>
        </w:rPr>
        <w:t>       Ley 36, 36-A-II, 106-III, 116-II, 146, 151, Ley del ISR 34, 35, CFF 29-A, Reglamento 42, 138-IV, 157, Reglamento de la Ley del ISR 107, 108, RGCE 1.1.8., 1.2.1., 1.2.2., 1.3.2., 1.5.1., 1.6.15., 1.7.6., 1.9.12., 1.9.18., 2.1.2., 2.4.1., 2.4.2., 2.5.1., 3.1.11., 3.1.15., 3.1.34., 3.1.35., 4.3.15., 4.5.30., 7.1.4., Anexo 1, 1-A, 10, 21, 22</w:t>
      </w:r>
    </w:p>
    <w:p w:rsidR="00C22733" w:rsidRPr="00C22733" w:rsidRDefault="00C22733" w:rsidP="00C22733">
      <w:pPr>
        <w:jc w:val="both"/>
        <w:rPr>
          <w:rFonts w:ascii="Verdana" w:hAnsi="Verdana"/>
          <w:bCs/>
          <w:sz w:val="20"/>
        </w:rPr>
      </w:pPr>
      <w:r w:rsidRPr="00C22733">
        <w:rPr>
          <w:rFonts w:ascii="Verdana" w:hAnsi="Verdana"/>
          <w:bCs/>
          <w:sz w:val="20"/>
        </w:rPr>
        <w:t>Tercero. Se modifica el Anexo 1-A "Trámites de Comercio Exterior":</w:t>
      </w:r>
    </w:p>
    <w:p w:rsidR="00C22733" w:rsidRPr="00C22733" w:rsidRDefault="00C22733" w:rsidP="00C22733">
      <w:pPr>
        <w:jc w:val="both"/>
        <w:rPr>
          <w:rFonts w:ascii="Verdana" w:hAnsi="Verdana"/>
          <w:bCs/>
          <w:sz w:val="20"/>
        </w:rPr>
      </w:pPr>
      <w:r w:rsidRPr="00C22733">
        <w:rPr>
          <w:rFonts w:ascii="Verdana" w:hAnsi="Verdana"/>
          <w:bCs/>
          <w:sz w:val="20"/>
        </w:rPr>
        <w:t>a)        Para modificar el Apartado ¿Cuándo se presenta?, de la ficha de trámite 18/LA "Instructivo de trámite para solicitar el retiro voluntario de un agente aduanal o su ratificación (Regla 1.4.14.)".</w:t>
      </w:r>
    </w:p>
    <w:p w:rsidR="00C22733" w:rsidRPr="00C22733" w:rsidRDefault="00C22733" w:rsidP="00C22733">
      <w:pPr>
        <w:jc w:val="both"/>
        <w:rPr>
          <w:rFonts w:ascii="Verdana" w:hAnsi="Verdana"/>
          <w:bCs/>
          <w:sz w:val="20"/>
        </w:rPr>
      </w:pPr>
      <w:r w:rsidRPr="00C22733">
        <w:rPr>
          <w:rFonts w:ascii="Verdana" w:hAnsi="Verdana"/>
          <w:bCs/>
          <w:sz w:val="20"/>
        </w:rPr>
        <w:t>b)        Para modificar el Apartado ¿Dónde se presenta?, de la ficha de trámite 36/LA "Instructivo de trámite para la inscripción o renovación en el registro para la toma de muestras de mercancías, conforme al artículo 45 de la Ley (Regla 3.1.3.)".</w:t>
      </w:r>
    </w:p>
    <w:p w:rsidR="00C22733" w:rsidRPr="00C22733" w:rsidRDefault="00C22733" w:rsidP="00C22733">
      <w:pPr>
        <w:jc w:val="both"/>
        <w:rPr>
          <w:rFonts w:ascii="Verdana" w:hAnsi="Verdana"/>
          <w:bCs/>
          <w:sz w:val="20"/>
        </w:rPr>
      </w:pPr>
      <w:r w:rsidRPr="00C22733">
        <w:rPr>
          <w:rFonts w:ascii="Verdana" w:hAnsi="Verdana"/>
          <w:bCs/>
          <w:sz w:val="20"/>
        </w:rPr>
        <w:lastRenderedPageBreak/>
        <w:t>Cuarto. Se modifica el Anexo 4 "Horario de las Aduanas":</w:t>
      </w:r>
    </w:p>
    <w:p w:rsidR="00C22733" w:rsidRPr="00C22733" w:rsidRDefault="00C22733" w:rsidP="00C22733">
      <w:pPr>
        <w:jc w:val="both"/>
        <w:rPr>
          <w:rFonts w:ascii="Verdana" w:hAnsi="Verdana"/>
          <w:bCs/>
          <w:sz w:val="20"/>
        </w:rPr>
      </w:pPr>
      <w:r w:rsidRPr="00C22733">
        <w:rPr>
          <w:rFonts w:ascii="Verdana" w:hAnsi="Verdana"/>
          <w:bCs/>
          <w:sz w:val="20"/>
        </w:rPr>
        <w:t>I.        Para modificar el horario de importación y exportación de la Aduana de Mazatlán.</w:t>
      </w:r>
    </w:p>
    <w:p w:rsidR="00C22733" w:rsidRPr="00C22733" w:rsidRDefault="00C22733" w:rsidP="00C22733">
      <w:pPr>
        <w:jc w:val="both"/>
        <w:rPr>
          <w:rFonts w:ascii="Verdana" w:hAnsi="Verdana"/>
          <w:bCs/>
          <w:sz w:val="20"/>
        </w:rPr>
      </w:pPr>
      <w:r w:rsidRPr="00C22733">
        <w:rPr>
          <w:rFonts w:ascii="Verdana" w:hAnsi="Verdana"/>
          <w:bCs/>
          <w:sz w:val="20"/>
        </w:rPr>
        <w:t xml:space="preserve">II.        Para modificar el horario de importación y exportación de la Sección Aduanera de </w:t>
      </w:r>
      <w:proofErr w:type="spellStart"/>
      <w:r w:rsidRPr="00C22733">
        <w:rPr>
          <w:rFonts w:ascii="Verdana" w:hAnsi="Verdana"/>
          <w:bCs/>
          <w:sz w:val="20"/>
        </w:rPr>
        <w:t>Topolobampo</w:t>
      </w:r>
      <w:proofErr w:type="spellEnd"/>
      <w:r w:rsidRPr="00C22733">
        <w:rPr>
          <w:rFonts w:ascii="Verdana" w:hAnsi="Verdana"/>
          <w:bCs/>
          <w:sz w:val="20"/>
        </w:rPr>
        <w:t>, de la Aduana de Mazatlán.</w:t>
      </w:r>
    </w:p>
    <w:p w:rsidR="00C22733" w:rsidRPr="00C22733" w:rsidRDefault="00C22733" w:rsidP="00C22733">
      <w:pPr>
        <w:jc w:val="both"/>
        <w:rPr>
          <w:rFonts w:ascii="Verdana" w:hAnsi="Verdana"/>
          <w:bCs/>
          <w:sz w:val="20"/>
        </w:rPr>
      </w:pPr>
      <w:r w:rsidRPr="00C22733">
        <w:rPr>
          <w:rFonts w:ascii="Verdana" w:hAnsi="Verdana"/>
          <w:bCs/>
          <w:sz w:val="20"/>
        </w:rPr>
        <w:t>III.        Para modificar el horario de importación y exportación de la Sección Aduanera del Aeropuerto Internacional de Culiacán, de la Aduana de Mazatlán.</w:t>
      </w:r>
    </w:p>
    <w:p w:rsidR="00C22733" w:rsidRPr="00C22733" w:rsidRDefault="00C22733" w:rsidP="00C22733">
      <w:pPr>
        <w:jc w:val="both"/>
        <w:rPr>
          <w:rFonts w:ascii="Verdana" w:hAnsi="Verdana"/>
          <w:bCs/>
          <w:sz w:val="20"/>
        </w:rPr>
      </w:pPr>
      <w:r w:rsidRPr="00C22733">
        <w:rPr>
          <w:rFonts w:ascii="Verdana" w:hAnsi="Verdana"/>
          <w:bCs/>
          <w:sz w:val="20"/>
        </w:rPr>
        <w:t>IV.        Para modificar el horario de importación y exportación de la Aduana de Colombia.</w:t>
      </w:r>
    </w:p>
    <w:p w:rsidR="00C22733" w:rsidRPr="00C22733" w:rsidRDefault="00C22733" w:rsidP="00C22733">
      <w:pPr>
        <w:jc w:val="both"/>
        <w:rPr>
          <w:rFonts w:ascii="Verdana" w:hAnsi="Verdana"/>
          <w:bCs/>
          <w:sz w:val="20"/>
        </w:rPr>
      </w:pPr>
      <w:r w:rsidRPr="00C22733">
        <w:rPr>
          <w:rFonts w:ascii="Verdana" w:hAnsi="Verdana"/>
          <w:bCs/>
          <w:sz w:val="20"/>
        </w:rPr>
        <w:t>V.        Para modificar el horario de importación y exportación de la Aduana de Tuxpan.</w:t>
      </w:r>
    </w:p>
    <w:p w:rsidR="00C22733" w:rsidRPr="00C22733" w:rsidRDefault="00C22733" w:rsidP="00C22733">
      <w:pPr>
        <w:jc w:val="both"/>
        <w:rPr>
          <w:rFonts w:ascii="Verdana" w:hAnsi="Verdana"/>
          <w:bCs/>
          <w:sz w:val="20"/>
        </w:rPr>
      </w:pPr>
      <w:r w:rsidRPr="00C22733">
        <w:rPr>
          <w:rFonts w:ascii="Verdana" w:hAnsi="Verdana"/>
          <w:bCs/>
          <w:sz w:val="20"/>
        </w:rPr>
        <w:t>VI.        Para modificar el horario de importación y exportación de la Sección Aduanera de Tuxpan, de la Aduana de Tuxpan.</w:t>
      </w:r>
    </w:p>
    <w:p w:rsidR="00C22733" w:rsidRPr="00C22733" w:rsidRDefault="00C22733" w:rsidP="00C22733">
      <w:pPr>
        <w:jc w:val="both"/>
        <w:rPr>
          <w:rFonts w:ascii="Verdana" w:hAnsi="Verdana"/>
          <w:bCs/>
          <w:sz w:val="20"/>
        </w:rPr>
      </w:pPr>
      <w:r w:rsidRPr="00C22733">
        <w:rPr>
          <w:rFonts w:ascii="Verdana" w:hAnsi="Verdana"/>
          <w:bCs/>
          <w:sz w:val="20"/>
        </w:rPr>
        <w:t>VII.        Para modificar la denominación de la Sección Aduanera "</w:t>
      </w:r>
      <w:proofErr w:type="spellStart"/>
      <w:r w:rsidRPr="00C22733">
        <w:rPr>
          <w:rFonts w:ascii="Verdana" w:hAnsi="Verdana"/>
          <w:bCs/>
          <w:sz w:val="20"/>
        </w:rPr>
        <w:t>Seyvaplaya</w:t>
      </w:r>
      <w:proofErr w:type="spellEnd"/>
      <w:r w:rsidRPr="00C22733">
        <w:rPr>
          <w:rFonts w:ascii="Verdana" w:hAnsi="Verdana"/>
          <w:bCs/>
          <w:sz w:val="20"/>
        </w:rPr>
        <w:t>" por "</w:t>
      </w:r>
      <w:proofErr w:type="spellStart"/>
      <w:r w:rsidRPr="00C22733">
        <w:rPr>
          <w:rFonts w:ascii="Verdana" w:hAnsi="Verdana"/>
          <w:bCs/>
          <w:sz w:val="20"/>
        </w:rPr>
        <w:t>Seybaplaya</w:t>
      </w:r>
      <w:proofErr w:type="spellEnd"/>
      <w:r w:rsidRPr="00C22733">
        <w:rPr>
          <w:rFonts w:ascii="Verdana" w:hAnsi="Verdana"/>
          <w:bCs/>
          <w:sz w:val="20"/>
        </w:rPr>
        <w:t>" de la Aduana de Ciudad del Carmen.</w:t>
      </w:r>
    </w:p>
    <w:p w:rsidR="00C22733" w:rsidRPr="00C22733" w:rsidRDefault="00C22733" w:rsidP="00C22733">
      <w:pPr>
        <w:jc w:val="both"/>
        <w:rPr>
          <w:rFonts w:ascii="Verdana" w:hAnsi="Verdana"/>
          <w:bCs/>
          <w:sz w:val="20"/>
        </w:rPr>
      </w:pPr>
      <w:r w:rsidRPr="00C22733">
        <w:rPr>
          <w:rFonts w:ascii="Verdana" w:hAnsi="Verdana"/>
          <w:bCs/>
          <w:sz w:val="20"/>
        </w:rPr>
        <w:t>Quinto. Se modifica el primer párrafo de la fracción VII, del Apartado A, del Anexo 21 "Aduanas autorizadas para tramitar el despacho aduanero de determinado tipo de mercancías".</w:t>
      </w:r>
    </w:p>
    <w:p w:rsidR="00C22733" w:rsidRPr="00C22733" w:rsidRDefault="00C22733" w:rsidP="00C22733">
      <w:pPr>
        <w:jc w:val="both"/>
        <w:rPr>
          <w:rFonts w:ascii="Verdana" w:hAnsi="Verdana"/>
          <w:bCs/>
          <w:sz w:val="20"/>
        </w:rPr>
      </w:pPr>
      <w:r w:rsidRPr="00C22733">
        <w:rPr>
          <w:rFonts w:ascii="Verdana" w:hAnsi="Verdana"/>
          <w:bCs/>
          <w:sz w:val="20"/>
        </w:rPr>
        <w:t>Sexto. Se modifica el Anexo 22 "Instructivo para el llenado del Pedimento":</w:t>
      </w:r>
    </w:p>
    <w:p w:rsidR="00C22733" w:rsidRPr="00C22733" w:rsidRDefault="00C22733" w:rsidP="00C22733">
      <w:pPr>
        <w:jc w:val="both"/>
        <w:rPr>
          <w:rFonts w:ascii="Verdana" w:hAnsi="Verdana"/>
          <w:bCs/>
          <w:sz w:val="20"/>
        </w:rPr>
      </w:pPr>
      <w:r w:rsidRPr="00C22733">
        <w:rPr>
          <w:rFonts w:ascii="Verdana" w:hAnsi="Verdana"/>
          <w:bCs/>
          <w:sz w:val="20"/>
        </w:rPr>
        <w:t>I.        Para modificar el Apéndice 8 "IDENTIFICADORES":</w:t>
      </w:r>
    </w:p>
    <w:p w:rsidR="00C22733" w:rsidRPr="00C22733" w:rsidRDefault="00C22733" w:rsidP="00C22733">
      <w:pPr>
        <w:jc w:val="both"/>
        <w:rPr>
          <w:rFonts w:ascii="Verdana" w:hAnsi="Verdana"/>
          <w:bCs/>
          <w:sz w:val="20"/>
        </w:rPr>
      </w:pPr>
      <w:r w:rsidRPr="00C22733">
        <w:rPr>
          <w:rFonts w:ascii="Verdana" w:hAnsi="Verdana"/>
          <w:bCs/>
          <w:sz w:val="20"/>
        </w:rPr>
        <w:t>a)        Para derogar la Clave "C9".</w:t>
      </w:r>
    </w:p>
    <w:p w:rsidR="00C22733" w:rsidRPr="00C22733" w:rsidRDefault="00C22733" w:rsidP="00C22733">
      <w:pPr>
        <w:jc w:val="both"/>
        <w:rPr>
          <w:rFonts w:ascii="Verdana" w:hAnsi="Verdana"/>
          <w:bCs/>
          <w:sz w:val="20"/>
        </w:rPr>
      </w:pPr>
      <w:r w:rsidRPr="00C22733">
        <w:rPr>
          <w:rFonts w:ascii="Verdana" w:hAnsi="Verdana"/>
          <w:bCs/>
          <w:sz w:val="20"/>
        </w:rPr>
        <w:t>b)        Para modificar el supuesto de aplicación y el complemento 1, de la Clave "ES".</w:t>
      </w:r>
    </w:p>
    <w:p w:rsidR="00C22733" w:rsidRPr="00C22733" w:rsidRDefault="00C22733" w:rsidP="00C22733">
      <w:pPr>
        <w:jc w:val="both"/>
        <w:rPr>
          <w:rFonts w:ascii="Verdana" w:hAnsi="Verdana"/>
          <w:bCs/>
          <w:sz w:val="20"/>
        </w:rPr>
      </w:pPr>
      <w:r w:rsidRPr="00C22733">
        <w:rPr>
          <w:rFonts w:ascii="Verdana" w:hAnsi="Verdana"/>
          <w:bCs/>
          <w:sz w:val="20"/>
        </w:rPr>
        <w:t>c)        Para modificar el complemento 1, de la Clave "IN".</w:t>
      </w:r>
    </w:p>
    <w:p w:rsidR="00C22733" w:rsidRPr="00C22733" w:rsidRDefault="00C22733" w:rsidP="00C22733">
      <w:pPr>
        <w:jc w:val="both"/>
        <w:rPr>
          <w:rFonts w:ascii="Verdana" w:hAnsi="Verdana"/>
          <w:bCs/>
          <w:sz w:val="20"/>
        </w:rPr>
      </w:pPr>
      <w:r w:rsidRPr="00C22733">
        <w:rPr>
          <w:rFonts w:ascii="Verdana" w:hAnsi="Verdana"/>
          <w:bCs/>
          <w:sz w:val="20"/>
        </w:rPr>
        <w:t>d)        Para adicionar la Clave "LP".</w:t>
      </w:r>
    </w:p>
    <w:p w:rsidR="00C22733" w:rsidRPr="00C22733" w:rsidRDefault="00C22733" w:rsidP="00C22733">
      <w:pPr>
        <w:jc w:val="both"/>
        <w:rPr>
          <w:rFonts w:ascii="Verdana" w:hAnsi="Verdana"/>
          <w:bCs/>
          <w:sz w:val="20"/>
        </w:rPr>
      </w:pPr>
      <w:r w:rsidRPr="00C22733">
        <w:rPr>
          <w:rFonts w:ascii="Verdana" w:hAnsi="Verdana"/>
          <w:bCs/>
          <w:sz w:val="20"/>
        </w:rPr>
        <w:t>e)        Para modificar el supuesto de aplicación de la Clave "RD".</w:t>
      </w:r>
    </w:p>
    <w:p w:rsidR="00C22733" w:rsidRPr="00C22733" w:rsidRDefault="00C22733" w:rsidP="00C22733">
      <w:pPr>
        <w:jc w:val="both"/>
        <w:rPr>
          <w:rFonts w:ascii="Verdana" w:hAnsi="Verdana"/>
          <w:bCs/>
          <w:sz w:val="20"/>
        </w:rPr>
      </w:pPr>
      <w:r w:rsidRPr="00C22733">
        <w:rPr>
          <w:rFonts w:ascii="Verdana" w:hAnsi="Verdana"/>
          <w:bCs/>
          <w:sz w:val="20"/>
        </w:rPr>
        <w:t>f)        Para modificar el supuesto de aplicación de la Clave "SF".</w:t>
      </w:r>
    </w:p>
    <w:p w:rsidR="00C22733" w:rsidRPr="00C22733" w:rsidRDefault="00C22733" w:rsidP="00C22733">
      <w:pPr>
        <w:jc w:val="both"/>
        <w:rPr>
          <w:rFonts w:ascii="Verdana" w:hAnsi="Verdana"/>
          <w:bCs/>
          <w:sz w:val="20"/>
        </w:rPr>
      </w:pPr>
      <w:r w:rsidRPr="00C22733">
        <w:rPr>
          <w:rFonts w:ascii="Verdana" w:hAnsi="Verdana"/>
          <w:bCs/>
          <w:sz w:val="20"/>
        </w:rPr>
        <w:t>g)        Para adicionar un segundo párrafo a los complementos 2 y 3 de la Clave "TL".</w:t>
      </w:r>
    </w:p>
    <w:p w:rsidR="00C22733" w:rsidRPr="00C22733" w:rsidRDefault="00C22733" w:rsidP="00C22733">
      <w:pPr>
        <w:jc w:val="both"/>
        <w:rPr>
          <w:rFonts w:ascii="Verdana" w:hAnsi="Verdana"/>
          <w:bCs/>
          <w:sz w:val="20"/>
        </w:rPr>
      </w:pPr>
      <w:r w:rsidRPr="00C22733">
        <w:rPr>
          <w:rFonts w:ascii="Verdana" w:hAnsi="Verdana"/>
          <w:bCs/>
          <w:sz w:val="20"/>
        </w:rPr>
        <w:t>Séptimo. Se modifica el Anexo 27 "Fracciones arancelarias de la TIGIE, por cuya importación no se está obligado al pago del IVA, de conformidad con el artículo 25, fracción III, en relación con el artículo 2-A, fracción I de la Ley del IVA":</w:t>
      </w:r>
    </w:p>
    <w:p w:rsidR="00C22733" w:rsidRPr="00C22733" w:rsidRDefault="00C22733" w:rsidP="00C22733">
      <w:pPr>
        <w:jc w:val="both"/>
        <w:rPr>
          <w:rFonts w:ascii="Verdana" w:hAnsi="Verdana"/>
          <w:bCs/>
          <w:sz w:val="20"/>
        </w:rPr>
      </w:pPr>
      <w:r w:rsidRPr="00C22733">
        <w:rPr>
          <w:rFonts w:ascii="Verdana" w:hAnsi="Verdana"/>
          <w:bCs/>
          <w:sz w:val="20"/>
        </w:rPr>
        <w:t>I.        Para modificar el contenido del subíndice "B", del Capítulo 29 "Productos químicos orgánicos".</w:t>
      </w:r>
    </w:p>
    <w:p w:rsidR="00C22733" w:rsidRPr="00C22733" w:rsidRDefault="00C22733" w:rsidP="00C22733">
      <w:pPr>
        <w:jc w:val="both"/>
        <w:rPr>
          <w:rFonts w:ascii="Verdana" w:hAnsi="Verdana"/>
          <w:bCs/>
          <w:sz w:val="20"/>
        </w:rPr>
      </w:pPr>
      <w:r w:rsidRPr="00C22733">
        <w:rPr>
          <w:rFonts w:ascii="Verdana" w:hAnsi="Verdana"/>
          <w:bCs/>
          <w:sz w:val="20"/>
        </w:rPr>
        <w:lastRenderedPageBreak/>
        <w:t>II.        Para adicionar el subíndice "A" a la fracción arancelaria 3004.90.99, del Capítulo 30 "Productos farmacéuticos".</w:t>
      </w:r>
    </w:p>
    <w:p w:rsidR="00C22733" w:rsidRPr="00C22733" w:rsidRDefault="00C22733" w:rsidP="00C22733">
      <w:pPr>
        <w:jc w:val="both"/>
        <w:rPr>
          <w:rFonts w:ascii="Verdana" w:hAnsi="Verdana"/>
          <w:bCs/>
          <w:sz w:val="20"/>
        </w:rPr>
      </w:pPr>
      <w:r w:rsidRPr="00C22733">
        <w:rPr>
          <w:rFonts w:ascii="Verdana" w:hAnsi="Verdana"/>
          <w:bCs/>
          <w:sz w:val="20"/>
        </w:rPr>
        <w:t>Octavo. Se modifica el Transitorio Único, fracciones II, III y IV de la Tercera Resolución de Modificaciones a las Reglas Generales de Comercio Exterior para 2018, publicada en el DOF el 30 de noviembre de 2018, para quedar como sigue:</w:t>
      </w:r>
    </w:p>
    <w:p w:rsidR="00C22733" w:rsidRPr="00C22733" w:rsidRDefault="00C22733" w:rsidP="00C22733">
      <w:pPr>
        <w:jc w:val="both"/>
        <w:rPr>
          <w:rFonts w:ascii="Verdana" w:hAnsi="Verdana"/>
          <w:bCs/>
          <w:sz w:val="20"/>
        </w:rPr>
      </w:pPr>
      <w:r w:rsidRPr="00C22733">
        <w:rPr>
          <w:rFonts w:ascii="Verdana" w:hAnsi="Verdana"/>
          <w:bCs/>
          <w:sz w:val="20"/>
        </w:rPr>
        <w:t>"Único.        </w:t>
      </w:r>
    </w:p>
    <w:p w:rsidR="00C22733" w:rsidRPr="00C22733" w:rsidRDefault="00C22733" w:rsidP="00C22733">
      <w:pPr>
        <w:jc w:val="both"/>
        <w:rPr>
          <w:rFonts w:ascii="Verdana" w:hAnsi="Verdana"/>
          <w:bCs/>
          <w:sz w:val="20"/>
        </w:rPr>
      </w:pPr>
      <w:r w:rsidRPr="00C22733">
        <w:rPr>
          <w:rFonts w:ascii="Verdana" w:hAnsi="Verdana"/>
          <w:bCs/>
          <w:sz w:val="20"/>
        </w:rPr>
        <w:t>II. Las modificaciones a la regla 3.7.1., entrarán en vigor el 1º de junio de 2019, excepto la transmisión de la información a que se refiere su cuarto párrafo, que entrará en vigor el 1º de octubre de 2019.</w:t>
      </w:r>
    </w:p>
    <w:p w:rsidR="00C22733" w:rsidRPr="00C22733" w:rsidRDefault="00C22733" w:rsidP="00C22733">
      <w:pPr>
        <w:jc w:val="both"/>
        <w:rPr>
          <w:rFonts w:ascii="Verdana" w:hAnsi="Verdana"/>
          <w:bCs/>
          <w:sz w:val="20"/>
        </w:rPr>
      </w:pPr>
      <w:r w:rsidRPr="00C22733">
        <w:rPr>
          <w:rFonts w:ascii="Verdana" w:hAnsi="Verdana"/>
          <w:bCs/>
          <w:sz w:val="20"/>
        </w:rPr>
        <w:t>III. Las modificaciones a la regla 3.7.3., entrarán en vigor el 1º de junio de 2019, excepto la exigibilidad de la inscripción en el "Registro de empresas de mensajería y paquetería" a que se refiere su primer párrafo y la transmisión de la información a que se refiere su sexto párrafo, que entrarán en vigor el 1º de octubre de 2019.</w:t>
      </w:r>
    </w:p>
    <w:p w:rsidR="00C22733" w:rsidRPr="00C22733" w:rsidRDefault="00C22733" w:rsidP="00C22733">
      <w:pPr>
        <w:jc w:val="both"/>
        <w:rPr>
          <w:rFonts w:ascii="Verdana" w:hAnsi="Verdana"/>
          <w:bCs/>
          <w:sz w:val="20"/>
        </w:rPr>
      </w:pPr>
      <w:r w:rsidRPr="00C22733">
        <w:rPr>
          <w:rFonts w:ascii="Verdana" w:hAnsi="Verdana"/>
          <w:bCs/>
          <w:sz w:val="20"/>
        </w:rPr>
        <w:t>IV. La adición de la regla 3.7.35., entrará en vigor el 1º de junio de 2019, excepto la exigibilidad de la inscripción en el "Registro de empresas de mensajería y paquetería" a que se refiere su primer y segundo párrafo, que entrarán en vigor el 1º de octubre de 2019.</w:t>
      </w:r>
    </w:p>
    <w:p w:rsidR="00C22733" w:rsidRPr="00C22733" w:rsidRDefault="00C22733" w:rsidP="00C22733">
      <w:pPr>
        <w:jc w:val="both"/>
        <w:rPr>
          <w:rFonts w:ascii="Verdana" w:hAnsi="Verdana"/>
          <w:bCs/>
          <w:sz w:val="20"/>
        </w:rPr>
      </w:pPr>
      <w:r w:rsidRPr="00C22733">
        <w:rPr>
          <w:rFonts w:ascii="Verdana" w:hAnsi="Verdana"/>
          <w:bCs/>
          <w:sz w:val="20"/>
        </w:rPr>
        <w:t>       "</w:t>
      </w:r>
    </w:p>
    <w:p w:rsidR="00C22733" w:rsidRPr="00C22733" w:rsidRDefault="00C22733" w:rsidP="00C22733">
      <w:pPr>
        <w:jc w:val="both"/>
        <w:rPr>
          <w:rFonts w:ascii="Verdana" w:hAnsi="Verdana"/>
          <w:bCs/>
          <w:sz w:val="20"/>
        </w:rPr>
      </w:pPr>
      <w:r w:rsidRPr="00C22733">
        <w:rPr>
          <w:rFonts w:ascii="Verdana" w:hAnsi="Verdana"/>
          <w:bCs/>
          <w:sz w:val="20"/>
        </w:rPr>
        <w:t>Transitorio.</w:t>
      </w:r>
    </w:p>
    <w:p w:rsidR="00C22733" w:rsidRPr="00C22733" w:rsidRDefault="00C22733" w:rsidP="00C22733">
      <w:pPr>
        <w:jc w:val="both"/>
        <w:rPr>
          <w:rFonts w:ascii="Verdana" w:hAnsi="Verdana"/>
          <w:bCs/>
          <w:sz w:val="20"/>
        </w:rPr>
      </w:pPr>
      <w:r w:rsidRPr="00C22733">
        <w:rPr>
          <w:rFonts w:ascii="Verdana" w:hAnsi="Verdana"/>
          <w:bCs/>
          <w:sz w:val="20"/>
        </w:rPr>
        <w:t>Primero. La presente Resolución entrará en vigor al día siguiente de su publicación, con excepción de lo siguiente:</w:t>
      </w:r>
    </w:p>
    <w:p w:rsidR="00C22733" w:rsidRPr="00C22733" w:rsidRDefault="00C22733" w:rsidP="00C22733">
      <w:pPr>
        <w:jc w:val="both"/>
        <w:rPr>
          <w:rFonts w:ascii="Verdana" w:hAnsi="Verdana"/>
          <w:bCs/>
          <w:sz w:val="20"/>
        </w:rPr>
      </w:pPr>
      <w:r w:rsidRPr="00C22733">
        <w:rPr>
          <w:rFonts w:ascii="Verdana" w:hAnsi="Verdana"/>
          <w:bCs/>
          <w:sz w:val="20"/>
        </w:rPr>
        <w:t>I.        La adición de la fracción XLIII, a la regla 1.3.3., entrará en vigor el 1º de julio de 2019.</w:t>
      </w:r>
    </w:p>
    <w:p w:rsidR="00C22733" w:rsidRPr="00C22733" w:rsidRDefault="00C22733" w:rsidP="00C22733">
      <w:pPr>
        <w:jc w:val="both"/>
        <w:rPr>
          <w:rFonts w:ascii="Verdana" w:hAnsi="Verdana"/>
          <w:bCs/>
          <w:sz w:val="20"/>
        </w:rPr>
      </w:pPr>
      <w:r w:rsidRPr="00C22733">
        <w:rPr>
          <w:rFonts w:ascii="Verdana" w:hAnsi="Verdana"/>
          <w:bCs/>
          <w:sz w:val="20"/>
        </w:rPr>
        <w:t>II.        La adición de un cuarto párrafo, a la regla 3.1.22., entrará en vigor el 1º de julio de 2019.</w:t>
      </w:r>
    </w:p>
    <w:p w:rsidR="00C22733" w:rsidRPr="00C22733" w:rsidRDefault="00C22733" w:rsidP="00C22733">
      <w:pPr>
        <w:jc w:val="both"/>
        <w:rPr>
          <w:rFonts w:ascii="Verdana" w:hAnsi="Verdana"/>
          <w:bCs/>
          <w:sz w:val="20"/>
        </w:rPr>
      </w:pPr>
      <w:r w:rsidRPr="00C22733">
        <w:rPr>
          <w:rFonts w:ascii="Verdana" w:hAnsi="Verdana"/>
          <w:bCs/>
          <w:sz w:val="20"/>
        </w:rPr>
        <w:t>Segundo. Para efectos de la regla 1.1.2., lo dispuesto en el Resolutivo Octavo de la presente Resolución, de acuerdo a su publicación anticipada en el Portal del SAT el 27 de febrero de 2019, será aplicable a partir del 28 de febrero de 2019.</w:t>
      </w:r>
    </w:p>
    <w:p w:rsidR="00C22733" w:rsidRPr="00C22733" w:rsidRDefault="00C22733" w:rsidP="00C22733">
      <w:pPr>
        <w:jc w:val="both"/>
        <w:rPr>
          <w:rFonts w:ascii="Verdana" w:hAnsi="Verdana"/>
          <w:bCs/>
          <w:sz w:val="20"/>
        </w:rPr>
      </w:pPr>
      <w:r w:rsidRPr="00C22733">
        <w:rPr>
          <w:rFonts w:ascii="Verdana" w:hAnsi="Verdana"/>
          <w:bCs/>
          <w:sz w:val="20"/>
        </w:rPr>
        <w:t>Tercero. La obligación de las Empresas que cuenten con Programa IMMEX, relativa a garantizar el pago de las contribuciones por la importación temporal de mercancías sensibles del Anexo II del Decreto IMMEX, mediante póliza de fianza, a que se refiere la regla 4.3.21., será exigible hasta la entrada en vigor del Acuerdo que la SE publique en el DOF para la aplicación del artículo 5, fracción IV del Decreto IMMEX.</w:t>
      </w:r>
    </w:p>
    <w:p w:rsidR="00C22733" w:rsidRPr="00C22733" w:rsidRDefault="00C22733" w:rsidP="00C22733">
      <w:pPr>
        <w:jc w:val="both"/>
        <w:rPr>
          <w:rFonts w:ascii="Verdana" w:hAnsi="Verdana"/>
          <w:bCs/>
          <w:sz w:val="20"/>
        </w:rPr>
      </w:pPr>
      <w:r w:rsidRPr="00C22733">
        <w:rPr>
          <w:rFonts w:ascii="Verdana" w:hAnsi="Verdana"/>
          <w:bCs/>
          <w:sz w:val="20"/>
        </w:rPr>
        <w:t>Atentamente,</w:t>
      </w:r>
    </w:p>
    <w:p w:rsidR="00C22733" w:rsidRPr="00C22733" w:rsidRDefault="00C22733" w:rsidP="00C22733">
      <w:pPr>
        <w:jc w:val="both"/>
        <w:rPr>
          <w:rFonts w:ascii="Verdana" w:hAnsi="Verdana"/>
          <w:bCs/>
          <w:sz w:val="20"/>
        </w:rPr>
      </w:pPr>
      <w:r w:rsidRPr="00C22733">
        <w:rPr>
          <w:rFonts w:ascii="Verdana" w:hAnsi="Verdana"/>
          <w:bCs/>
          <w:sz w:val="20"/>
        </w:rPr>
        <w:t xml:space="preserve">Ciudad de México, a 14 de marzo de 2019.- La Jefa del Servicio de Administración Tributaria, Ana Margarita Ríos </w:t>
      </w:r>
      <w:proofErr w:type="spellStart"/>
      <w:r w:rsidRPr="00C22733">
        <w:rPr>
          <w:rFonts w:ascii="Verdana" w:hAnsi="Verdana"/>
          <w:bCs/>
          <w:sz w:val="20"/>
        </w:rPr>
        <w:t>Farjat</w:t>
      </w:r>
      <w:proofErr w:type="spellEnd"/>
      <w:r w:rsidRPr="00C22733">
        <w:rPr>
          <w:rFonts w:ascii="Verdana" w:hAnsi="Verdana"/>
          <w:bCs/>
          <w:sz w:val="20"/>
        </w:rPr>
        <w:t>.- Rúbrica.</w:t>
      </w:r>
    </w:p>
    <w:p w:rsidR="00C22733" w:rsidRPr="00C22733" w:rsidRDefault="00C22733" w:rsidP="00C22733">
      <w:pPr>
        <w:jc w:val="both"/>
        <w:rPr>
          <w:rFonts w:ascii="Verdana" w:hAnsi="Verdana"/>
          <w:bCs/>
          <w:sz w:val="20"/>
        </w:rPr>
      </w:pPr>
      <w:r w:rsidRPr="00C22733">
        <w:rPr>
          <w:rFonts w:ascii="Verdana" w:hAnsi="Verdana"/>
          <w:bCs/>
          <w:sz w:val="20"/>
        </w:rPr>
        <w:lastRenderedPageBreak/>
        <w:t>ANEXO 1-A DE LAS REGLAS GENERALES DE COMERCIO EXTERIOR PARA 2018</w:t>
      </w:r>
    </w:p>
    <w:p w:rsidR="00C22733" w:rsidRPr="00C22733" w:rsidRDefault="00C22733" w:rsidP="00C22733">
      <w:pPr>
        <w:jc w:val="both"/>
        <w:rPr>
          <w:rFonts w:ascii="Verdana" w:hAnsi="Verdana"/>
          <w:bCs/>
          <w:sz w:val="20"/>
        </w:rPr>
      </w:pPr>
      <w:r w:rsidRPr="00C22733">
        <w:rPr>
          <w:rFonts w:ascii="Verdana" w:hAnsi="Verdana"/>
          <w:bCs/>
          <w:sz w:val="20"/>
        </w:rPr>
        <w:t>Trámites de Comercio Exterior</w:t>
      </w:r>
    </w:p>
    <w:tbl>
      <w:tblPr>
        <w:tblW w:w="8700"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625"/>
        <w:gridCol w:w="5518"/>
        <w:gridCol w:w="1189"/>
        <w:gridCol w:w="1566"/>
      </w:tblGrid>
      <w:tr w:rsidR="00C22733" w:rsidRPr="00C22733" w:rsidTr="00C22733">
        <w:trPr>
          <w:trHeight w:val="15"/>
        </w:trPr>
        <w:tc>
          <w:tcPr>
            <w:tcW w:w="570" w:type="dxa"/>
            <w:tcBorders>
              <w:top w:val="single" w:sz="6" w:space="0" w:color="000000"/>
              <w:left w:val="single" w:sz="6" w:space="0" w:color="000000"/>
              <w:bottom w:val="nil"/>
              <w:right w:val="nil"/>
            </w:tcBorders>
            <w:vAlign w:val="center"/>
            <w:hideMark/>
          </w:tcPr>
          <w:p w:rsidR="00000000" w:rsidRPr="00C22733" w:rsidRDefault="00C22733" w:rsidP="00C22733">
            <w:pPr>
              <w:jc w:val="both"/>
              <w:rPr>
                <w:rFonts w:ascii="Verdana" w:hAnsi="Verdana"/>
                <w:bCs/>
                <w:sz w:val="20"/>
              </w:rPr>
            </w:pPr>
          </w:p>
        </w:tc>
        <w:tc>
          <w:tcPr>
            <w:tcW w:w="5220" w:type="dxa"/>
            <w:tcBorders>
              <w:top w:val="single" w:sz="6" w:space="0" w:color="000000"/>
              <w:left w:val="nil"/>
              <w:bottom w:val="nil"/>
              <w:right w:val="nil"/>
            </w:tcBorders>
            <w:vAlign w:val="center"/>
            <w:hideMark/>
          </w:tcPr>
          <w:p w:rsidR="00000000" w:rsidRPr="00C22733" w:rsidRDefault="00C22733" w:rsidP="00C22733">
            <w:pPr>
              <w:jc w:val="both"/>
              <w:rPr>
                <w:rFonts w:ascii="Verdana" w:hAnsi="Verdana"/>
                <w:bCs/>
                <w:sz w:val="20"/>
              </w:rPr>
            </w:pPr>
            <w:r w:rsidRPr="00C22733">
              <w:rPr>
                <w:rFonts w:ascii="Verdana" w:hAnsi="Verdana"/>
                <w:bCs/>
                <w:sz w:val="20"/>
              </w:rPr>
              <w:t>FICHAS DE TRAMITE</w:t>
            </w:r>
          </w:p>
        </w:tc>
        <w:tc>
          <w:tcPr>
            <w:tcW w:w="1185" w:type="dxa"/>
            <w:tcBorders>
              <w:top w:val="single" w:sz="6" w:space="0" w:color="000000"/>
              <w:left w:val="nil"/>
              <w:bottom w:val="nil"/>
              <w:right w:val="nil"/>
            </w:tcBorders>
            <w:vAlign w:val="center"/>
            <w:hideMark/>
          </w:tcPr>
          <w:p w:rsidR="00000000" w:rsidRPr="00C22733" w:rsidRDefault="00C22733" w:rsidP="00C22733">
            <w:pPr>
              <w:jc w:val="both"/>
              <w:rPr>
                <w:rFonts w:ascii="Verdana" w:hAnsi="Verdana"/>
                <w:bCs/>
                <w:sz w:val="20"/>
              </w:rPr>
            </w:pPr>
            <w:r w:rsidRPr="00C22733">
              <w:rPr>
                <w:rFonts w:ascii="Verdana" w:hAnsi="Verdana"/>
                <w:bCs/>
                <w:sz w:val="20"/>
              </w:rPr>
              <w:t>AUTORIDAD ANTE LA QUE SE PRESENTA</w:t>
            </w:r>
          </w:p>
        </w:tc>
        <w:tc>
          <w:tcPr>
            <w:tcW w:w="1545" w:type="dxa"/>
            <w:tcBorders>
              <w:top w:val="single" w:sz="6" w:space="0" w:color="000000"/>
              <w:left w:val="nil"/>
              <w:bottom w:val="nil"/>
              <w:right w:val="single" w:sz="6" w:space="0" w:color="000000"/>
            </w:tcBorders>
            <w:vAlign w:val="center"/>
            <w:hideMark/>
          </w:tcPr>
          <w:p w:rsidR="00000000" w:rsidRPr="00C22733" w:rsidRDefault="00C22733" w:rsidP="00C22733">
            <w:pPr>
              <w:jc w:val="both"/>
              <w:rPr>
                <w:rFonts w:ascii="Verdana" w:hAnsi="Verdana"/>
                <w:bCs/>
                <w:sz w:val="20"/>
              </w:rPr>
            </w:pPr>
            <w:r w:rsidRPr="00C22733">
              <w:rPr>
                <w:rFonts w:ascii="Verdana" w:hAnsi="Verdana"/>
                <w:bCs/>
                <w:sz w:val="20"/>
              </w:rPr>
              <w:t>MEDIO DE PRESENTACIÓN</w:t>
            </w:r>
          </w:p>
        </w:tc>
      </w:tr>
      <w:tr w:rsidR="00C22733" w:rsidRPr="00C22733" w:rsidTr="00C22733">
        <w:trPr>
          <w:trHeight w:val="15"/>
        </w:trPr>
        <w:tc>
          <w:tcPr>
            <w:tcW w:w="570" w:type="dxa"/>
            <w:tcBorders>
              <w:top w:val="nil"/>
              <w:left w:val="single" w:sz="6" w:space="0" w:color="000000"/>
              <w:bottom w:val="nil"/>
              <w:right w:val="nil"/>
            </w:tcBorders>
            <w:vAlign w:val="center"/>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5220" w:type="dxa"/>
            <w:tcBorders>
              <w:top w:val="nil"/>
              <w:left w:val="nil"/>
              <w:bottom w:val="nil"/>
              <w:right w:val="nil"/>
            </w:tcBorders>
            <w:vAlign w:val="center"/>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1185" w:type="dxa"/>
            <w:tcBorders>
              <w:top w:val="nil"/>
              <w:left w:val="nil"/>
              <w:bottom w:val="nil"/>
              <w:right w:val="nil"/>
            </w:tcBorders>
            <w:vAlign w:val="center"/>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1545" w:type="dxa"/>
            <w:tcBorders>
              <w:top w:val="nil"/>
              <w:left w:val="nil"/>
              <w:bottom w:val="nil"/>
              <w:right w:val="single" w:sz="6" w:space="0" w:color="000000"/>
            </w:tcBorders>
            <w:vAlign w:val="center"/>
            <w:hideMark/>
          </w:tcPr>
          <w:p w:rsidR="00000000" w:rsidRPr="00C22733" w:rsidRDefault="00C22733" w:rsidP="00C22733">
            <w:pPr>
              <w:jc w:val="both"/>
              <w:rPr>
                <w:rFonts w:ascii="Verdana" w:hAnsi="Verdana"/>
                <w:bCs/>
                <w:sz w:val="20"/>
              </w:rPr>
            </w:pPr>
            <w:r w:rsidRPr="00C22733">
              <w:rPr>
                <w:rFonts w:ascii="Verdana" w:hAnsi="Verdana"/>
                <w:bCs/>
                <w:sz w:val="20"/>
              </w:rPr>
              <w:t>........................</w:t>
            </w:r>
          </w:p>
        </w:tc>
      </w:tr>
      <w:tr w:rsidR="00C22733" w:rsidRPr="00C22733" w:rsidTr="00C22733">
        <w:trPr>
          <w:trHeight w:val="15"/>
        </w:trPr>
        <w:tc>
          <w:tcPr>
            <w:tcW w:w="570" w:type="dxa"/>
            <w:tcBorders>
              <w:top w:val="nil"/>
              <w:left w:val="single" w:sz="6" w:space="0" w:color="000000"/>
              <w:bottom w:val="nil"/>
              <w:right w:val="nil"/>
            </w:tcBorders>
            <w:vAlign w:val="center"/>
            <w:hideMark/>
          </w:tcPr>
          <w:p w:rsidR="00000000" w:rsidRPr="00C22733" w:rsidRDefault="00C22733" w:rsidP="00C22733">
            <w:pPr>
              <w:jc w:val="both"/>
              <w:rPr>
                <w:rFonts w:ascii="Verdana" w:hAnsi="Verdana"/>
                <w:bCs/>
                <w:sz w:val="20"/>
              </w:rPr>
            </w:pPr>
            <w:r w:rsidRPr="00C22733">
              <w:rPr>
                <w:rFonts w:ascii="Verdana" w:hAnsi="Verdana"/>
                <w:bCs/>
                <w:sz w:val="20"/>
              </w:rPr>
              <w:t>18/LA</w:t>
            </w:r>
          </w:p>
        </w:tc>
        <w:tc>
          <w:tcPr>
            <w:tcW w:w="5220" w:type="dxa"/>
            <w:tcBorders>
              <w:top w:val="nil"/>
              <w:left w:val="nil"/>
              <w:bottom w:val="nil"/>
              <w:right w:val="nil"/>
            </w:tcBorders>
            <w:vAlign w:val="center"/>
            <w:hideMark/>
          </w:tcPr>
          <w:p w:rsidR="00000000" w:rsidRPr="00C22733" w:rsidRDefault="00C22733" w:rsidP="00C22733">
            <w:pPr>
              <w:jc w:val="both"/>
              <w:rPr>
                <w:rFonts w:ascii="Verdana" w:hAnsi="Verdana"/>
                <w:bCs/>
                <w:sz w:val="20"/>
              </w:rPr>
            </w:pPr>
            <w:r w:rsidRPr="00C22733">
              <w:rPr>
                <w:rFonts w:ascii="Verdana" w:hAnsi="Verdana"/>
                <w:bCs/>
                <w:sz w:val="20"/>
              </w:rPr>
              <w:t>Instructivo de trámite para solicitar el retiro voluntario de un agente aduanal o su ratificación (Regla 1.4.14.).</w:t>
            </w:r>
          </w:p>
        </w:tc>
        <w:tc>
          <w:tcPr>
            <w:tcW w:w="1185" w:type="dxa"/>
            <w:tcBorders>
              <w:top w:val="nil"/>
              <w:left w:val="nil"/>
              <w:bottom w:val="nil"/>
              <w:right w:val="nil"/>
            </w:tcBorders>
            <w:vAlign w:val="center"/>
            <w:hideMark/>
          </w:tcPr>
          <w:p w:rsidR="00000000" w:rsidRPr="00C22733" w:rsidRDefault="00C22733" w:rsidP="00C22733">
            <w:pPr>
              <w:jc w:val="both"/>
              <w:rPr>
                <w:rFonts w:ascii="Verdana" w:hAnsi="Verdana"/>
                <w:bCs/>
                <w:sz w:val="20"/>
              </w:rPr>
            </w:pPr>
            <w:r w:rsidRPr="00C22733">
              <w:rPr>
                <w:rFonts w:ascii="Verdana" w:hAnsi="Verdana"/>
                <w:bCs/>
                <w:sz w:val="20"/>
              </w:rPr>
              <w:t>ACAJA</w:t>
            </w:r>
          </w:p>
        </w:tc>
        <w:tc>
          <w:tcPr>
            <w:tcW w:w="1545" w:type="dxa"/>
            <w:tcBorders>
              <w:top w:val="nil"/>
              <w:left w:val="nil"/>
              <w:bottom w:val="nil"/>
              <w:right w:val="single" w:sz="6" w:space="0" w:color="000000"/>
            </w:tcBorders>
            <w:vAlign w:val="center"/>
            <w:hideMark/>
          </w:tcPr>
          <w:p w:rsidR="00000000" w:rsidRPr="00C22733" w:rsidRDefault="00C22733" w:rsidP="00C22733">
            <w:pPr>
              <w:jc w:val="both"/>
              <w:rPr>
                <w:rFonts w:ascii="Verdana" w:hAnsi="Verdana"/>
                <w:bCs/>
                <w:sz w:val="20"/>
              </w:rPr>
            </w:pPr>
            <w:r w:rsidRPr="00C22733">
              <w:rPr>
                <w:rFonts w:ascii="Verdana" w:hAnsi="Verdana"/>
                <w:bCs/>
                <w:sz w:val="20"/>
              </w:rPr>
              <w:t>Escrito Libre</w:t>
            </w:r>
          </w:p>
        </w:tc>
      </w:tr>
      <w:tr w:rsidR="00C22733" w:rsidRPr="00C22733" w:rsidTr="00C22733">
        <w:trPr>
          <w:trHeight w:val="15"/>
        </w:trPr>
        <w:tc>
          <w:tcPr>
            <w:tcW w:w="570" w:type="dxa"/>
            <w:tcBorders>
              <w:top w:val="nil"/>
              <w:left w:val="single" w:sz="6" w:space="0" w:color="000000"/>
              <w:bottom w:val="nil"/>
              <w:right w:val="nil"/>
            </w:tcBorders>
            <w:vAlign w:val="center"/>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5220" w:type="dxa"/>
            <w:tcBorders>
              <w:top w:val="nil"/>
              <w:left w:val="nil"/>
              <w:bottom w:val="nil"/>
              <w:right w:val="nil"/>
            </w:tcBorders>
            <w:vAlign w:val="center"/>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1185" w:type="dxa"/>
            <w:tcBorders>
              <w:top w:val="nil"/>
              <w:left w:val="nil"/>
              <w:bottom w:val="nil"/>
              <w:right w:val="nil"/>
            </w:tcBorders>
            <w:vAlign w:val="center"/>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1545" w:type="dxa"/>
            <w:tcBorders>
              <w:top w:val="nil"/>
              <w:left w:val="nil"/>
              <w:bottom w:val="nil"/>
              <w:right w:val="single" w:sz="6" w:space="0" w:color="000000"/>
            </w:tcBorders>
            <w:vAlign w:val="center"/>
            <w:hideMark/>
          </w:tcPr>
          <w:p w:rsidR="00000000" w:rsidRPr="00C22733" w:rsidRDefault="00C22733" w:rsidP="00C22733">
            <w:pPr>
              <w:jc w:val="both"/>
              <w:rPr>
                <w:rFonts w:ascii="Verdana" w:hAnsi="Verdana"/>
                <w:bCs/>
                <w:sz w:val="20"/>
              </w:rPr>
            </w:pPr>
            <w:r w:rsidRPr="00C22733">
              <w:rPr>
                <w:rFonts w:ascii="Verdana" w:hAnsi="Verdana"/>
                <w:bCs/>
                <w:sz w:val="20"/>
              </w:rPr>
              <w:t>........................</w:t>
            </w:r>
          </w:p>
        </w:tc>
      </w:tr>
      <w:tr w:rsidR="00C22733" w:rsidRPr="00C22733" w:rsidTr="00C22733">
        <w:trPr>
          <w:trHeight w:val="15"/>
        </w:trPr>
        <w:tc>
          <w:tcPr>
            <w:tcW w:w="570" w:type="dxa"/>
            <w:tcBorders>
              <w:top w:val="nil"/>
              <w:left w:val="single" w:sz="6" w:space="0" w:color="000000"/>
              <w:bottom w:val="nil"/>
              <w:right w:val="nil"/>
            </w:tcBorders>
            <w:vAlign w:val="center"/>
            <w:hideMark/>
          </w:tcPr>
          <w:p w:rsidR="00000000" w:rsidRPr="00C22733" w:rsidRDefault="00C22733" w:rsidP="00C22733">
            <w:pPr>
              <w:jc w:val="both"/>
              <w:rPr>
                <w:rFonts w:ascii="Verdana" w:hAnsi="Verdana"/>
                <w:bCs/>
                <w:sz w:val="20"/>
              </w:rPr>
            </w:pPr>
            <w:r w:rsidRPr="00C22733">
              <w:rPr>
                <w:rFonts w:ascii="Verdana" w:hAnsi="Verdana"/>
                <w:bCs/>
                <w:sz w:val="20"/>
              </w:rPr>
              <w:t>36/LA</w:t>
            </w:r>
          </w:p>
        </w:tc>
        <w:tc>
          <w:tcPr>
            <w:tcW w:w="5220" w:type="dxa"/>
            <w:tcBorders>
              <w:top w:val="nil"/>
              <w:left w:val="nil"/>
              <w:bottom w:val="nil"/>
              <w:right w:val="nil"/>
            </w:tcBorders>
            <w:vAlign w:val="center"/>
            <w:hideMark/>
          </w:tcPr>
          <w:p w:rsidR="00000000" w:rsidRPr="00C22733" w:rsidRDefault="00C22733" w:rsidP="00C22733">
            <w:pPr>
              <w:jc w:val="both"/>
              <w:rPr>
                <w:rFonts w:ascii="Verdana" w:hAnsi="Verdana"/>
                <w:bCs/>
                <w:sz w:val="20"/>
              </w:rPr>
            </w:pPr>
            <w:r w:rsidRPr="00C22733">
              <w:rPr>
                <w:rFonts w:ascii="Verdana" w:hAnsi="Verdana"/>
                <w:bCs/>
                <w:sz w:val="20"/>
              </w:rPr>
              <w:t>Instructivo de trámite para la inscripción o renovación en el registro para la toma de muestras de mercancías, conforme al artículo 45 de la Ley (Regla 3.1.3.).</w:t>
            </w:r>
          </w:p>
        </w:tc>
        <w:tc>
          <w:tcPr>
            <w:tcW w:w="1185" w:type="dxa"/>
            <w:tcBorders>
              <w:top w:val="nil"/>
              <w:left w:val="nil"/>
              <w:bottom w:val="nil"/>
              <w:right w:val="nil"/>
            </w:tcBorders>
            <w:vAlign w:val="center"/>
            <w:hideMark/>
          </w:tcPr>
          <w:p w:rsidR="00000000" w:rsidRPr="00C22733" w:rsidRDefault="00C22733" w:rsidP="00C22733">
            <w:pPr>
              <w:jc w:val="both"/>
              <w:rPr>
                <w:rFonts w:ascii="Verdana" w:hAnsi="Verdana"/>
                <w:bCs/>
                <w:sz w:val="20"/>
              </w:rPr>
            </w:pPr>
            <w:r w:rsidRPr="00C22733">
              <w:rPr>
                <w:rFonts w:ascii="Verdana" w:hAnsi="Verdana"/>
                <w:bCs/>
                <w:sz w:val="20"/>
              </w:rPr>
              <w:t>ACAJA</w:t>
            </w:r>
          </w:p>
        </w:tc>
        <w:tc>
          <w:tcPr>
            <w:tcW w:w="1545" w:type="dxa"/>
            <w:tcBorders>
              <w:top w:val="nil"/>
              <w:left w:val="nil"/>
              <w:bottom w:val="nil"/>
              <w:right w:val="single" w:sz="6" w:space="0" w:color="000000"/>
            </w:tcBorders>
            <w:vAlign w:val="center"/>
            <w:hideMark/>
          </w:tcPr>
          <w:p w:rsidR="00000000" w:rsidRPr="00C22733" w:rsidRDefault="00C22733" w:rsidP="00C22733">
            <w:pPr>
              <w:jc w:val="both"/>
              <w:rPr>
                <w:rFonts w:ascii="Verdana" w:hAnsi="Verdana"/>
                <w:bCs/>
                <w:sz w:val="20"/>
              </w:rPr>
            </w:pPr>
            <w:r w:rsidRPr="00C22733">
              <w:rPr>
                <w:rFonts w:ascii="Verdana" w:hAnsi="Verdana"/>
                <w:bCs/>
                <w:sz w:val="20"/>
              </w:rPr>
              <w:t>Ventanilla Digital</w:t>
            </w:r>
          </w:p>
        </w:tc>
      </w:tr>
      <w:tr w:rsidR="00C22733" w:rsidRPr="00C22733" w:rsidTr="00C22733">
        <w:trPr>
          <w:trHeight w:val="15"/>
        </w:trPr>
        <w:tc>
          <w:tcPr>
            <w:tcW w:w="570" w:type="dxa"/>
            <w:tcBorders>
              <w:top w:val="nil"/>
              <w:left w:val="single" w:sz="6" w:space="0" w:color="000000"/>
              <w:bottom w:val="single" w:sz="6" w:space="0" w:color="000000"/>
              <w:right w:val="nil"/>
            </w:tcBorders>
            <w:vAlign w:val="center"/>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5220" w:type="dxa"/>
            <w:tcBorders>
              <w:top w:val="nil"/>
              <w:left w:val="nil"/>
              <w:bottom w:val="single" w:sz="6" w:space="0" w:color="000000"/>
              <w:right w:val="nil"/>
            </w:tcBorders>
            <w:vAlign w:val="center"/>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1185" w:type="dxa"/>
            <w:tcBorders>
              <w:top w:val="nil"/>
              <w:left w:val="nil"/>
              <w:bottom w:val="single" w:sz="6" w:space="0" w:color="000000"/>
              <w:right w:val="nil"/>
            </w:tcBorders>
            <w:vAlign w:val="center"/>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1545" w:type="dxa"/>
            <w:tcBorders>
              <w:top w:val="nil"/>
              <w:left w:val="nil"/>
              <w:bottom w:val="single" w:sz="6" w:space="0" w:color="000000"/>
              <w:right w:val="single" w:sz="6" w:space="0" w:color="000000"/>
            </w:tcBorders>
            <w:vAlign w:val="center"/>
            <w:hideMark/>
          </w:tcPr>
          <w:p w:rsidR="00000000" w:rsidRPr="00C22733" w:rsidRDefault="00C22733" w:rsidP="00C22733">
            <w:pPr>
              <w:jc w:val="both"/>
              <w:rPr>
                <w:rFonts w:ascii="Verdana" w:hAnsi="Verdana"/>
                <w:bCs/>
                <w:sz w:val="20"/>
              </w:rPr>
            </w:pPr>
            <w:r w:rsidRPr="00C22733">
              <w:rPr>
                <w:rFonts w:ascii="Verdana" w:hAnsi="Verdana"/>
                <w:bCs/>
                <w:sz w:val="20"/>
              </w:rPr>
              <w:t>........................</w:t>
            </w:r>
          </w:p>
        </w:tc>
      </w:tr>
    </w:tbl>
    <w:p w:rsidR="00C22733" w:rsidRPr="00C22733" w:rsidRDefault="00C22733" w:rsidP="00C22733">
      <w:pPr>
        <w:jc w:val="both"/>
        <w:rPr>
          <w:rFonts w:ascii="Verdana" w:hAnsi="Verdana"/>
          <w:bCs/>
          <w:sz w:val="20"/>
        </w:rPr>
      </w:pPr>
      <w:r w:rsidRPr="00C22733">
        <w:rPr>
          <w:rFonts w:ascii="Verdana" w:hAnsi="Verdana"/>
          <w:bCs/>
          <w:sz w:val="20"/>
        </w:rPr>
        <w:t>       </w:t>
      </w:r>
    </w:p>
    <w:tbl>
      <w:tblPr>
        <w:tblW w:w="87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8898"/>
      </w:tblGrid>
      <w:tr w:rsidR="00C22733" w:rsidRPr="00C22733" w:rsidTr="00C22733">
        <w:trPr>
          <w:trHeight w:val="15"/>
        </w:trPr>
        <w:tc>
          <w:tcPr>
            <w:tcW w:w="906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18/LA Instructivo de trámite para solicitar el retiro voluntario de un agente aduanal o su ratificación (Regla 1.4.14.).</w:t>
            </w:r>
          </w:p>
        </w:tc>
      </w:tr>
      <w:tr w:rsidR="00C22733" w:rsidRPr="00C22733" w:rsidTr="00C22733">
        <w:trPr>
          <w:trHeight w:val="15"/>
        </w:trPr>
        <w:tc>
          <w:tcPr>
            <w:tcW w:w="906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r>
      <w:tr w:rsidR="00C22733" w:rsidRPr="00C22733" w:rsidTr="00C22733">
        <w:trPr>
          <w:trHeight w:val="15"/>
        </w:trPr>
        <w:tc>
          <w:tcPr>
            <w:tcW w:w="9060" w:type="dxa"/>
            <w:tcBorders>
              <w:top w:val="single" w:sz="6" w:space="0" w:color="000000"/>
              <w:left w:val="single" w:sz="6" w:space="0" w:color="000000"/>
              <w:bottom w:val="single" w:sz="6" w:space="0" w:color="000000"/>
              <w:right w:val="single" w:sz="6" w:space="0" w:color="000000"/>
            </w:tcBorders>
            <w:hideMark/>
          </w:tcPr>
          <w:p w:rsidR="00C22733" w:rsidRPr="00C22733" w:rsidRDefault="00C22733" w:rsidP="00C22733">
            <w:pPr>
              <w:jc w:val="both"/>
              <w:rPr>
                <w:rFonts w:ascii="Verdana" w:hAnsi="Verdana"/>
                <w:bCs/>
                <w:sz w:val="20"/>
              </w:rPr>
            </w:pPr>
            <w:r w:rsidRPr="00C22733">
              <w:rPr>
                <w:rFonts w:ascii="Verdana" w:hAnsi="Verdana"/>
                <w:bCs/>
                <w:sz w:val="20"/>
              </w:rPr>
              <w:t>¿Cuándo se presenta?</w:t>
            </w:r>
          </w:p>
          <w:p w:rsidR="00000000" w:rsidRPr="00C22733" w:rsidRDefault="00C22733" w:rsidP="00C22733">
            <w:pPr>
              <w:jc w:val="both"/>
              <w:rPr>
                <w:rFonts w:ascii="Verdana" w:hAnsi="Verdana"/>
                <w:bCs/>
                <w:sz w:val="20"/>
              </w:rPr>
            </w:pPr>
            <w:r w:rsidRPr="00C22733">
              <w:rPr>
                <w:rFonts w:ascii="Verdana" w:hAnsi="Verdana"/>
                <w:bCs/>
                <w:sz w:val="20"/>
              </w:rPr>
              <w:t xml:space="preserve">Conforme a los plazos establecidos en la regla 1.4.14., fracción V </w:t>
            </w:r>
            <w:proofErr w:type="spellStart"/>
            <w:r w:rsidRPr="00C22733">
              <w:rPr>
                <w:rFonts w:ascii="Verdana" w:hAnsi="Verdana"/>
                <w:bCs/>
                <w:sz w:val="20"/>
              </w:rPr>
              <w:t>ó</w:t>
            </w:r>
            <w:proofErr w:type="spellEnd"/>
            <w:r w:rsidRPr="00C22733">
              <w:rPr>
                <w:rFonts w:ascii="Verdana" w:hAnsi="Verdana"/>
                <w:bCs/>
                <w:sz w:val="20"/>
              </w:rPr>
              <w:t xml:space="preserve"> VI, según corresponda.</w:t>
            </w:r>
          </w:p>
        </w:tc>
      </w:tr>
      <w:tr w:rsidR="00C22733" w:rsidRPr="00C22733" w:rsidTr="00C22733">
        <w:trPr>
          <w:trHeight w:val="15"/>
        </w:trPr>
        <w:tc>
          <w:tcPr>
            <w:tcW w:w="906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r>
    </w:tbl>
    <w:p w:rsidR="00C22733" w:rsidRPr="00C22733" w:rsidRDefault="00C22733" w:rsidP="00C22733">
      <w:pPr>
        <w:jc w:val="both"/>
        <w:rPr>
          <w:rFonts w:ascii="Verdana" w:hAnsi="Verdana"/>
          <w:bCs/>
          <w:sz w:val="20"/>
        </w:rPr>
      </w:pPr>
      <w:r w:rsidRPr="00C22733">
        <w:rPr>
          <w:rFonts w:ascii="Verdana" w:hAnsi="Verdana"/>
          <w:bCs/>
          <w:sz w:val="20"/>
        </w:rPr>
        <w:t>       </w:t>
      </w:r>
    </w:p>
    <w:tbl>
      <w:tblPr>
        <w:tblW w:w="87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8898"/>
      </w:tblGrid>
      <w:tr w:rsidR="00C22733" w:rsidRPr="00C22733" w:rsidTr="00C22733">
        <w:trPr>
          <w:trHeight w:val="15"/>
        </w:trPr>
        <w:tc>
          <w:tcPr>
            <w:tcW w:w="906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36/LA Instructivo de trámite para la inscripción o renovación en el registro para la toma de muestras de mercancías, conforme al artículo 45 de la Ley (Regla 3.1.3.).</w:t>
            </w:r>
          </w:p>
        </w:tc>
      </w:tr>
      <w:tr w:rsidR="00C22733" w:rsidRPr="00C22733" w:rsidTr="00C22733">
        <w:trPr>
          <w:trHeight w:val="15"/>
        </w:trPr>
        <w:tc>
          <w:tcPr>
            <w:tcW w:w="906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lastRenderedPageBreak/>
              <w:t>..............................................................................................................................................</w:t>
            </w:r>
          </w:p>
        </w:tc>
      </w:tr>
      <w:tr w:rsidR="00C22733" w:rsidRPr="00C22733" w:rsidTr="00C22733">
        <w:trPr>
          <w:trHeight w:val="15"/>
        </w:trPr>
        <w:tc>
          <w:tcPr>
            <w:tcW w:w="9060" w:type="dxa"/>
            <w:tcBorders>
              <w:top w:val="single" w:sz="6" w:space="0" w:color="000000"/>
              <w:left w:val="single" w:sz="6" w:space="0" w:color="000000"/>
              <w:bottom w:val="single" w:sz="6" w:space="0" w:color="000000"/>
              <w:right w:val="single" w:sz="6" w:space="0" w:color="000000"/>
            </w:tcBorders>
            <w:hideMark/>
          </w:tcPr>
          <w:p w:rsidR="00C22733" w:rsidRPr="00C22733" w:rsidRDefault="00C22733" w:rsidP="00C22733">
            <w:pPr>
              <w:jc w:val="both"/>
              <w:rPr>
                <w:rFonts w:ascii="Verdana" w:hAnsi="Verdana"/>
                <w:bCs/>
                <w:sz w:val="20"/>
              </w:rPr>
            </w:pPr>
            <w:r w:rsidRPr="00C22733">
              <w:rPr>
                <w:rFonts w:ascii="Verdana" w:hAnsi="Verdana"/>
                <w:bCs/>
                <w:sz w:val="20"/>
              </w:rPr>
              <w:t>¿Dónde se presenta?</w:t>
            </w:r>
          </w:p>
          <w:p w:rsidR="00000000" w:rsidRPr="00C22733" w:rsidRDefault="00C22733" w:rsidP="00C22733">
            <w:pPr>
              <w:jc w:val="both"/>
              <w:rPr>
                <w:rFonts w:ascii="Verdana" w:hAnsi="Verdana"/>
                <w:bCs/>
                <w:sz w:val="20"/>
              </w:rPr>
            </w:pPr>
            <w:r w:rsidRPr="00C22733">
              <w:rPr>
                <w:rFonts w:ascii="Verdana" w:hAnsi="Verdana"/>
                <w:bCs/>
                <w:sz w:val="20"/>
              </w:rPr>
              <w:t>Ante la ACAJA, a través del Portal del SAT, accediendo a la Ventanilla Digital, de conformidad con la regla 1.2.2., último párrafo.</w:t>
            </w:r>
          </w:p>
        </w:tc>
      </w:tr>
      <w:tr w:rsidR="00C22733" w:rsidRPr="00C22733" w:rsidTr="00C22733">
        <w:trPr>
          <w:trHeight w:val="15"/>
        </w:trPr>
        <w:tc>
          <w:tcPr>
            <w:tcW w:w="906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r>
    </w:tbl>
    <w:p w:rsidR="00C22733" w:rsidRPr="00C22733" w:rsidRDefault="00C22733" w:rsidP="00C22733">
      <w:pPr>
        <w:jc w:val="both"/>
        <w:rPr>
          <w:rFonts w:ascii="Verdana" w:hAnsi="Verdana"/>
          <w:bCs/>
          <w:sz w:val="20"/>
        </w:rPr>
      </w:pPr>
      <w:r w:rsidRPr="00C22733">
        <w:rPr>
          <w:rFonts w:ascii="Verdana" w:hAnsi="Verdana"/>
          <w:bCs/>
          <w:sz w:val="20"/>
        </w:rPr>
        <w:t>       </w:t>
      </w:r>
    </w:p>
    <w:p w:rsidR="00C22733" w:rsidRPr="00C22733" w:rsidRDefault="00C22733" w:rsidP="00C22733">
      <w:pPr>
        <w:jc w:val="both"/>
        <w:rPr>
          <w:rFonts w:ascii="Verdana" w:hAnsi="Verdana"/>
          <w:bCs/>
          <w:sz w:val="20"/>
        </w:rPr>
      </w:pPr>
      <w:r w:rsidRPr="00C22733">
        <w:rPr>
          <w:rFonts w:ascii="Verdana" w:hAnsi="Verdana"/>
          <w:bCs/>
          <w:sz w:val="20"/>
        </w:rPr>
        <w:t>Atentamente,</w:t>
      </w:r>
    </w:p>
    <w:p w:rsidR="00C22733" w:rsidRPr="00C22733" w:rsidRDefault="00C22733" w:rsidP="00C22733">
      <w:pPr>
        <w:jc w:val="both"/>
        <w:rPr>
          <w:rFonts w:ascii="Verdana" w:hAnsi="Verdana"/>
          <w:bCs/>
          <w:sz w:val="20"/>
        </w:rPr>
      </w:pPr>
      <w:r w:rsidRPr="00C22733">
        <w:rPr>
          <w:rFonts w:ascii="Verdana" w:hAnsi="Verdana"/>
          <w:bCs/>
          <w:sz w:val="20"/>
        </w:rPr>
        <w:t xml:space="preserve">Ciudad de México, a 14 de marzo de 2019.- La Jefa del Servicio de Administración Tributaria, Ana Margarita Ríos </w:t>
      </w:r>
      <w:proofErr w:type="spellStart"/>
      <w:r w:rsidRPr="00C22733">
        <w:rPr>
          <w:rFonts w:ascii="Verdana" w:hAnsi="Verdana"/>
          <w:bCs/>
          <w:sz w:val="20"/>
        </w:rPr>
        <w:t>Farjat</w:t>
      </w:r>
      <w:proofErr w:type="spellEnd"/>
      <w:r w:rsidRPr="00C22733">
        <w:rPr>
          <w:rFonts w:ascii="Verdana" w:hAnsi="Verdana"/>
          <w:bCs/>
          <w:sz w:val="20"/>
        </w:rPr>
        <w:t>.- Rúbrica.</w:t>
      </w:r>
    </w:p>
    <w:p w:rsidR="00C22733" w:rsidRPr="00C22733" w:rsidRDefault="00C22733" w:rsidP="00C22733">
      <w:pPr>
        <w:jc w:val="both"/>
        <w:rPr>
          <w:rFonts w:ascii="Verdana" w:hAnsi="Verdana"/>
          <w:bCs/>
          <w:sz w:val="20"/>
        </w:rPr>
      </w:pPr>
      <w:r w:rsidRPr="00C22733">
        <w:rPr>
          <w:rFonts w:ascii="Verdana" w:hAnsi="Verdana"/>
          <w:bCs/>
          <w:sz w:val="20"/>
        </w:rPr>
        <w:t>ANEXO 4 DE LAS REGLAS GENERALES DE COMERCIO EXTERIOR PARA 2018</w:t>
      </w:r>
    </w:p>
    <w:p w:rsidR="00C22733" w:rsidRPr="00C22733" w:rsidRDefault="00C22733" w:rsidP="00C22733">
      <w:pPr>
        <w:jc w:val="both"/>
        <w:rPr>
          <w:rFonts w:ascii="Verdana" w:hAnsi="Verdana"/>
          <w:bCs/>
          <w:sz w:val="20"/>
        </w:rPr>
      </w:pPr>
      <w:r w:rsidRPr="00C22733">
        <w:rPr>
          <w:rFonts w:ascii="Verdana" w:hAnsi="Verdana"/>
          <w:bCs/>
          <w:sz w:val="20"/>
        </w:rPr>
        <w:t>Horario de las aduanas</w:t>
      </w:r>
    </w:p>
    <w:tbl>
      <w:tblPr>
        <w:tblW w:w="8715" w:type="dxa"/>
        <w:tblCellSpacing w:w="0" w:type="dxa"/>
        <w:tblCellMar>
          <w:top w:w="30" w:type="dxa"/>
          <w:left w:w="30" w:type="dxa"/>
          <w:bottom w:w="30" w:type="dxa"/>
          <w:right w:w="30" w:type="dxa"/>
        </w:tblCellMar>
        <w:tblLook w:val="04A0" w:firstRow="1" w:lastRow="0" w:firstColumn="1" w:lastColumn="0" w:noHBand="0" w:noVBand="1"/>
      </w:tblPr>
      <w:tblGrid>
        <w:gridCol w:w="3687"/>
        <w:gridCol w:w="5211"/>
      </w:tblGrid>
      <w:tr w:rsidR="00C22733" w:rsidRPr="00C22733" w:rsidTr="00C22733">
        <w:trPr>
          <w:trHeight w:val="15"/>
          <w:tblCellSpacing w:w="0" w:type="dxa"/>
        </w:trPr>
        <w:tc>
          <w:tcPr>
            <w:tcW w:w="3465" w:type="dxa"/>
            <w:hideMark/>
          </w:tcPr>
          <w:p w:rsidR="00000000" w:rsidRPr="00C22733" w:rsidRDefault="00C22733" w:rsidP="00C22733">
            <w:pPr>
              <w:jc w:val="both"/>
              <w:rPr>
                <w:rFonts w:ascii="Verdana" w:hAnsi="Verdana"/>
                <w:bCs/>
                <w:sz w:val="20"/>
              </w:rPr>
            </w:pPr>
            <w:r w:rsidRPr="00C22733">
              <w:rPr>
                <w:rFonts w:ascii="Verdana" w:hAnsi="Verdana"/>
                <w:bCs/>
                <w:sz w:val="20"/>
              </w:rPr>
              <w:t>Aduana/Sección Aduanera:</w:t>
            </w:r>
          </w:p>
        </w:tc>
        <w:tc>
          <w:tcPr>
            <w:tcW w:w="4950" w:type="dxa"/>
            <w:hideMark/>
          </w:tcPr>
          <w:p w:rsidR="00000000" w:rsidRPr="00C22733" w:rsidRDefault="00C22733" w:rsidP="00C22733">
            <w:pPr>
              <w:jc w:val="both"/>
              <w:rPr>
                <w:rFonts w:ascii="Verdana" w:hAnsi="Verdana"/>
                <w:bCs/>
                <w:sz w:val="20"/>
              </w:rPr>
            </w:pPr>
            <w:r w:rsidRPr="00C22733">
              <w:rPr>
                <w:rFonts w:ascii="Verdana" w:hAnsi="Verdana"/>
                <w:bCs/>
                <w:sz w:val="20"/>
              </w:rPr>
              <w:t>Horario en que opera:</w:t>
            </w:r>
          </w:p>
        </w:tc>
      </w:tr>
      <w:tr w:rsidR="00C22733" w:rsidRPr="00C22733" w:rsidTr="00C22733">
        <w:trPr>
          <w:trHeight w:val="15"/>
          <w:tblCellSpacing w:w="0" w:type="dxa"/>
        </w:trPr>
        <w:tc>
          <w:tcPr>
            <w:tcW w:w="3465" w:type="dxa"/>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4950" w:type="dxa"/>
            <w:hideMark/>
          </w:tcPr>
          <w:p w:rsidR="00000000" w:rsidRPr="00C22733" w:rsidRDefault="00C22733" w:rsidP="00C22733">
            <w:pPr>
              <w:jc w:val="both"/>
              <w:rPr>
                <w:rFonts w:ascii="Verdana" w:hAnsi="Verdana"/>
                <w:bCs/>
                <w:sz w:val="20"/>
              </w:rPr>
            </w:pPr>
            <w:r w:rsidRPr="00C22733">
              <w:rPr>
                <w:rFonts w:ascii="Verdana" w:hAnsi="Verdana"/>
                <w:bCs/>
                <w:sz w:val="20"/>
              </w:rPr>
              <w:t>..................................................................................................</w:t>
            </w:r>
          </w:p>
        </w:tc>
      </w:tr>
    </w:tbl>
    <w:p w:rsidR="00C22733" w:rsidRPr="00C22733" w:rsidRDefault="00C22733" w:rsidP="00C22733">
      <w:pPr>
        <w:jc w:val="both"/>
        <w:rPr>
          <w:rFonts w:ascii="Verdana" w:hAnsi="Verdana"/>
          <w:bCs/>
          <w:sz w:val="20"/>
        </w:rPr>
      </w:pPr>
    </w:p>
    <w:tbl>
      <w:tblPr>
        <w:tblW w:w="8715" w:type="dxa"/>
        <w:tblCellSpacing w:w="0" w:type="dxa"/>
        <w:tblCellMar>
          <w:top w:w="30" w:type="dxa"/>
          <w:left w:w="30" w:type="dxa"/>
          <w:bottom w:w="30" w:type="dxa"/>
          <w:right w:w="30" w:type="dxa"/>
        </w:tblCellMar>
        <w:tblLook w:val="04A0" w:firstRow="1" w:lastRow="0" w:firstColumn="1" w:lastColumn="0" w:noHBand="0" w:noVBand="1"/>
      </w:tblPr>
      <w:tblGrid>
        <w:gridCol w:w="3687"/>
        <w:gridCol w:w="5211"/>
      </w:tblGrid>
      <w:tr w:rsidR="00C22733" w:rsidRPr="00C22733" w:rsidTr="00C22733">
        <w:trPr>
          <w:trHeight w:val="15"/>
          <w:tblCellSpacing w:w="0" w:type="dxa"/>
        </w:trPr>
        <w:tc>
          <w:tcPr>
            <w:tcW w:w="3465" w:type="dxa"/>
            <w:hideMark/>
          </w:tcPr>
          <w:p w:rsidR="00000000" w:rsidRPr="00C22733" w:rsidRDefault="00C22733" w:rsidP="00C22733">
            <w:pPr>
              <w:jc w:val="both"/>
              <w:rPr>
                <w:rFonts w:ascii="Verdana" w:hAnsi="Verdana"/>
                <w:bCs/>
                <w:sz w:val="20"/>
              </w:rPr>
            </w:pPr>
            <w:r w:rsidRPr="00C22733">
              <w:rPr>
                <w:rFonts w:ascii="Verdana" w:hAnsi="Verdana"/>
                <w:bCs/>
                <w:sz w:val="20"/>
              </w:rPr>
              <w:t>ADUANA DE MAZATLAN</w:t>
            </w:r>
          </w:p>
        </w:tc>
        <w:tc>
          <w:tcPr>
            <w:tcW w:w="4950" w:type="dxa"/>
            <w:hideMark/>
          </w:tcPr>
          <w:p w:rsidR="00000000" w:rsidRPr="00C22733" w:rsidRDefault="00C22733" w:rsidP="00C22733">
            <w:pPr>
              <w:jc w:val="both"/>
              <w:rPr>
                <w:rFonts w:ascii="Verdana" w:hAnsi="Verdana"/>
                <w:bCs/>
                <w:sz w:val="20"/>
              </w:rPr>
            </w:pPr>
            <w:r w:rsidRPr="00C22733">
              <w:rPr>
                <w:rFonts w:ascii="Verdana" w:hAnsi="Verdana"/>
                <w:bCs/>
                <w:sz w:val="20"/>
              </w:rPr>
              <w:t>Importación y Exportación. De lunes a viernes de 9:00 a 18:00 horas.</w:t>
            </w:r>
          </w:p>
        </w:tc>
      </w:tr>
      <w:tr w:rsidR="00C22733" w:rsidRPr="00C22733" w:rsidTr="00C22733">
        <w:trPr>
          <w:trHeight w:val="15"/>
          <w:tblCellSpacing w:w="0" w:type="dxa"/>
        </w:trPr>
        <w:tc>
          <w:tcPr>
            <w:tcW w:w="3465" w:type="dxa"/>
            <w:hideMark/>
          </w:tcPr>
          <w:p w:rsidR="00000000" w:rsidRPr="00C22733" w:rsidRDefault="00C22733" w:rsidP="00C22733">
            <w:pPr>
              <w:jc w:val="both"/>
              <w:rPr>
                <w:rFonts w:ascii="Verdana" w:hAnsi="Verdana"/>
                <w:bCs/>
                <w:sz w:val="20"/>
              </w:rPr>
            </w:pPr>
            <w:r w:rsidRPr="00C22733">
              <w:rPr>
                <w:rFonts w:ascii="Verdana" w:hAnsi="Verdana"/>
                <w:bCs/>
                <w:sz w:val="20"/>
              </w:rPr>
              <w:t xml:space="preserve">Sección Aduanera de </w:t>
            </w:r>
            <w:proofErr w:type="spellStart"/>
            <w:r w:rsidRPr="00C22733">
              <w:rPr>
                <w:rFonts w:ascii="Verdana" w:hAnsi="Verdana"/>
                <w:bCs/>
                <w:sz w:val="20"/>
              </w:rPr>
              <w:t>Topolobampo</w:t>
            </w:r>
            <w:proofErr w:type="spellEnd"/>
          </w:p>
        </w:tc>
        <w:tc>
          <w:tcPr>
            <w:tcW w:w="4950" w:type="dxa"/>
            <w:hideMark/>
          </w:tcPr>
          <w:p w:rsidR="00000000" w:rsidRPr="00C22733" w:rsidRDefault="00C22733" w:rsidP="00C22733">
            <w:pPr>
              <w:jc w:val="both"/>
              <w:rPr>
                <w:rFonts w:ascii="Verdana" w:hAnsi="Verdana"/>
                <w:bCs/>
                <w:sz w:val="20"/>
              </w:rPr>
            </w:pPr>
            <w:r w:rsidRPr="00C22733">
              <w:rPr>
                <w:rFonts w:ascii="Verdana" w:hAnsi="Verdana"/>
                <w:bCs/>
                <w:sz w:val="20"/>
              </w:rPr>
              <w:t>Importación y Exportación. De lunes a viernes de 9:00 a 18:00 horas.</w:t>
            </w:r>
          </w:p>
        </w:tc>
      </w:tr>
      <w:tr w:rsidR="00C22733" w:rsidRPr="00C22733" w:rsidTr="00C22733">
        <w:trPr>
          <w:trHeight w:val="15"/>
          <w:tblCellSpacing w:w="0" w:type="dxa"/>
        </w:trPr>
        <w:tc>
          <w:tcPr>
            <w:tcW w:w="3465" w:type="dxa"/>
            <w:hideMark/>
          </w:tcPr>
          <w:p w:rsidR="00000000" w:rsidRPr="00C22733" w:rsidRDefault="00C22733" w:rsidP="00C22733">
            <w:pPr>
              <w:jc w:val="both"/>
              <w:rPr>
                <w:rFonts w:ascii="Verdana" w:hAnsi="Verdana"/>
                <w:bCs/>
                <w:sz w:val="20"/>
              </w:rPr>
            </w:pPr>
            <w:r w:rsidRPr="00C22733">
              <w:rPr>
                <w:rFonts w:ascii="Verdana" w:hAnsi="Verdana"/>
                <w:bCs/>
                <w:sz w:val="20"/>
              </w:rPr>
              <w:t>Sección Aduanera del Aeropuerto Internacional de Culiacán</w:t>
            </w:r>
          </w:p>
        </w:tc>
        <w:tc>
          <w:tcPr>
            <w:tcW w:w="4950" w:type="dxa"/>
            <w:hideMark/>
          </w:tcPr>
          <w:p w:rsidR="00000000" w:rsidRPr="00C22733" w:rsidRDefault="00C22733" w:rsidP="00C22733">
            <w:pPr>
              <w:jc w:val="both"/>
              <w:rPr>
                <w:rFonts w:ascii="Verdana" w:hAnsi="Verdana"/>
                <w:bCs/>
                <w:sz w:val="20"/>
              </w:rPr>
            </w:pPr>
            <w:r w:rsidRPr="00C22733">
              <w:rPr>
                <w:rFonts w:ascii="Verdana" w:hAnsi="Verdana"/>
                <w:bCs/>
                <w:sz w:val="20"/>
              </w:rPr>
              <w:t>Importación y Exportación. De lunes a viernes de 9:00 a 18:00 horas.</w:t>
            </w:r>
          </w:p>
        </w:tc>
      </w:tr>
      <w:tr w:rsidR="00C22733" w:rsidRPr="00C22733" w:rsidTr="00C22733">
        <w:trPr>
          <w:trHeight w:val="15"/>
          <w:tblCellSpacing w:w="0" w:type="dxa"/>
        </w:trPr>
        <w:tc>
          <w:tcPr>
            <w:tcW w:w="3465" w:type="dxa"/>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4950" w:type="dxa"/>
            <w:hideMark/>
          </w:tcPr>
          <w:p w:rsidR="00000000" w:rsidRPr="00C22733" w:rsidRDefault="00C22733" w:rsidP="00C22733">
            <w:pPr>
              <w:jc w:val="both"/>
              <w:rPr>
                <w:rFonts w:ascii="Verdana" w:hAnsi="Verdana"/>
                <w:bCs/>
                <w:sz w:val="20"/>
              </w:rPr>
            </w:pPr>
            <w:r w:rsidRPr="00C22733">
              <w:rPr>
                <w:rFonts w:ascii="Verdana" w:hAnsi="Verdana"/>
                <w:bCs/>
                <w:sz w:val="20"/>
              </w:rPr>
              <w:t>..................................................................................................</w:t>
            </w:r>
          </w:p>
        </w:tc>
      </w:tr>
      <w:tr w:rsidR="00C22733" w:rsidRPr="00C22733" w:rsidTr="00C22733">
        <w:trPr>
          <w:trHeight w:val="15"/>
          <w:tblCellSpacing w:w="0" w:type="dxa"/>
        </w:trPr>
        <w:tc>
          <w:tcPr>
            <w:tcW w:w="3465" w:type="dxa"/>
            <w:hideMark/>
          </w:tcPr>
          <w:p w:rsidR="00000000" w:rsidRPr="00C22733" w:rsidRDefault="00C22733" w:rsidP="00C22733">
            <w:pPr>
              <w:jc w:val="both"/>
              <w:rPr>
                <w:rFonts w:ascii="Verdana" w:hAnsi="Verdana"/>
                <w:bCs/>
                <w:sz w:val="20"/>
              </w:rPr>
            </w:pPr>
            <w:r w:rsidRPr="00C22733">
              <w:rPr>
                <w:rFonts w:ascii="Verdana" w:hAnsi="Verdana"/>
                <w:bCs/>
                <w:sz w:val="20"/>
              </w:rPr>
              <w:t>ADUANA DE COLOMBIA</w:t>
            </w:r>
          </w:p>
        </w:tc>
        <w:tc>
          <w:tcPr>
            <w:tcW w:w="4950" w:type="dxa"/>
            <w:hideMark/>
          </w:tcPr>
          <w:p w:rsidR="00C22733" w:rsidRPr="00C22733" w:rsidRDefault="00C22733" w:rsidP="00C22733">
            <w:pPr>
              <w:jc w:val="both"/>
              <w:rPr>
                <w:rFonts w:ascii="Verdana" w:hAnsi="Verdana"/>
                <w:bCs/>
                <w:sz w:val="20"/>
              </w:rPr>
            </w:pPr>
            <w:r w:rsidRPr="00C22733">
              <w:rPr>
                <w:rFonts w:ascii="Verdana" w:hAnsi="Verdana"/>
                <w:bCs/>
                <w:sz w:val="20"/>
              </w:rPr>
              <w:t>Importación y Exportación. De lunes a viernes de 8:00 a22:30 horas. Sábados de 8:00 a 16:00 horas.</w:t>
            </w:r>
          </w:p>
          <w:p w:rsidR="00000000" w:rsidRPr="00C22733" w:rsidRDefault="00C22733" w:rsidP="00C22733">
            <w:pPr>
              <w:jc w:val="both"/>
              <w:rPr>
                <w:rFonts w:ascii="Verdana" w:hAnsi="Verdana"/>
                <w:bCs/>
                <w:sz w:val="20"/>
              </w:rPr>
            </w:pPr>
            <w:r w:rsidRPr="00C22733">
              <w:rPr>
                <w:rFonts w:ascii="Verdana" w:hAnsi="Verdana"/>
                <w:bCs/>
                <w:sz w:val="20"/>
              </w:rPr>
              <w:t>..................................................................................</w:t>
            </w:r>
          </w:p>
        </w:tc>
      </w:tr>
      <w:tr w:rsidR="00C22733" w:rsidRPr="00C22733" w:rsidTr="00C22733">
        <w:trPr>
          <w:trHeight w:val="15"/>
          <w:tblCellSpacing w:w="0" w:type="dxa"/>
        </w:trPr>
        <w:tc>
          <w:tcPr>
            <w:tcW w:w="3465" w:type="dxa"/>
            <w:hideMark/>
          </w:tcPr>
          <w:p w:rsidR="00000000" w:rsidRPr="00C22733" w:rsidRDefault="00C22733" w:rsidP="00C22733">
            <w:pPr>
              <w:jc w:val="both"/>
              <w:rPr>
                <w:rFonts w:ascii="Verdana" w:hAnsi="Verdana"/>
                <w:bCs/>
                <w:sz w:val="20"/>
              </w:rPr>
            </w:pPr>
            <w:r w:rsidRPr="00C22733">
              <w:rPr>
                <w:rFonts w:ascii="Verdana" w:hAnsi="Verdana"/>
                <w:bCs/>
                <w:sz w:val="20"/>
              </w:rPr>
              <w:t>.................................................</w:t>
            </w:r>
            <w:r w:rsidRPr="00C22733">
              <w:rPr>
                <w:rFonts w:ascii="Verdana" w:hAnsi="Verdana"/>
                <w:bCs/>
                <w:sz w:val="20"/>
              </w:rPr>
              <w:lastRenderedPageBreak/>
              <w:t>...................</w:t>
            </w:r>
          </w:p>
        </w:tc>
        <w:tc>
          <w:tcPr>
            <w:tcW w:w="4950" w:type="dxa"/>
            <w:hideMark/>
          </w:tcPr>
          <w:p w:rsidR="00000000" w:rsidRPr="00C22733" w:rsidRDefault="00C22733" w:rsidP="00C22733">
            <w:pPr>
              <w:jc w:val="both"/>
              <w:rPr>
                <w:rFonts w:ascii="Verdana" w:hAnsi="Verdana"/>
                <w:bCs/>
                <w:sz w:val="20"/>
              </w:rPr>
            </w:pPr>
            <w:r w:rsidRPr="00C22733">
              <w:rPr>
                <w:rFonts w:ascii="Verdana" w:hAnsi="Verdana"/>
                <w:bCs/>
                <w:sz w:val="20"/>
              </w:rPr>
              <w:lastRenderedPageBreak/>
              <w:t>......................................................................</w:t>
            </w:r>
            <w:r w:rsidRPr="00C22733">
              <w:rPr>
                <w:rFonts w:ascii="Verdana" w:hAnsi="Verdana"/>
                <w:bCs/>
                <w:sz w:val="20"/>
              </w:rPr>
              <w:lastRenderedPageBreak/>
              <w:t>...........................</w:t>
            </w:r>
          </w:p>
        </w:tc>
      </w:tr>
      <w:tr w:rsidR="00C22733" w:rsidRPr="00C22733" w:rsidTr="00C22733">
        <w:trPr>
          <w:trHeight w:val="15"/>
          <w:tblCellSpacing w:w="0" w:type="dxa"/>
        </w:trPr>
        <w:tc>
          <w:tcPr>
            <w:tcW w:w="3465" w:type="dxa"/>
            <w:hideMark/>
          </w:tcPr>
          <w:p w:rsidR="00000000" w:rsidRPr="00C22733" w:rsidRDefault="00C22733" w:rsidP="00C22733">
            <w:pPr>
              <w:jc w:val="both"/>
              <w:rPr>
                <w:rFonts w:ascii="Verdana" w:hAnsi="Verdana"/>
                <w:bCs/>
                <w:sz w:val="20"/>
              </w:rPr>
            </w:pPr>
            <w:r w:rsidRPr="00C22733">
              <w:rPr>
                <w:rFonts w:ascii="Verdana" w:hAnsi="Verdana"/>
                <w:bCs/>
                <w:sz w:val="20"/>
              </w:rPr>
              <w:lastRenderedPageBreak/>
              <w:t>ADUANA DE TUXPAN</w:t>
            </w:r>
          </w:p>
        </w:tc>
        <w:tc>
          <w:tcPr>
            <w:tcW w:w="4950" w:type="dxa"/>
            <w:hideMark/>
          </w:tcPr>
          <w:p w:rsidR="00000000" w:rsidRPr="00C22733" w:rsidRDefault="00C22733" w:rsidP="00C22733">
            <w:pPr>
              <w:jc w:val="both"/>
              <w:rPr>
                <w:rFonts w:ascii="Verdana" w:hAnsi="Verdana"/>
                <w:bCs/>
                <w:sz w:val="20"/>
              </w:rPr>
            </w:pPr>
            <w:r w:rsidRPr="00C22733">
              <w:rPr>
                <w:rFonts w:ascii="Verdana" w:hAnsi="Verdana"/>
                <w:bCs/>
                <w:sz w:val="20"/>
              </w:rPr>
              <w:t>Importación y Exportación. De lunes a viernes de 8:00 a 19:00 horas. Sábados de 9:00 a 13:00 horas.</w:t>
            </w:r>
          </w:p>
        </w:tc>
      </w:tr>
      <w:tr w:rsidR="00C22733" w:rsidRPr="00C22733" w:rsidTr="00C22733">
        <w:trPr>
          <w:trHeight w:val="15"/>
          <w:tblCellSpacing w:w="0" w:type="dxa"/>
        </w:trPr>
        <w:tc>
          <w:tcPr>
            <w:tcW w:w="3465" w:type="dxa"/>
            <w:hideMark/>
          </w:tcPr>
          <w:p w:rsidR="00000000" w:rsidRPr="00C22733" w:rsidRDefault="00C22733" w:rsidP="00C22733">
            <w:pPr>
              <w:jc w:val="both"/>
              <w:rPr>
                <w:rFonts w:ascii="Verdana" w:hAnsi="Verdana"/>
                <w:bCs/>
                <w:sz w:val="20"/>
              </w:rPr>
            </w:pPr>
            <w:r w:rsidRPr="00C22733">
              <w:rPr>
                <w:rFonts w:ascii="Verdana" w:hAnsi="Verdana"/>
                <w:bCs/>
                <w:sz w:val="20"/>
              </w:rPr>
              <w:t>Sección Aduanera de Tuxpan</w:t>
            </w:r>
          </w:p>
        </w:tc>
        <w:tc>
          <w:tcPr>
            <w:tcW w:w="4950" w:type="dxa"/>
            <w:hideMark/>
          </w:tcPr>
          <w:p w:rsidR="00000000" w:rsidRPr="00C22733" w:rsidRDefault="00C22733" w:rsidP="00C22733">
            <w:pPr>
              <w:jc w:val="both"/>
              <w:rPr>
                <w:rFonts w:ascii="Verdana" w:hAnsi="Verdana"/>
                <w:bCs/>
                <w:sz w:val="20"/>
              </w:rPr>
            </w:pPr>
            <w:r w:rsidRPr="00C22733">
              <w:rPr>
                <w:rFonts w:ascii="Verdana" w:hAnsi="Verdana"/>
                <w:bCs/>
                <w:sz w:val="20"/>
              </w:rPr>
              <w:t>Importación y Exportación. De lunes a viernes de 8:00 a 19:00 horas. Sábados de 9:00 a 13:00 horas.</w:t>
            </w:r>
          </w:p>
        </w:tc>
      </w:tr>
      <w:tr w:rsidR="00C22733" w:rsidRPr="00C22733" w:rsidTr="00C22733">
        <w:trPr>
          <w:trHeight w:val="15"/>
          <w:tblCellSpacing w:w="0" w:type="dxa"/>
        </w:trPr>
        <w:tc>
          <w:tcPr>
            <w:tcW w:w="3465" w:type="dxa"/>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4950" w:type="dxa"/>
            <w:hideMark/>
          </w:tcPr>
          <w:p w:rsidR="00000000" w:rsidRPr="00C22733" w:rsidRDefault="00C22733" w:rsidP="00C22733">
            <w:pPr>
              <w:jc w:val="both"/>
              <w:rPr>
                <w:rFonts w:ascii="Verdana" w:hAnsi="Verdana"/>
                <w:bCs/>
                <w:sz w:val="20"/>
              </w:rPr>
            </w:pPr>
            <w:r w:rsidRPr="00C22733">
              <w:rPr>
                <w:rFonts w:ascii="Verdana" w:hAnsi="Verdana"/>
                <w:bCs/>
                <w:sz w:val="20"/>
              </w:rPr>
              <w:t>.................................................................................................</w:t>
            </w:r>
          </w:p>
        </w:tc>
      </w:tr>
      <w:tr w:rsidR="00C22733" w:rsidRPr="00C22733" w:rsidTr="00C22733">
        <w:trPr>
          <w:trHeight w:val="15"/>
          <w:tblCellSpacing w:w="0" w:type="dxa"/>
        </w:trPr>
        <w:tc>
          <w:tcPr>
            <w:tcW w:w="3465" w:type="dxa"/>
            <w:hideMark/>
          </w:tcPr>
          <w:p w:rsidR="00000000" w:rsidRPr="00C22733" w:rsidRDefault="00C22733" w:rsidP="00C22733">
            <w:pPr>
              <w:jc w:val="both"/>
              <w:rPr>
                <w:rFonts w:ascii="Verdana" w:hAnsi="Verdana"/>
                <w:bCs/>
                <w:sz w:val="20"/>
              </w:rPr>
            </w:pPr>
            <w:r w:rsidRPr="00C22733">
              <w:rPr>
                <w:rFonts w:ascii="Verdana" w:hAnsi="Verdana"/>
                <w:bCs/>
                <w:sz w:val="20"/>
              </w:rPr>
              <w:t>ADUANA DE CIUDAD DEL CARMEN</w:t>
            </w:r>
          </w:p>
        </w:tc>
        <w:tc>
          <w:tcPr>
            <w:tcW w:w="4950" w:type="dxa"/>
            <w:hideMark/>
          </w:tcPr>
          <w:p w:rsidR="00000000" w:rsidRPr="00C22733" w:rsidRDefault="00C22733" w:rsidP="00C22733">
            <w:pPr>
              <w:jc w:val="both"/>
              <w:rPr>
                <w:rFonts w:ascii="Verdana" w:hAnsi="Verdana"/>
                <w:bCs/>
                <w:sz w:val="20"/>
              </w:rPr>
            </w:pPr>
            <w:r w:rsidRPr="00C22733">
              <w:rPr>
                <w:rFonts w:ascii="Verdana" w:hAnsi="Verdana"/>
                <w:bCs/>
                <w:sz w:val="20"/>
              </w:rPr>
              <w:t>..................................................................................</w:t>
            </w:r>
          </w:p>
        </w:tc>
      </w:tr>
      <w:tr w:rsidR="00C22733" w:rsidRPr="00C22733" w:rsidTr="00C22733">
        <w:trPr>
          <w:trHeight w:val="15"/>
          <w:tblCellSpacing w:w="0" w:type="dxa"/>
        </w:trPr>
        <w:tc>
          <w:tcPr>
            <w:tcW w:w="3465" w:type="dxa"/>
            <w:hideMark/>
          </w:tcPr>
          <w:p w:rsidR="00000000" w:rsidRPr="00C22733" w:rsidRDefault="00C22733" w:rsidP="00C22733">
            <w:pPr>
              <w:jc w:val="both"/>
              <w:rPr>
                <w:rFonts w:ascii="Verdana" w:hAnsi="Verdana"/>
                <w:bCs/>
                <w:sz w:val="20"/>
              </w:rPr>
            </w:pPr>
            <w:r w:rsidRPr="00C22733">
              <w:rPr>
                <w:rFonts w:ascii="Verdana" w:hAnsi="Verdana"/>
                <w:bCs/>
                <w:sz w:val="20"/>
              </w:rPr>
              <w:t xml:space="preserve">Sección Aduanera de </w:t>
            </w:r>
            <w:proofErr w:type="spellStart"/>
            <w:r w:rsidRPr="00C22733">
              <w:rPr>
                <w:rFonts w:ascii="Verdana" w:hAnsi="Verdana"/>
                <w:bCs/>
                <w:sz w:val="20"/>
              </w:rPr>
              <w:t>Seybaplaya</w:t>
            </w:r>
            <w:proofErr w:type="spellEnd"/>
          </w:p>
        </w:tc>
        <w:tc>
          <w:tcPr>
            <w:tcW w:w="4950" w:type="dxa"/>
            <w:hideMark/>
          </w:tcPr>
          <w:p w:rsidR="00000000" w:rsidRPr="00C22733" w:rsidRDefault="00C22733" w:rsidP="00C22733">
            <w:pPr>
              <w:jc w:val="both"/>
              <w:rPr>
                <w:rFonts w:ascii="Verdana" w:hAnsi="Verdana"/>
                <w:bCs/>
                <w:sz w:val="20"/>
              </w:rPr>
            </w:pPr>
            <w:r w:rsidRPr="00C22733">
              <w:rPr>
                <w:rFonts w:ascii="Verdana" w:hAnsi="Verdana"/>
                <w:bCs/>
                <w:sz w:val="20"/>
              </w:rPr>
              <w:t>..................................................................................</w:t>
            </w:r>
          </w:p>
        </w:tc>
      </w:tr>
      <w:tr w:rsidR="00C22733" w:rsidRPr="00C22733" w:rsidTr="00C22733">
        <w:trPr>
          <w:trHeight w:val="15"/>
          <w:tblCellSpacing w:w="0" w:type="dxa"/>
        </w:trPr>
        <w:tc>
          <w:tcPr>
            <w:tcW w:w="3465" w:type="dxa"/>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4950" w:type="dxa"/>
            <w:hideMark/>
          </w:tcPr>
          <w:p w:rsidR="00000000" w:rsidRPr="00C22733" w:rsidRDefault="00C22733" w:rsidP="00C22733">
            <w:pPr>
              <w:jc w:val="both"/>
              <w:rPr>
                <w:rFonts w:ascii="Verdana" w:hAnsi="Verdana"/>
                <w:bCs/>
                <w:sz w:val="20"/>
              </w:rPr>
            </w:pPr>
            <w:r w:rsidRPr="00C22733">
              <w:rPr>
                <w:rFonts w:ascii="Verdana" w:hAnsi="Verdana"/>
                <w:bCs/>
                <w:sz w:val="20"/>
              </w:rPr>
              <w:t>..................................................................................................</w:t>
            </w:r>
          </w:p>
        </w:tc>
      </w:tr>
    </w:tbl>
    <w:p w:rsidR="00C22733" w:rsidRPr="00C22733" w:rsidRDefault="00C22733" w:rsidP="00C22733">
      <w:pPr>
        <w:jc w:val="both"/>
        <w:rPr>
          <w:rFonts w:ascii="Verdana" w:hAnsi="Verdana"/>
          <w:bCs/>
          <w:sz w:val="20"/>
        </w:rPr>
      </w:pPr>
    </w:p>
    <w:p w:rsidR="00C22733" w:rsidRPr="00C22733" w:rsidRDefault="00C22733" w:rsidP="00C22733">
      <w:pPr>
        <w:jc w:val="both"/>
        <w:rPr>
          <w:rFonts w:ascii="Verdana" w:hAnsi="Verdana"/>
          <w:bCs/>
          <w:sz w:val="20"/>
        </w:rPr>
      </w:pPr>
      <w:r w:rsidRPr="00C22733">
        <w:rPr>
          <w:rFonts w:ascii="Verdana" w:hAnsi="Verdana"/>
          <w:bCs/>
          <w:sz w:val="20"/>
        </w:rPr>
        <w:t>Atentamente,</w:t>
      </w:r>
    </w:p>
    <w:p w:rsidR="00C22733" w:rsidRPr="00C22733" w:rsidRDefault="00C22733" w:rsidP="00C22733">
      <w:pPr>
        <w:jc w:val="both"/>
        <w:rPr>
          <w:rFonts w:ascii="Verdana" w:hAnsi="Verdana"/>
          <w:bCs/>
          <w:sz w:val="20"/>
        </w:rPr>
      </w:pPr>
      <w:r w:rsidRPr="00C22733">
        <w:rPr>
          <w:rFonts w:ascii="Verdana" w:hAnsi="Verdana"/>
          <w:bCs/>
          <w:sz w:val="20"/>
        </w:rPr>
        <w:t xml:space="preserve">Ciudad de México, a 14 de marzo de 2019.- La Jefa del Servicio de Administración Tributaria, Ana Margarita Ríos </w:t>
      </w:r>
      <w:proofErr w:type="spellStart"/>
      <w:r w:rsidRPr="00C22733">
        <w:rPr>
          <w:rFonts w:ascii="Verdana" w:hAnsi="Verdana"/>
          <w:bCs/>
          <w:sz w:val="20"/>
        </w:rPr>
        <w:t>Farjat</w:t>
      </w:r>
      <w:proofErr w:type="spellEnd"/>
      <w:r w:rsidRPr="00C22733">
        <w:rPr>
          <w:rFonts w:ascii="Verdana" w:hAnsi="Verdana"/>
          <w:bCs/>
          <w:sz w:val="20"/>
        </w:rPr>
        <w:t>.- Rúbrica.</w:t>
      </w:r>
    </w:p>
    <w:p w:rsidR="00C22733" w:rsidRPr="00C22733" w:rsidRDefault="00C22733" w:rsidP="00C22733">
      <w:pPr>
        <w:jc w:val="both"/>
        <w:rPr>
          <w:rFonts w:ascii="Verdana" w:hAnsi="Verdana"/>
          <w:bCs/>
          <w:sz w:val="20"/>
        </w:rPr>
      </w:pPr>
      <w:r w:rsidRPr="00C22733">
        <w:rPr>
          <w:rFonts w:ascii="Verdana" w:hAnsi="Verdana"/>
          <w:bCs/>
          <w:sz w:val="20"/>
        </w:rPr>
        <w:t>ANEXO 21 DE LAS REGLAS GENERALES DE COMERCIO EXTERIOR PARA 2018</w:t>
      </w:r>
    </w:p>
    <w:p w:rsidR="00C22733" w:rsidRPr="00C22733" w:rsidRDefault="00C22733" w:rsidP="00C22733">
      <w:pPr>
        <w:jc w:val="both"/>
        <w:rPr>
          <w:rFonts w:ascii="Verdana" w:hAnsi="Verdana"/>
          <w:bCs/>
          <w:sz w:val="20"/>
        </w:rPr>
      </w:pPr>
      <w:r w:rsidRPr="00C22733">
        <w:rPr>
          <w:rFonts w:ascii="Verdana" w:hAnsi="Verdana"/>
          <w:bCs/>
          <w:sz w:val="20"/>
        </w:rPr>
        <w:t>Aduanas autorizadas para tramitar el despacho aduanero de determinado tipo de mercancías.</w:t>
      </w:r>
    </w:p>
    <w:p w:rsidR="00C22733" w:rsidRPr="00C22733" w:rsidRDefault="00C22733" w:rsidP="00C22733">
      <w:pPr>
        <w:jc w:val="both"/>
        <w:rPr>
          <w:rFonts w:ascii="Verdana" w:hAnsi="Verdana"/>
          <w:bCs/>
          <w:sz w:val="20"/>
        </w:rPr>
      </w:pPr>
      <w:r w:rsidRPr="00C22733">
        <w:rPr>
          <w:rFonts w:ascii="Verdana" w:hAnsi="Verdana"/>
          <w:bCs/>
          <w:sz w:val="20"/>
        </w:rPr>
        <w:t>A.                </w:t>
      </w:r>
    </w:p>
    <w:p w:rsidR="00C22733" w:rsidRPr="00C22733" w:rsidRDefault="00C22733" w:rsidP="00C22733">
      <w:pPr>
        <w:jc w:val="both"/>
        <w:rPr>
          <w:rFonts w:ascii="Verdana" w:hAnsi="Verdana"/>
          <w:bCs/>
          <w:sz w:val="20"/>
        </w:rPr>
      </w:pPr>
      <w:r w:rsidRPr="00C22733">
        <w:rPr>
          <w:rFonts w:ascii="Verdana" w:hAnsi="Verdana"/>
          <w:bCs/>
          <w:sz w:val="20"/>
        </w:rPr>
        <w:t>VII.        Importación definitiva de vehículos usados clasificados, conforme a la TIGIE, en las fracciones arancelarias 8701.20.02, 8702.10.05, 8702.90.06, 8703.21.02, 8703.22.02, 8703.23.02, 8703.24.02, 8703.31.02, 8703.32.02, 8703.33.02, 8703.90.02, 8704.21.04, 8704.22.07, 8704.23.02, 8704.31.05, 8704.32.07 y 8705.40.02. Lo dispuesto en la presente fracción únicamente será aplicable para los contribuyentes obligados a inscribirse en el Sector 16 "Automotriz", del Apartado A, del Anexo 10.</w:t>
      </w:r>
    </w:p>
    <w:p w:rsidR="00C22733" w:rsidRPr="00C22733" w:rsidRDefault="00C22733" w:rsidP="00C22733">
      <w:pPr>
        <w:jc w:val="both"/>
        <w:rPr>
          <w:rFonts w:ascii="Verdana" w:hAnsi="Verdana"/>
          <w:bCs/>
          <w:sz w:val="20"/>
        </w:rPr>
      </w:pPr>
      <w:r w:rsidRPr="00C22733">
        <w:rPr>
          <w:rFonts w:ascii="Verdana" w:hAnsi="Verdana"/>
          <w:bCs/>
          <w:sz w:val="20"/>
        </w:rPr>
        <w:t>               </w:t>
      </w:r>
    </w:p>
    <w:p w:rsidR="00C22733" w:rsidRPr="00C22733" w:rsidRDefault="00C22733" w:rsidP="00C22733">
      <w:pPr>
        <w:jc w:val="both"/>
        <w:rPr>
          <w:rFonts w:ascii="Verdana" w:hAnsi="Verdana"/>
          <w:bCs/>
          <w:sz w:val="20"/>
        </w:rPr>
      </w:pPr>
      <w:r w:rsidRPr="00C22733">
        <w:rPr>
          <w:rFonts w:ascii="Verdana" w:hAnsi="Verdana"/>
          <w:bCs/>
          <w:sz w:val="20"/>
        </w:rPr>
        <w:t>               </w:t>
      </w:r>
    </w:p>
    <w:p w:rsidR="00C22733" w:rsidRPr="00C22733" w:rsidRDefault="00C22733" w:rsidP="00C22733">
      <w:pPr>
        <w:jc w:val="both"/>
        <w:rPr>
          <w:rFonts w:ascii="Verdana" w:hAnsi="Verdana"/>
          <w:bCs/>
          <w:sz w:val="20"/>
        </w:rPr>
      </w:pPr>
      <w:r w:rsidRPr="00C22733">
        <w:rPr>
          <w:rFonts w:ascii="Verdana" w:hAnsi="Verdana"/>
          <w:bCs/>
          <w:sz w:val="20"/>
        </w:rPr>
        <w:t>               </w:t>
      </w:r>
    </w:p>
    <w:p w:rsidR="00C22733" w:rsidRPr="00C22733" w:rsidRDefault="00C22733" w:rsidP="00C22733">
      <w:pPr>
        <w:jc w:val="both"/>
        <w:rPr>
          <w:rFonts w:ascii="Verdana" w:hAnsi="Verdana"/>
          <w:bCs/>
          <w:sz w:val="20"/>
        </w:rPr>
      </w:pPr>
      <w:r w:rsidRPr="00C22733">
        <w:rPr>
          <w:rFonts w:ascii="Verdana" w:hAnsi="Verdana"/>
          <w:bCs/>
          <w:sz w:val="20"/>
        </w:rPr>
        <w:lastRenderedPageBreak/>
        <w:t>Atentamente,</w:t>
      </w:r>
    </w:p>
    <w:p w:rsidR="00C22733" w:rsidRPr="00C22733" w:rsidRDefault="00C22733" w:rsidP="00C22733">
      <w:pPr>
        <w:jc w:val="both"/>
        <w:rPr>
          <w:rFonts w:ascii="Verdana" w:hAnsi="Verdana"/>
          <w:bCs/>
          <w:sz w:val="20"/>
        </w:rPr>
      </w:pPr>
      <w:r w:rsidRPr="00C22733">
        <w:rPr>
          <w:rFonts w:ascii="Verdana" w:hAnsi="Verdana"/>
          <w:bCs/>
          <w:sz w:val="20"/>
        </w:rPr>
        <w:t xml:space="preserve">Ciudad de México, a 14 de marzo de 2019.- La Jefa del Servicio de Administración Tributaria, Ana Margarita Ríos </w:t>
      </w:r>
      <w:proofErr w:type="spellStart"/>
      <w:r w:rsidRPr="00C22733">
        <w:rPr>
          <w:rFonts w:ascii="Verdana" w:hAnsi="Verdana"/>
          <w:bCs/>
          <w:sz w:val="20"/>
        </w:rPr>
        <w:t>Farjat</w:t>
      </w:r>
      <w:proofErr w:type="spellEnd"/>
      <w:r w:rsidRPr="00C22733">
        <w:rPr>
          <w:rFonts w:ascii="Verdana" w:hAnsi="Verdana"/>
          <w:bCs/>
          <w:sz w:val="20"/>
        </w:rPr>
        <w:t>.- Rúbrica.</w:t>
      </w:r>
    </w:p>
    <w:p w:rsidR="00C22733" w:rsidRPr="00C22733" w:rsidRDefault="00C22733" w:rsidP="00C22733">
      <w:pPr>
        <w:jc w:val="both"/>
        <w:rPr>
          <w:rFonts w:ascii="Verdana" w:hAnsi="Verdana"/>
          <w:bCs/>
          <w:sz w:val="20"/>
        </w:rPr>
      </w:pPr>
    </w:p>
    <w:p w:rsidR="00C22733" w:rsidRPr="00C22733" w:rsidRDefault="00C22733" w:rsidP="00C22733">
      <w:pPr>
        <w:jc w:val="both"/>
        <w:rPr>
          <w:rFonts w:ascii="Verdana" w:hAnsi="Verdana"/>
          <w:bCs/>
          <w:sz w:val="20"/>
        </w:rPr>
      </w:pPr>
      <w:r w:rsidRPr="00C22733">
        <w:rPr>
          <w:rFonts w:ascii="Verdana" w:hAnsi="Verdana"/>
          <w:bCs/>
          <w:sz w:val="20"/>
        </w:rPr>
        <w:t>ANEXO 22 DE LAS REGLAS GENERALES DE COMERCIO EXTERIOR PARA 2018</w:t>
      </w:r>
    </w:p>
    <w:p w:rsidR="00C22733" w:rsidRPr="00C22733" w:rsidRDefault="00C22733" w:rsidP="00C22733">
      <w:pPr>
        <w:jc w:val="both"/>
        <w:rPr>
          <w:rFonts w:ascii="Verdana" w:hAnsi="Verdana"/>
          <w:bCs/>
          <w:sz w:val="20"/>
        </w:rPr>
      </w:pPr>
      <w:r w:rsidRPr="00C22733">
        <w:rPr>
          <w:rFonts w:ascii="Verdana" w:hAnsi="Verdana"/>
          <w:bCs/>
          <w:sz w:val="20"/>
        </w:rPr>
        <w:t>Instructivo para el llenado del Pedimento</w:t>
      </w:r>
    </w:p>
    <w:p w:rsidR="00C22733" w:rsidRPr="00C22733" w:rsidRDefault="00C22733" w:rsidP="00C22733">
      <w:pPr>
        <w:jc w:val="both"/>
        <w:rPr>
          <w:rFonts w:ascii="Verdana" w:hAnsi="Verdana"/>
          <w:bCs/>
          <w:sz w:val="20"/>
        </w:rPr>
      </w:pPr>
      <w:r w:rsidRPr="00C22733">
        <w:rPr>
          <w:rFonts w:ascii="Verdana" w:hAnsi="Verdana"/>
          <w:bCs/>
          <w:sz w:val="20"/>
        </w:rPr>
        <w:t>       </w:t>
      </w:r>
    </w:p>
    <w:p w:rsidR="00C22733" w:rsidRPr="00C22733" w:rsidRDefault="00C22733" w:rsidP="00C22733">
      <w:pPr>
        <w:jc w:val="both"/>
        <w:rPr>
          <w:rFonts w:ascii="Verdana" w:hAnsi="Verdana"/>
          <w:bCs/>
          <w:sz w:val="20"/>
        </w:rPr>
      </w:pPr>
      <w:r w:rsidRPr="00C22733">
        <w:rPr>
          <w:rFonts w:ascii="Verdana" w:hAnsi="Verdana"/>
          <w:bCs/>
          <w:sz w:val="20"/>
        </w:rPr>
        <w:t>APENDICE 8</w:t>
      </w:r>
    </w:p>
    <w:p w:rsidR="00C22733" w:rsidRPr="00C22733" w:rsidRDefault="00C22733" w:rsidP="00C22733">
      <w:pPr>
        <w:jc w:val="both"/>
        <w:rPr>
          <w:rFonts w:ascii="Verdana" w:hAnsi="Verdana"/>
          <w:bCs/>
          <w:sz w:val="20"/>
        </w:rPr>
      </w:pPr>
      <w:r w:rsidRPr="00C22733">
        <w:rPr>
          <w:rFonts w:ascii="Verdana" w:hAnsi="Verdana"/>
          <w:bCs/>
          <w:sz w:val="20"/>
        </w:rPr>
        <w:t>IDENTIFICADORES</w:t>
      </w:r>
    </w:p>
    <w:tbl>
      <w:tblPr>
        <w:tblW w:w="13170"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334"/>
        <w:gridCol w:w="570"/>
        <w:gridCol w:w="3553"/>
        <w:gridCol w:w="5"/>
        <w:gridCol w:w="2898"/>
        <w:gridCol w:w="2898"/>
        <w:gridCol w:w="1807"/>
      </w:tblGrid>
      <w:tr w:rsidR="00C22733" w:rsidRPr="00C22733" w:rsidTr="00C22733">
        <w:trPr>
          <w:trHeight w:val="15"/>
        </w:trPr>
        <w:tc>
          <w:tcPr>
            <w:tcW w:w="274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Clave</w:t>
            </w:r>
          </w:p>
        </w:tc>
        <w:tc>
          <w:tcPr>
            <w:tcW w:w="4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Nivel</w:t>
            </w:r>
          </w:p>
        </w:tc>
        <w:tc>
          <w:tcPr>
            <w:tcW w:w="2895" w:type="dxa"/>
            <w:gridSpan w:val="2"/>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Supuestos de Aplicación</w:t>
            </w:r>
          </w:p>
        </w:tc>
        <w:tc>
          <w:tcPr>
            <w:tcW w:w="232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Complemento 1</w:t>
            </w:r>
          </w:p>
        </w:tc>
        <w:tc>
          <w:tcPr>
            <w:tcW w:w="235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Complemento 2</w:t>
            </w:r>
          </w:p>
        </w:tc>
        <w:tc>
          <w:tcPr>
            <w:tcW w:w="151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Complemento 3</w:t>
            </w:r>
          </w:p>
        </w:tc>
      </w:tr>
      <w:tr w:rsidR="00C22733" w:rsidRPr="00C22733" w:rsidTr="00C22733">
        <w:trPr>
          <w:trHeight w:val="15"/>
        </w:trPr>
        <w:tc>
          <w:tcPr>
            <w:tcW w:w="274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4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2895" w:type="dxa"/>
            <w:gridSpan w:val="2"/>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232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235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151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r>
      <w:tr w:rsidR="00C22733" w:rsidRPr="00C22733" w:rsidTr="00C22733">
        <w:trPr>
          <w:trHeight w:val="15"/>
        </w:trPr>
        <w:tc>
          <w:tcPr>
            <w:tcW w:w="274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ES-        ESTADO DE LA MERCANCIA.</w:t>
            </w:r>
          </w:p>
        </w:tc>
        <w:tc>
          <w:tcPr>
            <w:tcW w:w="4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2895" w:type="dxa"/>
            <w:gridSpan w:val="2"/>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 xml:space="preserve">Únicamente para determinar la aplicación de regulaciones o restricciones no arancelarias, de conformidad con el estado de la mercancía; o para el caso de mercancías </w:t>
            </w:r>
            <w:proofErr w:type="spellStart"/>
            <w:r w:rsidRPr="00C22733">
              <w:rPr>
                <w:rFonts w:ascii="Verdana" w:hAnsi="Verdana"/>
                <w:bCs/>
                <w:sz w:val="20"/>
              </w:rPr>
              <w:t>remanufacturadas</w:t>
            </w:r>
            <w:proofErr w:type="spellEnd"/>
            <w:r w:rsidRPr="00C22733">
              <w:rPr>
                <w:rFonts w:ascii="Verdana" w:hAnsi="Verdana"/>
                <w:bCs/>
                <w:sz w:val="20"/>
              </w:rPr>
              <w:t xml:space="preserve"> importadas con tratamiento arancelario preferencial del TIPAT.</w:t>
            </w:r>
          </w:p>
        </w:tc>
        <w:tc>
          <w:tcPr>
            <w:tcW w:w="2325" w:type="dxa"/>
            <w:tcBorders>
              <w:top w:val="single" w:sz="6" w:space="0" w:color="000000"/>
              <w:left w:val="single" w:sz="6" w:space="0" w:color="000000"/>
              <w:bottom w:val="single" w:sz="6" w:space="0" w:color="000000"/>
              <w:right w:val="single" w:sz="6" w:space="0" w:color="000000"/>
            </w:tcBorders>
            <w:hideMark/>
          </w:tcPr>
          <w:p w:rsidR="00C22733" w:rsidRPr="00C22733" w:rsidRDefault="00C22733" w:rsidP="00C22733">
            <w:pPr>
              <w:jc w:val="both"/>
              <w:rPr>
                <w:rFonts w:ascii="Verdana" w:hAnsi="Verdana"/>
                <w:bCs/>
                <w:sz w:val="20"/>
              </w:rPr>
            </w:pPr>
            <w:r w:rsidRPr="00C22733">
              <w:rPr>
                <w:rFonts w:ascii="Verdana" w:hAnsi="Verdana"/>
                <w:bCs/>
                <w:sz w:val="20"/>
              </w:rPr>
              <w:t>.......................................</w:t>
            </w:r>
          </w:p>
          <w:p w:rsidR="00000000" w:rsidRPr="00C22733" w:rsidRDefault="00C22733" w:rsidP="00C22733">
            <w:pPr>
              <w:jc w:val="both"/>
              <w:rPr>
                <w:rFonts w:ascii="Verdana" w:hAnsi="Verdana"/>
                <w:bCs/>
                <w:sz w:val="20"/>
              </w:rPr>
            </w:pPr>
            <w:r w:rsidRPr="00C22733">
              <w:rPr>
                <w:rFonts w:ascii="Verdana" w:hAnsi="Verdana"/>
                <w:bCs/>
                <w:sz w:val="20"/>
              </w:rPr>
              <w:t>RM </w:t>
            </w:r>
            <w:proofErr w:type="spellStart"/>
            <w:r w:rsidRPr="00C22733">
              <w:rPr>
                <w:rFonts w:ascii="Verdana" w:hAnsi="Verdana"/>
                <w:bCs/>
                <w:sz w:val="20"/>
              </w:rPr>
              <w:t>Remanufacturados</w:t>
            </w:r>
            <w:proofErr w:type="spellEnd"/>
            <w:r w:rsidRPr="00C22733">
              <w:rPr>
                <w:rFonts w:ascii="Verdana" w:hAnsi="Verdana"/>
                <w:bCs/>
                <w:sz w:val="20"/>
              </w:rPr>
              <w:t>.</w:t>
            </w:r>
          </w:p>
        </w:tc>
        <w:tc>
          <w:tcPr>
            <w:tcW w:w="235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151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r>
      <w:tr w:rsidR="00C22733" w:rsidRPr="00C22733" w:rsidTr="00C22733">
        <w:trPr>
          <w:trHeight w:val="15"/>
        </w:trPr>
        <w:tc>
          <w:tcPr>
            <w:tcW w:w="274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4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2895" w:type="dxa"/>
            <w:gridSpan w:val="2"/>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232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235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151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r>
      <w:tr w:rsidR="00C22733" w:rsidRPr="00C22733" w:rsidTr="00C22733">
        <w:trPr>
          <w:trHeight w:val="15"/>
        </w:trPr>
        <w:tc>
          <w:tcPr>
            <w:tcW w:w="274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IN-        INCIDENCIA.</w:t>
            </w:r>
          </w:p>
        </w:tc>
        <w:tc>
          <w:tcPr>
            <w:tcW w:w="4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2895" w:type="dxa"/>
            <w:gridSpan w:val="2"/>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2325" w:type="dxa"/>
            <w:tcBorders>
              <w:top w:val="single" w:sz="6" w:space="0" w:color="000000"/>
              <w:left w:val="single" w:sz="6" w:space="0" w:color="000000"/>
              <w:bottom w:val="single" w:sz="6" w:space="0" w:color="000000"/>
              <w:right w:val="single" w:sz="6" w:space="0" w:color="000000"/>
            </w:tcBorders>
            <w:hideMark/>
          </w:tcPr>
          <w:p w:rsidR="00C22733" w:rsidRPr="00C22733" w:rsidRDefault="00C22733" w:rsidP="00C22733">
            <w:pPr>
              <w:jc w:val="both"/>
              <w:rPr>
                <w:rFonts w:ascii="Verdana" w:hAnsi="Verdana"/>
                <w:bCs/>
                <w:sz w:val="20"/>
              </w:rPr>
            </w:pPr>
            <w:r w:rsidRPr="00C22733">
              <w:rPr>
                <w:rFonts w:ascii="Verdana" w:hAnsi="Verdana"/>
                <w:bCs/>
                <w:sz w:val="20"/>
              </w:rPr>
              <w:t>.......................................</w:t>
            </w:r>
          </w:p>
          <w:p w:rsidR="00C22733" w:rsidRPr="00C22733" w:rsidRDefault="00C22733" w:rsidP="00C22733">
            <w:pPr>
              <w:jc w:val="both"/>
              <w:rPr>
                <w:rFonts w:ascii="Verdana" w:hAnsi="Verdana"/>
                <w:bCs/>
                <w:sz w:val="20"/>
              </w:rPr>
            </w:pPr>
            <w:r w:rsidRPr="00C22733">
              <w:rPr>
                <w:rFonts w:ascii="Verdana" w:hAnsi="Verdana"/>
                <w:bCs/>
                <w:sz w:val="20"/>
              </w:rPr>
              <w:t>13.        Regla 2.4.3., o, en su caso, la regla 3.1.20.</w:t>
            </w:r>
          </w:p>
          <w:p w:rsidR="00000000" w:rsidRPr="00C22733" w:rsidRDefault="00C22733" w:rsidP="00C22733">
            <w:pPr>
              <w:jc w:val="both"/>
              <w:rPr>
                <w:rFonts w:ascii="Verdana" w:hAnsi="Verdana"/>
                <w:bCs/>
                <w:sz w:val="20"/>
              </w:rPr>
            </w:pPr>
            <w:r w:rsidRPr="00C22733">
              <w:rPr>
                <w:rFonts w:ascii="Verdana" w:hAnsi="Verdana"/>
                <w:bCs/>
                <w:sz w:val="20"/>
              </w:rPr>
              <w:t>.......................................</w:t>
            </w:r>
          </w:p>
        </w:tc>
        <w:tc>
          <w:tcPr>
            <w:tcW w:w="235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151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r>
      <w:tr w:rsidR="00C22733" w:rsidRPr="00C22733" w:rsidTr="00C22733">
        <w:trPr>
          <w:trHeight w:val="15"/>
        </w:trPr>
        <w:tc>
          <w:tcPr>
            <w:tcW w:w="274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4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2895" w:type="dxa"/>
            <w:gridSpan w:val="2"/>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232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235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151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r>
      <w:tr w:rsidR="00C22733" w:rsidRPr="00C22733" w:rsidTr="00C22733">
        <w:trPr>
          <w:trHeight w:val="15"/>
        </w:trPr>
        <w:tc>
          <w:tcPr>
            <w:tcW w:w="274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LP- LISTA DE ESCASO ABASTO</w:t>
            </w:r>
          </w:p>
        </w:tc>
        <w:tc>
          <w:tcPr>
            <w:tcW w:w="4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P</w:t>
            </w:r>
          </w:p>
        </w:tc>
        <w:tc>
          <w:tcPr>
            <w:tcW w:w="2895" w:type="dxa"/>
            <w:gridSpan w:val="2"/>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Identificar cuando la mercancía haya sido producida con materiales de escaso abasto listados en el Apéndice 1 del Anexo 4-A del TIPAT.</w:t>
            </w:r>
          </w:p>
        </w:tc>
        <w:tc>
          <w:tcPr>
            <w:tcW w:w="232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Declarar el número de producto que le corresponda al material de escaso abasto listado en la primera columna del Apéndice 1 del Anexo 4-A del TIPAT.</w:t>
            </w:r>
          </w:p>
        </w:tc>
        <w:tc>
          <w:tcPr>
            <w:tcW w:w="2355" w:type="dxa"/>
            <w:tcBorders>
              <w:top w:val="single" w:sz="6" w:space="0" w:color="000000"/>
              <w:left w:val="single" w:sz="6" w:space="0" w:color="000000"/>
              <w:bottom w:val="single" w:sz="6" w:space="0" w:color="000000"/>
              <w:right w:val="single" w:sz="6" w:space="0" w:color="000000"/>
            </w:tcBorders>
            <w:hideMark/>
          </w:tcPr>
          <w:p w:rsidR="00C22733" w:rsidRPr="00C22733" w:rsidRDefault="00C22733" w:rsidP="00C22733">
            <w:pPr>
              <w:jc w:val="both"/>
              <w:rPr>
                <w:rFonts w:ascii="Verdana" w:hAnsi="Verdana"/>
                <w:bCs/>
                <w:sz w:val="20"/>
              </w:rPr>
            </w:pPr>
            <w:r w:rsidRPr="00C22733">
              <w:rPr>
                <w:rFonts w:ascii="Verdana" w:hAnsi="Verdana"/>
                <w:bCs/>
                <w:sz w:val="20"/>
              </w:rPr>
              <w:t>Declarar el número de producto que le corresponda al segundo material de escaso abasto, listado en la primera columna del Apéndice 1 del Anexo 4-A del TIPAT.</w:t>
            </w:r>
          </w:p>
          <w:p w:rsidR="00000000" w:rsidRPr="00C22733" w:rsidRDefault="00C22733" w:rsidP="00C22733">
            <w:pPr>
              <w:jc w:val="both"/>
              <w:rPr>
                <w:rFonts w:ascii="Verdana" w:hAnsi="Verdana"/>
                <w:bCs/>
                <w:sz w:val="20"/>
              </w:rPr>
            </w:pPr>
            <w:r w:rsidRPr="00C22733">
              <w:rPr>
                <w:rFonts w:ascii="Verdana" w:hAnsi="Verdana"/>
                <w:bCs/>
                <w:sz w:val="20"/>
              </w:rPr>
              <w:lastRenderedPageBreak/>
              <w:t>De no existir un segundo material listado, no asentar datos. (Vacío).</w:t>
            </w:r>
          </w:p>
        </w:tc>
        <w:tc>
          <w:tcPr>
            <w:tcW w:w="1515" w:type="dxa"/>
            <w:tcBorders>
              <w:top w:val="single" w:sz="6" w:space="0" w:color="000000"/>
              <w:left w:val="single" w:sz="6" w:space="0" w:color="000000"/>
              <w:bottom w:val="single" w:sz="6" w:space="0" w:color="000000"/>
              <w:right w:val="single" w:sz="6" w:space="0" w:color="000000"/>
            </w:tcBorders>
            <w:hideMark/>
          </w:tcPr>
          <w:p w:rsidR="00C22733" w:rsidRPr="00C22733" w:rsidRDefault="00C22733" w:rsidP="00C22733">
            <w:pPr>
              <w:jc w:val="both"/>
              <w:rPr>
                <w:rFonts w:ascii="Verdana" w:hAnsi="Verdana"/>
                <w:bCs/>
                <w:sz w:val="20"/>
              </w:rPr>
            </w:pPr>
            <w:r w:rsidRPr="00C22733">
              <w:rPr>
                <w:rFonts w:ascii="Verdana" w:hAnsi="Verdana"/>
                <w:bCs/>
                <w:sz w:val="20"/>
              </w:rPr>
              <w:lastRenderedPageBreak/>
              <w:t xml:space="preserve">Declarar el número de producto que le corresponda al tercer material de escaso abasto listado en la primera columna </w:t>
            </w:r>
            <w:r w:rsidRPr="00C22733">
              <w:rPr>
                <w:rFonts w:ascii="Verdana" w:hAnsi="Verdana"/>
                <w:bCs/>
                <w:sz w:val="20"/>
              </w:rPr>
              <w:lastRenderedPageBreak/>
              <w:t>del Apéndice 1 del Anexo 4-A del TIPAT.</w:t>
            </w:r>
          </w:p>
          <w:p w:rsidR="00000000" w:rsidRPr="00C22733" w:rsidRDefault="00C22733" w:rsidP="00C22733">
            <w:pPr>
              <w:jc w:val="both"/>
              <w:rPr>
                <w:rFonts w:ascii="Verdana" w:hAnsi="Verdana"/>
                <w:bCs/>
                <w:sz w:val="20"/>
              </w:rPr>
            </w:pPr>
            <w:r w:rsidRPr="00C22733">
              <w:rPr>
                <w:rFonts w:ascii="Verdana" w:hAnsi="Verdana"/>
                <w:bCs/>
                <w:sz w:val="20"/>
              </w:rPr>
              <w:t>De no existir un segundo material listado, no asentar datos. (Vacío).</w:t>
            </w:r>
          </w:p>
        </w:tc>
      </w:tr>
      <w:tr w:rsidR="00C22733" w:rsidRPr="00C22733" w:rsidTr="00C22733">
        <w:trPr>
          <w:trHeight w:val="15"/>
        </w:trPr>
        <w:tc>
          <w:tcPr>
            <w:tcW w:w="274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lastRenderedPageBreak/>
              <w:t>.............................................</w:t>
            </w:r>
          </w:p>
        </w:tc>
        <w:tc>
          <w:tcPr>
            <w:tcW w:w="4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2895" w:type="dxa"/>
            <w:gridSpan w:val="2"/>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232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235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151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r>
      <w:tr w:rsidR="00C22733" w:rsidRPr="00C22733" w:rsidTr="00C22733">
        <w:trPr>
          <w:trHeight w:val="15"/>
        </w:trPr>
        <w:tc>
          <w:tcPr>
            <w:tcW w:w="274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RD-        RETORNO A DEPOSITO FISCAL DE LA INDUSTRIA AUTOMOTRIZ DE MERCANCIA EXPORTADA EN DEFINITIVA.</w:t>
            </w:r>
          </w:p>
        </w:tc>
        <w:tc>
          <w:tcPr>
            <w:tcW w:w="4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2895" w:type="dxa"/>
            <w:gridSpan w:val="2"/>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Retorno de mercancías extraídas para su exportación definitiva conforme a la regla 4.5.31., fracción IV.</w:t>
            </w:r>
          </w:p>
        </w:tc>
        <w:tc>
          <w:tcPr>
            <w:tcW w:w="232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235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151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r>
      <w:tr w:rsidR="00C22733" w:rsidRPr="00C22733" w:rsidTr="00C22733">
        <w:trPr>
          <w:trHeight w:val="15"/>
        </w:trPr>
        <w:tc>
          <w:tcPr>
            <w:tcW w:w="274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4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2895" w:type="dxa"/>
            <w:gridSpan w:val="2"/>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232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235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151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r>
      <w:tr w:rsidR="00C22733" w:rsidRPr="00C22733" w:rsidTr="00C22733">
        <w:trPr>
          <w:trHeight w:val="15"/>
        </w:trPr>
        <w:tc>
          <w:tcPr>
            <w:tcW w:w="274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SF-        CLAVE DE UNIDAD AUTORIZADA DEL ALMACEN GENERAL DE DEPOSITO</w:t>
            </w:r>
          </w:p>
        </w:tc>
        <w:tc>
          <w:tcPr>
            <w:tcW w:w="4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G</w:t>
            </w:r>
          </w:p>
        </w:tc>
        <w:tc>
          <w:tcPr>
            <w:tcW w:w="2895" w:type="dxa"/>
            <w:gridSpan w:val="2"/>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Identificar la unidad autorizada, conforme la autorización otorgada para prestar el servicio de almacenamiento de mercancías en depósito fiscal y colocar marbetes o precintos.</w:t>
            </w:r>
          </w:p>
        </w:tc>
        <w:tc>
          <w:tcPr>
            <w:tcW w:w="232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235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151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r>
      <w:tr w:rsidR="00C22733" w:rsidRPr="00C22733" w:rsidTr="00C22733">
        <w:trPr>
          <w:trHeight w:val="15"/>
        </w:trPr>
        <w:tc>
          <w:tcPr>
            <w:tcW w:w="274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4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2895" w:type="dxa"/>
            <w:gridSpan w:val="2"/>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232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235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151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r>
      <w:tr w:rsidR="00C22733" w:rsidRPr="00C22733" w:rsidTr="00C22733">
        <w:trPr>
          <w:trHeight w:val="15"/>
        </w:trPr>
        <w:tc>
          <w:tcPr>
            <w:tcW w:w="274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TL-        MERCANCIA ORIGINARIA AL AMPARO DE TRATADOS DE LIBRE COMERCIO.</w:t>
            </w:r>
          </w:p>
        </w:tc>
        <w:tc>
          <w:tcPr>
            <w:tcW w:w="4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286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2355" w:type="dxa"/>
            <w:gridSpan w:val="2"/>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2355" w:type="dxa"/>
            <w:tcBorders>
              <w:top w:val="single" w:sz="6" w:space="0" w:color="000000"/>
              <w:left w:val="single" w:sz="6" w:space="0" w:color="000000"/>
              <w:bottom w:val="single" w:sz="6" w:space="0" w:color="000000"/>
              <w:right w:val="single" w:sz="6" w:space="0" w:color="000000"/>
            </w:tcBorders>
            <w:hideMark/>
          </w:tcPr>
          <w:p w:rsidR="00C22733" w:rsidRPr="00C22733" w:rsidRDefault="00C22733" w:rsidP="00C22733">
            <w:pPr>
              <w:jc w:val="both"/>
              <w:rPr>
                <w:rFonts w:ascii="Verdana" w:hAnsi="Verdana"/>
                <w:bCs/>
                <w:sz w:val="20"/>
              </w:rPr>
            </w:pPr>
            <w:r w:rsidRPr="00C22733">
              <w:rPr>
                <w:rFonts w:ascii="Verdana" w:hAnsi="Verdana"/>
                <w:bCs/>
                <w:sz w:val="20"/>
              </w:rPr>
              <w:t>....................................</w:t>
            </w:r>
          </w:p>
          <w:p w:rsidR="00000000" w:rsidRPr="00C22733" w:rsidRDefault="00C22733" w:rsidP="00C22733">
            <w:pPr>
              <w:jc w:val="both"/>
              <w:rPr>
                <w:rFonts w:ascii="Verdana" w:hAnsi="Verdana"/>
                <w:bCs/>
                <w:sz w:val="20"/>
              </w:rPr>
            </w:pPr>
            <w:r w:rsidRPr="00C22733">
              <w:rPr>
                <w:rFonts w:ascii="Verdana" w:hAnsi="Verdana"/>
                <w:bCs/>
                <w:sz w:val="20"/>
              </w:rPr>
              <w:t>TIP.- Tratado Integral y Progresista de Asociación Transpacífico.</w:t>
            </w:r>
          </w:p>
        </w:tc>
        <w:tc>
          <w:tcPr>
            <w:tcW w:w="1515" w:type="dxa"/>
            <w:tcBorders>
              <w:top w:val="single" w:sz="6" w:space="0" w:color="000000"/>
              <w:left w:val="single" w:sz="6" w:space="0" w:color="000000"/>
              <w:bottom w:val="single" w:sz="6" w:space="0" w:color="000000"/>
              <w:right w:val="single" w:sz="6" w:space="0" w:color="000000"/>
            </w:tcBorders>
            <w:hideMark/>
          </w:tcPr>
          <w:p w:rsidR="00C22733" w:rsidRPr="00C22733" w:rsidRDefault="00C22733" w:rsidP="00C22733">
            <w:pPr>
              <w:jc w:val="both"/>
              <w:rPr>
                <w:rFonts w:ascii="Verdana" w:hAnsi="Verdana"/>
                <w:bCs/>
                <w:sz w:val="20"/>
              </w:rPr>
            </w:pPr>
            <w:r w:rsidRPr="00C22733">
              <w:rPr>
                <w:rFonts w:ascii="Verdana" w:hAnsi="Verdana"/>
                <w:bCs/>
                <w:sz w:val="20"/>
              </w:rPr>
              <w:t>........................</w:t>
            </w:r>
          </w:p>
          <w:p w:rsidR="00000000" w:rsidRPr="00C22733" w:rsidRDefault="00C22733" w:rsidP="00C22733">
            <w:pPr>
              <w:jc w:val="both"/>
              <w:rPr>
                <w:rFonts w:ascii="Verdana" w:hAnsi="Verdana"/>
                <w:bCs/>
                <w:sz w:val="20"/>
              </w:rPr>
            </w:pPr>
            <w:r w:rsidRPr="00C22733">
              <w:rPr>
                <w:rFonts w:ascii="Verdana" w:hAnsi="Verdana"/>
                <w:bCs/>
                <w:sz w:val="20"/>
              </w:rPr>
              <w:t>Declarar la Certificación de Origen cuando se declaren mercancías originarias del TIPAT.</w:t>
            </w:r>
          </w:p>
        </w:tc>
      </w:tr>
      <w:tr w:rsidR="00C22733" w:rsidRPr="00C22733" w:rsidTr="00C22733">
        <w:trPr>
          <w:trHeight w:val="15"/>
        </w:trPr>
        <w:tc>
          <w:tcPr>
            <w:tcW w:w="274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4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2895" w:type="dxa"/>
            <w:gridSpan w:val="2"/>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232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235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c>
          <w:tcPr>
            <w:tcW w:w="151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w:t>
            </w:r>
          </w:p>
        </w:tc>
      </w:tr>
    </w:tbl>
    <w:p w:rsidR="00C22733" w:rsidRPr="00C22733" w:rsidRDefault="00C22733" w:rsidP="00C22733">
      <w:pPr>
        <w:jc w:val="both"/>
        <w:rPr>
          <w:rFonts w:ascii="Verdana" w:hAnsi="Verdana"/>
          <w:bCs/>
          <w:sz w:val="20"/>
        </w:rPr>
      </w:pPr>
      <w:r w:rsidRPr="00C22733">
        <w:rPr>
          <w:rFonts w:ascii="Verdana" w:hAnsi="Verdana"/>
          <w:bCs/>
          <w:sz w:val="20"/>
        </w:rPr>
        <w:t>......................................................................................................................................................................................................................</w:t>
      </w:r>
    </w:p>
    <w:p w:rsidR="00C22733" w:rsidRPr="00C22733" w:rsidRDefault="00C22733" w:rsidP="00C22733">
      <w:pPr>
        <w:jc w:val="both"/>
        <w:rPr>
          <w:rFonts w:ascii="Verdana" w:hAnsi="Verdana"/>
          <w:bCs/>
          <w:sz w:val="20"/>
        </w:rPr>
      </w:pPr>
      <w:r w:rsidRPr="00C22733">
        <w:rPr>
          <w:rFonts w:ascii="Verdana" w:hAnsi="Verdana"/>
          <w:bCs/>
          <w:sz w:val="20"/>
        </w:rPr>
        <w:t>Atentamente,</w:t>
      </w:r>
    </w:p>
    <w:p w:rsidR="00C22733" w:rsidRPr="00C22733" w:rsidRDefault="00C22733" w:rsidP="00C22733">
      <w:pPr>
        <w:jc w:val="both"/>
        <w:rPr>
          <w:rFonts w:ascii="Verdana" w:hAnsi="Verdana"/>
          <w:bCs/>
          <w:sz w:val="20"/>
        </w:rPr>
      </w:pPr>
      <w:r w:rsidRPr="00C22733">
        <w:rPr>
          <w:rFonts w:ascii="Verdana" w:hAnsi="Verdana"/>
          <w:bCs/>
          <w:sz w:val="20"/>
        </w:rPr>
        <w:lastRenderedPageBreak/>
        <w:t xml:space="preserve">Ciudad de México, a 14 de marzo de 2019.- La Jefa del Servicio de Administración Tributaria, Ana Margarita Ríos </w:t>
      </w:r>
      <w:proofErr w:type="spellStart"/>
      <w:r w:rsidRPr="00C22733">
        <w:rPr>
          <w:rFonts w:ascii="Verdana" w:hAnsi="Verdana"/>
          <w:bCs/>
          <w:sz w:val="20"/>
        </w:rPr>
        <w:t>Farjat</w:t>
      </w:r>
      <w:proofErr w:type="spellEnd"/>
      <w:r w:rsidRPr="00C22733">
        <w:rPr>
          <w:rFonts w:ascii="Verdana" w:hAnsi="Verdana"/>
          <w:bCs/>
          <w:sz w:val="20"/>
        </w:rPr>
        <w:t>.- Rúbrica.</w:t>
      </w:r>
    </w:p>
    <w:p w:rsidR="00C22733" w:rsidRPr="00C22733" w:rsidRDefault="00C22733" w:rsidP="00C22733">
      <w:pPr>
        <w:jc w:val="both"/>
        <w:rPr>
          <w:rFonts w:ascii="Verdana" w:hAnsi="Verdana"/>
          <w:bCs/>
          <w:sz w:val="20"/>
        </w:rPr>
      </w:pPr>
    </w:p>
    <w:p w:rsidR="00C22733" w:rsidRPr="00C22733" w:rsidRDefault="00C22733" w:rsidP="00C22733">
      <w:pPr>
        <w:jc w:val="both"/>
        <w:rPr>
          <w:rFonts w:ascii="Verdana" w:hAnsi="Verdana"/>
          <w:bCs/>
          <w:sz w:val="20"/>
        </w:rPr>
      </w:pPr>
      <w:r w:rsidRPr="00C22733">
        <w:rPr>
          <w:rFonts w:ascii="Verdana" w:hAnsi="Verdana"/>
          <w:bCs/>
          <w:sz w:val="20"/>
        </w:rPr>
        <w:t>ANEXO 27 DE LAS REGLAS GENERALES DE COMERCIO EXTERIOR PARA 2018</w:t>
      </w:r>
    </w:p>
    <w:p w:rsidR="00C22733" w:rsidRPr="00C22733" w:rsidRDefault="00C22733" w:rsidP="00C22733">
      <w:pPr>
        <w:jc w:val="both"/>
        <w:rPr>
          <w:rFonts w:ascii="Verdana" w:hAnsi="Verdana"/>
          <w:bCs/>
          <w:sz w:val="20"/>
        </w:rPr>
      </w:pPr>
      <w:r w:rsidRPr="00C22733">
        <w:rPr>
          <w:rFonts w:ascii="Verdana" w:hAnsi="Verdana"/>
          <w:bCs/>
          <w:sz w:val="20"/>
        </w:rPr>
        <w:t>Fracciones arancelarias de la TIGIE, por cuya importación no se está obligado al pago del IVA, de conformidad con el artículo 25, fracción III, en relación con el artículo 2-A, fracción I de la Ley del IVA</w:t>
      </w:r>
    </w:p>
    <w:p w:rsidR="00C22733" w:rsidRPr="00C22733" w:rsidRDefault="00C22733" w:rsidP="00C22733">
      <w:pPr>
        <w:jc w:val="both"/>
        <w:rPr>
          <w:rFonts w:ascii="Verdana" w:hAnsi="Verdana"/>
          <w:bCs/>
          <w:sz w:val="20"/>
        </w:rPr>
      </w:pPr>
    </w:p>
    <w:tbl>
      <w:tblPr>
        <w:tblW w:w="4035" w:type="dxa"/>
        <w:jc w:val="center"/>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035"/>
      </w:tblGrid>
      <w:tr w:rsidR="00C22733" w:rsidRPr="00C22733" w:rsidTr="00C22733">
        <w:trPr>
          <w:trHeight w:val="15"/>
          <w:jc w:val="center"/>
        </w:trPr>
        <w:tc>
          <w:tcPr>
            <w:tcW w:w="3945" w:type="dxa"/>
            <w:tcBorders>
              <w:top w:val="single" w:sz="6" w:space="0" w:color="000000"/>
              <w:left w:val="single" w:sz="6" w:space="0" w:color="000000"/>
              <w:bottom w:val="single" w:sz="6" w:space="0" w:color="000000"/>
              <w:right w:val="single" w:sz="6" w:space="0" w:color="000000"/>
            </w:tcBorders>
            <w:hideMark/>
          </w:tcPr>
          <w:p w:rsidR="00C22733" w:rsidRPr="00C22733" w:rsidRDefault="00C22733" w:rsidP="00C22733">
            <w:pPr>
              <w:jc w:val="both"/>
              <w:rPr>
                <w:rFonts w:ascii="Verdana" w:hAnsi="Verdana"/>
                <w:bCs/>
                <w:sz w:val="20"/>
              </w:rPr>
            </w:pPr>
            <w:r w:rsidRPr="00C22733">
              <w:rPr>
                <w:rFonts w:ascii="Verdana" w:hAnsi="Verdana"/>
                <w:bCs/>
                <w:sz w:val="20"/>
              </w:rPr>
              <w:t>CAPITULO 29. ( A ) ( B )</w:t>
            </w:r>
          </w:p>
          <w:p w:rsidR="00C22733" w:rsidRPr="00C22733" w:rsidRDefault="00C22733" w:rsidP="00C22733">
            <w:pPr>
              <w:jc w:val="both"/>
              <w:rPr>
                <w:rFonts w:ascii="Verdana" w:hAnsi="Verdana"/>
                <w:bCs/>
                <w:sz w:val="20"/>
              </w:rPr>
            </w:pPr>
            <w:r w:rsidRPr="00C22733">
              <w:rPr>
                <w:rFonts w:ascii="Verdana" w:hAnsi="Verdana"/>
                <w:bCs/>
                <w:sz w:val="20"/>
              </w:rPr>
              <w:t>Productos químicos orgánicos:</w:t>
            </w:r>
          </w:p>
          <w:p w:rsidR="00000000" w:rsidRPr="00C22733" w:rsidRDefault="00C22733" w:rsidP="00C22733">
            <w:pPr>
              <w:jc w:val="both"/>
              <w:rPr>
                <w:rFonts w:ascii="Verdana" w:hAnsi="Verdana"/>
                <w:bCs/>
                <w:sz w:val="20"/>
              </w:rPr>
            </w:pPr>
            <w:r w:rsidRPr="00C22733">
              <w:rPr>
                <w:rFonts w:ascii="Verdana" w:hAnsi="Verdana"/>
                <w:bCs/>
                <w:sz w:val="20"/>
              </w:rPr>
              <w:t>Artículos 2-A, fracción I, inciso b) o inciso f), de la Ley del IVA y 7 del Reglamento de la Ley del IVA.</w:t>
            </w:r>
          </w:p>
        </w:tc>
      </w:tr>
    </w:tbl>
    <w:p w:rsidR="00C22733" w:rsidRPr="00C22733" w:rsidRDefault="00C22733" w:rsidP="00C22733">
      <w:pPr>
        <w:jc w:val="both"/>
        <w:rPr>
          <w:rFonts w:ascii="Verdana" w:hAnsi="Verdana"/>
          <w:bCs/>
          <w:sz w:val="20"/>
        </w:rPr>
      </w:pPr>
      <w:r w:rsidRPr="00C22733">
        <w:rPr>
          <w:rFonts w:ascii="Verdana" w:hAnsi="Verdana"/>
          <w:bCs/>
          <w:sz w:val="20"/>
        </w:rPr>
        <w:t>A        Únicamente las destinadas para usarse como fertilizantes, plaguicidas, herbicidas, funguicidas y abonos, en la agricultura o ganadería.</w:t>
      </w:r>
    </w:p>
    <w:p w:rsidR="00C22733" w:rsidRPr="00C22733" w:rsidRDefault="00C22733" w:rsidP="00C22733">
      <w:pPr>
        <w:jc w:val="both"/>
        <w:rPr>
          <w:rFonts w:ascii="Verdana" w:hAnsi="Verdana"/>
          <w:bCs/>
          <w:sz w:val="20"/>
        </w:rPr>
      </w:pPr>
      <w:r w:rsidRPr="00C22733">
        <w:rPr>
          <w:rFonts w:ascii="Verdana" w:hAnsi="Verdana"/>
          <w:bCs/>
          <w:sz w:val="20"/>
        </w:rPr>
        <w:t>B        Únicamente si se trata de preparaciones farmacéuticas, estupefacientes, sustancias psicotrópicas, antígenos y vacunas. Los productos distintos a los anteriores que para clasificarse como medicina de patente requieran mezclarse con otras sustancias o productos o sujetarse a un proceso industrial de transformación, como serían las sustancias químicas, deberán gravarse con la tasa general del IVA.</w:t>
      </w:r>
    </w:p>
    <w:tbl>
      <w:tblPr>
        <w:tblW w:w="4035" w:type="dxa"/>
        <w:jc w:val="center"/>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50"/>
        <w:gridCol w:w="2585"/>
      </w:tblGrid>
      <w:tr w:rsidR="00C22733" w:rsidRPr="00C22733" w:rsidTr="00C22733">
        <w:trPr>
          <w:trHeight w:val="15"/>
          <w:jc w:val="center"/>
        </w:trPr>
        <w:tc>
          <w:tcPr>
            <w:tcW w:w="3885" w:type="dxa"/>
            <w:gridSpan w:val="2"/>
            <w:tcBorders>
              <w:top w:val="single" w:sz="6" w:space="0" w:color="000000"/>
              <w:left w:val="single" w:sz="6" w:space="0" w:color="000000"/>
              <w:bottom w:val="single" w:sz="6" w:space="0" w:color="000000"/>
              <w:right w:val="single" w:sz="6" w:space="0" w:color="000000"/>
            </w:tcBorders>
            <w:hideMark/>
          </w:tcPr>
          <w:p w:rsidR="00C22733" w:rsidRPr="00C22733" w:rsidRDefault="00C22733" w:rsidP="00C22733">
            <w:pPr>
              <w:jc w:val="both"/>
              <w:rPr>
                <w:rFonts w:ascii="Verdana" w:hAnsi="Verdana"/>
                <w:bCs/>
                <w:sz w:val="20"/>
              </w:rPr>
            </w:pPr>
            <w:r w:rsidRPr="00C22733">
              <w:rPr>
                <w:rFonts w:ascii="Verdana" w:hAnsi="Verdana"/>
                <w:bCs/>
                <w:sz w:val="20"/>
              </w:rPr>
              <w:t>CAPITULO 30.</w:t>
            </w:r>
          </w:p>
          <w:p w:rsidR="00000000" w:rsidRPr="00C22733" w:rsidRDefault="00C22733" w:rsidP="00C22733">
            <w:pPr>
              <w:jc w:val="both"/>
              <w:rPr>
                <w:rFonts w:ascii="Verdana" w:hAnsi="Verdana"/>
                <w:bCs/>
                <w:sz w:val="20"/>
              </w:rPr>
            </w:pPr>
            <w:r w:rsidRPr="00C22733">
              <w:rPr>
                <w:rFonts w:ascii="Verdana" w:hAnsi="Verdana"/>
                <w:bCs/>
                <w:sz w:val="20"/>
              </w:rPr>
              <w:t>Productos farmacéuticos:</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Fracción arancelaria</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Fundamento Jurídico Ley del IVA, artículo</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3002.10.01</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3002.10.02</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3002.10.03</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3002.10.04</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3002.10.05</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3002.10.06</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lastRenderedPageBreak/>
              <w:t>3002.10.07</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3002.10.08</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3002.10.09</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3002.10.10</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3002.10.11</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3002.10.12</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3002.10.13</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3002.10.14</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3002.10.15</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3002.10.16</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3002.10.17</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3002.10.18</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3002.10.19</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3002.10.20</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3002.10.21</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3002.10.22</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3002.10.99</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3002.20.01</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3002.20.02</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3002.20.03</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3002.20.04</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3002.20.05</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3002.20.06</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lastRenderedPageBreak/>
              <w:t>3002.20.07</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3002.20.08</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3002.20.09</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3002.20.99</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3002.30.01</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3002.30.02</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3002.30.99</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3002.90.01A</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3002.90.02</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3002.90.03</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a)</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3002.90.04A</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3002.90.99A</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3003.10.01</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3003.20.01</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3003.20.99</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3003.31.01</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3003.31.99</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3003.39.01</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3003.39.02</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3003.39.99</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3003.40.03</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3003.40.04</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3003.40.99</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lastRenderedPageBreak/>
              <w:t>3003.90.01</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3003.90.02</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3003.90.03</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3003.90.04</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3003.90.06</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3003.90.07</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3003.90.08</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3003.90.09</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3003.90.10</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3003.90.11</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3003.90.12</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3003.90.13</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3003.90.14</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3003.90.15</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3003.90.16</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3003.90.17</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3003.90.18</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3003.90.19</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3003.90.20</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3003.90.21</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3003.90.99</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3004.10.01</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3004.10.99</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lastRenderedPageBreak/>
              <w:t>3004.20.01</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3004.20.02</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3004.20.03</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3004.20.99</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3004.31.01</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3004.31.99</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3004.32.01</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3004.32.99</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3004.39.01</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3004.39.02</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3004.39.03</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3004.39.04</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3004.39.05</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3004.39.06</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3004.39.99</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3004.40.03</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3004.40.04</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3004.40.05</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3004.40.99</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3004.50.01</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3004.50.02</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3004.50.03</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3004.50.04</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lastRenderedPageBreak/>
              <w:t>3004.50.99</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3004.90.01</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3004.90.02</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3004.90.03</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3004.90.04</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3004.90.05</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3004.90.06</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3004.90.07</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3004.90.08</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3004.90.09</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3004.90.10</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3004.90.11</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3004.90.12</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3004.90.13</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3004.90.14</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3004.90.15</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3004.90.16</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3004.90.17</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3004.90.18</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3004.90.19</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3004.90.20</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3004.90.21</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3004.90.22</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lastRenderedPageBreak/>
              <w:t>3004.90.23</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3004.90.24</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3004.90.25</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3004.90.26</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3004.90.27</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3004.90.28</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3004.90.29</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3004.90.30</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3004.90.31</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3004.90.32</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3004.90.34</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3004.90.35</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3004.90.36</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3004.90.37</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3004.90.38</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3004.90.39</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3004.90.40</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3004.90.41</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3004.90.43</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3004.90.44</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3004.90.45</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3004.90.46</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3004.90.47</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lastRenderedPageBreak/>
              <w:t>3004.90.48</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3004.90.49</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3004.90.50</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3004.90.99 A</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3005.90.01A</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r w:rsidR="00C22733" w:rsidRPr="00C22733" w:rsidTr="00C22733">
        <w:trPr>
          <w:trHeight w:val="15"/>
          <w:jc w:val="center"/>
        </w:trPr>
        <w:tc>
          <w:tcPr>
            <w:tcW w:w="1335"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3006.60.01</w:t>
            </w:r>
          </w:p>
        </w:tc>
        <w:tc>
          <w:tcPr>
            <w:tcW w:w="2400" w:type="dxa"/>
            <w:tcBorders>
              <w:top w:val="single" w:sz="6" w:space="0" w:color="000000"/>
              <w:left w:val="single" w:sz="6" w:space="0" w:color="000000"/>
              <w:bottom w:val="single" w:sz="6" w:space="0" w:color="000000"/>
              <w:right w:val="single" w:sz="6" w:space="0" w:color="000000"/>
            </w:tcBorders>
            <w:hideMark/>
          </w:tcPr>
          <w:p w:rsidR="00000000" w:rsidRPr="00C22733" w:rsidRDefault="00C22733" w:rsidP="00C22733">
            <w:pPr>
              <w:jc w:val="both"/>
              <w:rPr>
                <w:rFonts w:ascii="Verdana" w:hAnsi="Verdana"/>
                <w:bCs/>
                <w:sz w:val="20"/>
              </w:rPr>
            </w:pPr>
            <w:r w:rsidRPr="00C22733">
              <w:rPr>
                <w:rFonts w:ascii="Verdana" w:hAnsi="Verdana"/>
                <w:bCs/>
                <w:sz w:val="20"/>
              </w:rPr>
              <w:t>2-A, fracción I, inciso b)</w:t>
            </w:r>
          </w:p>
        </w:tc>
      </w:tr>
    </w:tbl>
    <w:p w:rsidR="00C22733" w:rsidRPr="00C22733" w:rsidRDefault="00C22733" w:rsidP="00C22733">
      <w:pPr>
        <w:jc w:val="both"/>
        <w:rPr>
          <w:rFonts w:ascii="Verdana" w:hAnsi="Verdana"/>
          <w:bCs/>
          <w:sz w:val="20"/>
        </w:rPr>
      </w:pPr>
      <w:r w:rsidRPr="00C22733">
        <w:rPr>
          <w:rFonts w:ascii="Verdana" w:hAnsi="Verdana"/>
          <w:bCs/>
          <w:sz w:val="20"/>
        </w:rPr>
        <w:t>A        Únicamente cuando sean medicinas de patente.</w:t>
      </w:r>
    </w:p>
    <w:p w:rsidR="00C22733" w:rsidRPr="00C22733" w:rsidRDefault="00C22733" w:rsidP="00C22733">
      <w:pPr>
        <w:jc w:val="both"/>
        <w:rPr>
          <w:rFonts w:ascii="Verdana" w:hAnsi="Verdana"/>
          <w:bCs/>
          <w:sz w:val="20"/>
        </w:rPr>
      </w:pPr>
      <w:r w:rsidRPr="00C22733">
        <w:rPr>
          <w:rFonts w:ascii="Verdana" w:hAnsi="Verdana"/>
          <w:bCs/>
          <w:sz w:val="20"/>
        </w:rPr>
        <w:t>       </w:t>
      </w:r>
    </w:p>
    <w:p w:rsidR="00C22733" w:rsidRPr="00C22733" w:rsidRDefault="00C22733" w:rsidP="00C22733">
      <w:pPr>
        <w:jc w:val="both"/>
        <w:rPr>
          <w:rFonts w:ascii="Verdana" w:hAnsi="Verdana"/>
          <w:bCs/>
          <w:sz w:val="20"/>
        </w:rPr>
      </w:pPr>
    </w:p>
    <w:p w:rsidR="00C22733" w:rsidRPr="00C22733" w:rsidRDefault="00C22733" w:rsidP="00C22733">
      <w:pPr>
        <w:jc w:val="both"/>
        <w:rPr>
          <w:rFonts w:ascii="Verdana" w:hAnsi="Verdana"/>
          <w:bCs/>
          <w:sz w:val="20"/>
        </w:rPr>
      </w:pPr>
      <w:r w:rsidRPr="00C22733">
        <w:rPr>
          <w:rFonts w:ascii="Verdana" w:hAnsi="Verdana"/>
          <w:bCs/>
          <w:sz w:val="20"/>
        </w:rPr>
        <w:t>Atentamente,</w:t>
      </w:r>
    </w:p>
    <w:p w:rsidR="00C22733" w:rsidRPr="00C22733" w:rsidRDefault="00C22733" w:rsidP="00C22733">
      <w:pPr>
        <w:jc w:val="both"/>
        <w:rPr>
          <w:rFonts w:ascii="Verdana" w:hAnsi="Verdana"/>
          <w:bCs/>
          <w:sz w:val="20"/>
        </w:rPr>
      </w:pPr>
      <w:r w:rsidRPr="00C22733">
        <w:rPr>
          <w:rFonts w:ascii="Verdana" w:hAnsi="Verdana"/>
          <w:bCs/>
          <w:sz w:val="20"/>
        </w:rPr>
        <w:t xml:space="preserve">Ciudad de México, a 14 de marzo de 2019.- La Jefa del Servicio de Administración Tributaria, Ana Margarita Ríos </w:t>
      </w:r>
      <w:proofErr w:type="spellStart"/>
      <w:r w:rsidRPr="00C22733">
        <w:rPr>
          <w:rFonts w:ascii="Verdana" w:hAnsi="Verdana"/>
          <w:bCs/>
          <w:sz w:val="20"/>
        </w:rPr>
        <w:t>Farjat</w:t>
      </w:r>
      <w:proofErr w:type="spellEnd"/>
      <w:r w:rsidRPr="00C22733">
        <w:rPr>
          <w:rFonts w:ascii="Verdana" w:hAnsi="Verdana"/>
          <w:bCs/>
          <w:sz w:val="20"/>
        </w:rPr>
        <w:t>.- Rúbrica</w:t>
      </w:r>
    </w:p>
    <w:p w:rsidR="00C22733" w:rsidRPr="00C22733" w:rsidRDefault="00C22733" w:rsidP="00C22733">
      <w:pPr>
        <w:jc w:val="both"/>
        <w:rPr>
          <w:rFonts w:ascii="Verdana" w:hAnsi="Verdana"/>
          <w:bCs/>
          <w:sz w:val="20"/>
        </w:rPr>
      </w:pPr>
      <w:bookmarkStart w:id="0" w:name="_GoBack"/>
      <w:bookmarkEnd w:id="0"/>
    </w:p>
    <w:p w:rsidR="00BF3AEB" w:rsidRDefault="00C22733"/>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733"/>
    <w:rsid w:val="002228FA"/>
    <w:rsid w:val="00C06CE1"/>
    <w:rsid w:val="00C227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798636">
      <w:bodyDiv w:val="1"/>
      <w:marLeft w:val="0"/>
      <w:marRight w:val="0"/>
      <w:marTop w:val="0"/>
      <w:marBottom w:val="0"/>
      <w:divBdr>
        <w:top w:val="none" w:sz="0" w:space="0" w:color="auto"/>
        <w:left w:val="none" w:sz="0" w:space="0" w:color="auto"/>
        <w:bottom w:val="none" w:sz="0" w:space="0" w:color="auto"/>
        <w:right w:val="none" w:sz="0" w:space="0" w:color="auto"/>
      </w:divBdr>
    </w:div>
    <w:div w:id="1864858875">
      <w:bodyDiv w:val="1"/>
      <w:marLeft w:val="0"/>
      <w:marRight w:val="0"/>
      <w:marTop w:val="0"/>
      <w:marBottom w:val="0"/>
      <w:divBdr>
        <w:top w:val="none" w:sz="0" w:space="0" w:color="auto"/>
        <w:left w:val="none" w:sz="0" w:space="0" w:color="auto"/>
        <w:bottom w:val="none" w:sz="0" w:space="0" w:color="auto"/>
        <w:right w:val="none" w:sz="0" w:space="0" w:color="auto"/>
      </w:divBdr>
    </w:div>
    <w:div w:id="1968926019">
      <w:bodyDiv w:val="1"/>
      <w:marLeft w:val="0"/>
      <w:marRight w:val="0"/>
      <w:marTop w:val="0"/>
      <w:marBottom w:val="0"/>
      <w:divBdr>
        <w:top w:val="none" w:sz="0" w:space="0" w:color="auto"/>
        <w:left w:val="none" w:sz="0" w:space="0" w:color="auto"/>
        <w:bottom w:val="none" w:sz="0" w:space="0" w:color="auto"/>
        <w:right w:val="none" w:sz="0" w:space="0" w:color="auto"/>
      </w:divBdr>
      <w:divsChild>
        <w:div w:id="615404128">
          <w:marLeft w:val="0"/>
          <w:marRight w:val="0"/>
          <w:marTop w:val="0"/>
          <w:marBottom w:val="0"/>
          <w:divBdr>
            <w:top w:val="none" w:sz="0" w:space="0" w:color="auto"/>
            <w:left w:val="none" w:sz="0" w:space="0" w:color="auto"/>
            <w:bottom w:val="none" w:sz="0" w:space="0" w:color="auto"/>
            <w:right w:val="none" w:sz="0" w:space="0" w:color="auto"/>
          </w:divBdr>
        </w:div>
        <w:div w:id="953244418">
          <w:marLeft w:val="0"/>
          <w:marRight w:val="0"/>
          <w:marTop w:val="0"/>
          <w:marBottom w:val="0"/>
          <w:divBdr>
            <w:top w:val="none" w:sz="0" w:space="0" w:color="auto"/>
            <w:left w:val="none" w:sz="0" w:space="0" w:color="auto"/>
            <w:bottom w:val="none" w:sz="0" w:space="0" w:color="auto"/>
            <w:right w:val="none" w:sz="0" w:space="0" w:color="auto"/>
          </w:divBdr>
        </w:div>
        <w:div w:id="1403675147">
          <w:marLeft w:val="0"/>
          <w:marRight w:val="0"/>
          <w:marTop w:val="0"/>
          <w:marBottom w:val="0"/>
          <w:divBdr>
            <w:top w:val="none" w:sz="0" w:space="0" w:color="auto"/>
            <w:left w:val="none" w:sz="0" w:space="0" w:color="auto"/>
            <w:bottom w:val="none" w:sz="0" w:space="0" w:color="auto"/>
            <w:right w:val="none" w:sz="0" w:space="0" w:color="auto"/>
          </w:divBdr>
        </w:div>
        <w:div w:id="287589900">
          <w:marLeft w:val="0"/>
          <w:marRight w:val="0"/>
          <w:marTop w:val="0"/>
          <w:marBottom w:val="0"/>
          <w:divBdr>
            <w:top w:val="none" w:sz="0" w:space="0" w:color="auto"/>
            <w:left w:val="none" w:sz="0" w:space="0" w:color="auto"/>
            <w:bottom w:val="none" w:sz="0" w:space="0" w:color="auto"/>
            <w:right w:val="none" w:sz="0" w:space="0" w:color="auto"/>
          </w:divBdr>
        </w:div>
        <w:div w:id="2132429853">
          <w:marLeft w:val="0"/>
          <w:marRight w:val="0"/>
          <w:marTop w:val="0"/>
          <w:marBottom w:val="0"/>
          <w:divBdr>
            <w:top w:val="none" w:sz="0" w:space="0" w:color="auto"/>
            <w:left w:val="none" w:sz="0" w:space="0" w:color="auto"/>
            <w:bottom w:val="none" w:sz="0" w:space="0" w:color="auto"/>
            <w:right w:val="none" w:sz="0" w:space="0" w:color="auto"/>
          </w:divBdr>
        </w:div>
        <w:div w:id="861821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5732</Words>
  <Characters>31528</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2019-04-01T14:14:00Z</dcterms:created>
  <dcterms:modified xsi:type="dcterms:W3CDTF">2019-04-01T14:17:00Z</dcterms:modified>
</cp:coreProperties>
</file>