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0F" w:rsidRDefault="001B390F" w:rsidP="001B390F">
      <w:pPr>
        <w:jc w:val="center"/>
        <w:rPr>
          <w:rFonts w:ascii="Verdana" w:hAnsi="Verdana"/>
          <w:b/>
          <w:bCs/>
          <w:color w:val="0070C0"/>
          <w:sz w:val="24"/>
        </w:rPr>
      </w:pPr>
      <w:r w:rsidRPr="001B390F">
        <w:rPr>
          <w:rFonts w:ascii="Verdana" w:hAnsi="Verdana"/>
          <w:b/>
          <w:bCs/>
          <w:color w:val="0070C0"/>
          <w:sz w:val="24"/>
        </w:rPr>
        <w:t xml:space="preserve">Acuerdo General número 1/2018, de trece de febrero de dos mil dieciocho, del Pleno de la Suprema Corte de Justicia de la Nación, por el que se dispone el aplazamiento del dictado de la Resolución tanto en los amparos en revisión del conocimiento de los </w:t>
      </w:r>
      <w:proofErr w:type="spellStart"/>
      <w:r w:rsidRPr="001B390F">
        <w:rPr>
          <w:rFonts w:ascii="Verdana" w:hAnsi="Verdana"/>
          <w:b/>
          <w:bCs/>
          <w:color w:val="0070C0"/>
          <w:sz w:val="24"/>
        </w:rPr>
        <w:t>TribunalesColegiados</w:t>
      </w:r>
      <w:proofErr w:type="spellEnd"/>
      <w:r w:rsidRPr="001B390F">
        <w:rPr>
          <w:rFonts w:ascii="Verdana" w:hAnsi="Verdana"/>
          <w:b/>
          <w:bCs/>
          <w:color w:val="0070C0"/>
          <w:sz w:val="24"/>
        </w:rPr>
        <w:t xml:space="preserve"> de Circuito, en los que subsista el problema de constitucionalidad, indistintamente, de los artículos 17-K, 18, 28, fracciones III y IV, 29 y Segundo Transitorio, fracciones III, IV y VII, del Código Fiscal de la Federación, reformados mediante decreto publicado 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w:t>
      </w:r>
      <w:proofErr w:type="spellStart"/>
      <w:r w:rsidRPr="001B390F">
        <w:rPr>
          <w:rFonts w:ascii="Verdana" w:hAnsi="Verdana"/>
          <w:b/>
          <w:bCs/>
          <w:color w:val="0070C0"/>
          <w:sz w:val="24"/>
        </w:rPr>
        <w:t>firmeaquélla</w:t>
      </w:r>
      <w:proofErr w:type="spellEnd"/>
      <w:r w:rsidRPr="001B390F">
        <w:rPr>
          <w:rFonts w:ascii="Verdana" w:hAnsi="Verdana"/>
          <w:b/>
          <w:bCs/>
          <w:color w:val="0070C0"/>
          <w:sz w:val="24"/>
        </w:rPr>
        <w:t xml:space="preserve"> de manera autógrafa, y a: determinar si cuando el Tribunal Colegiado de Circuito advierte que el Juez de Distrito se pronunció respecto de actos que no formaron parte de la </w:t>
      </w:r>
      <w:proofErr w:type="spellStart"/>
      <w:r w:rsidRPr="001B390F">
        <w:rPr>
          <w:rFonts w:ascii="Verdana" w:hAnsi="Verdana"/>
          <w:b/>
          <w:bCs/>
          <w:i/>
          <w:iCs/>
          <w:color w:val="0070C0"/>
          <w:sz w:val="24"/>
        </w:rPr>
        <w:t>litis</w:t>
      </w:r>
      <w:proofErr w:type="spellEnd"/>
      <w:r w:rsidRPr="001B390F">
        <w:rPr>
          <w:rFonts w:ascii="Verdana" w:hAnsi="Verdana"/>
          <w:b/>
          <w:bCs/>
          <w:color w:val="0070C0"/>
          <w:sz w:val="24"/>
        </w:rPr>
        <w:t>, debe entrar al estudio de fondo del asunto y modificar la sentencia impugnada sin ordenar la reposición del procedimiento.</w:t>
      </w:r>
    </w:p>
    <w:p w:rsidR="001B390F" w:rsidRDefault="001B390F" w:rsidP="001B390F">
      <w:pPr>
        <w:jc w:val="center"/>
        <w:rPr>
          <w:rFonts w:ascii="Verdana" w:hAnsi="Verdana"/>
          <w:b/>
          <w:bCs/>
          <w:color w:val="0070C0"/>
          <w:sz w:val="24"/>
        </w:rPr>
      </w:pPr>
      <w:r>
        <w:rPr>
          <w:rFonts w:ascii="Verdana" w:hAnsi="Verdana"/>
          <w:b/>
          <w:bCs/>
          <w:color w:val="0070C0"/>
          <w:sz w:val="24"/>
        </w:rPr>
        <w:t>(DOF del 21 de febrero de 2018)</w:t>
      </w:r>
    </w:p>
    <w:p w:rsidR="001B390F" w:rsidRPr="001B390F" w:rsidRDefault="001B390F" w:rsidP="001B390F">
      <w:pPr>
        <w:jc w:val="both"/>
        <w:rPr>
          <w:rFonts w:ascii="Verdana" w:hAnsi="Verdana"/>
          <w:b/>
          <w:bCs/>
          <w:sz w:val="20"/>
        </w:rPr>
      </w:pPr>
      <w:r w:rsidRPr="001B390F">
        <w:rPr>
          <w:rFonts w:ascii="Verdana" w:hAnsi="Verdana"/>
          <w:b/>
          <w:bCs/>
          <w:sz w:val="20"/>
        </w:rPr>
        <w:t>Al margen un sello con el Escudo Nacional, que dice: Estados Unidos Mexicanos.- Suprema Corte de Justicia de la Nación.</w:t>
      </w:r>
    </w:p>
    <w:p w:rsidR="001B390F" w:rsidRPr="001B390F" w:rsidRDefault="001B390F" w:rsidP="001B390F">
      <w:pPr>
        <w:jc w:val="both"/>
        <w:rPr>
          <w:rFonts w:ascii="Verdana" w:hAnsi="Verdana"/>
          <w:bCs/>
          <w:sz w:val="20"/>
        </w:rPr>
      </w:pPr>
      <w:r w:rsidRPr="001B390F">
        <w:rPr>
          <w:rFonts w:ascii="Verdana" w:hAnsi="Verdana"/>
          <w:bCs/>
          <w:sz w:val="20"/>
        </w:rPr>
        <w:t xml:space="preserve">ACUERDO GENERAL NÚMERO 1/2018, DE TRECE DE FEBRERO DE DOS MIL DIECIOCHO, DEL PLENO DE LA SUPREMA CORTE DE JUSTICIA DE LA NACIÓN, POR EL QUE SE DISPONE EL APLAZAMIENTO DEL DICTADO DE LA RESOLUCIÓN TANTO EN LOS AMPAROS EN REVISIÓN DEL CONOCIMIENTO DE LOS TRIBUNALES COLEGIADOS DE CIRCUITO, EN LOS QUE SUBSISTA EL PROBLEMA DE CONSTITUCIONALIDAD, INDISTINTAMENTE, DE LOS ARTÍCULOS 17-K, 18, 28, FRACCIONES III Y IV, 29 Y SEGUNDO TRANSITORIO,FRACCIONES III, IV Y VII, DEL CÓDIGO FISCAL DE LA FEDERACIÓN, REFORMADOS MEDIANTE DECRETO PUBLICADO EN EL DIARIO OFICIAL DE LA FEDERACIÓN DEL NUEVE DE DICIEMBRE DE DOS MIL TRECE, DEL DIVERSO 22, FRACCIONES IV Y VI, DE LA LEY DE INGRESOS DE LA </w:t>
      </w:r>
      <w:r w:rsidRPr="001B390F">
        <w:rPr>
          <w:rFonts w:ascii="Verdana" w:hAnsi="Verdana"/>
          <w:bCs/>
          <w:sz w:val="20"/>
        </w:rPr>
        <w:lastRenderedPageBreak/>
        <w:t>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Pr="001B390F">
        <w:rPr>
          <w:rFonts w:ascii="Verdana" w:hAnsi="Verdana"/>
          <w:bCs/>
          <w:i/>
          <w:iCs/>
          <w:sz w:val="20"/>
        </w:rPr>
        <w:t>"DETERMINAR SI RESULTA VÁLIDA LA SENTENCIA DE AMPAROINDIRECTO FIRMADA ELECTRÓNICAMENTE, O SI ELLO CONSTITUYE UNA VIOLACIÓN A LAS REGLAS DEL PROCEDIMIENTO QUE AMERITA REPONERLO PARA EL EFECTO DE QUE EL JUEZ DE DISTRITO FIRME AQUÉLLA DE MANERA AUTÓGRAFA"</w:t>
      </w:r>
      <w:r w:rsidRPr="001B390F">
        <w:rPr>
          <w:rFonts w:ascii="Verdana" w:hAnsi="Verdana"/>
          <w:bCs/>
          <w:sz w:val="20"/>
        </w:rPr>
        <w:t>, Y A: </w:t>
      </w:r>
      <w:r w:rsidRPr="001B390F">
        <w:rPr>
          <w:rFonts w:ascii="Verdana" w:hAnsi="Verdana"/>
          <w:bCs/>
          <w:i/>
          <w:iCs/>
          <w:sz w:val="20"/>
        </w:rPr>
        <w:t>"DETERMINAR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Pr="001B390F">
        <w:rPr>
          <w:rFonts w:ascii="Verdana" w:hAnsi="Verdana"/>
          <w:bCs/>
          <w:sz w:val="20"/>
        </w:rPr>
        <w:t>.</w:t>
      </w:r>
    </w:p>
    <w:p w:rsidR="001B390F" w:rsidRPr="001B390F" w:rsidRDefault="001B390F" w:rsidP="001B390F">
      <w:pPr>
        <w:jc w:val="both"/>
        <w:rPr>
          <w:rFonts w:ascii="Verdana" w:hAnsi="Verdana"/>
          <w:b/>
          <w:bCs/>
          <w:sz w:val="20"/>
        </w:rPr>
      </w:pPr>
      <w:r w:rsidRPr="001B390F">
        <w:rPr>
          <w:rFonts w:ascii="Verdana" w:hAnsi="Verdana"/>
          <w:b/>
          <w:bCs/>
          <w:sz w:val="20"/>
        </w:rPr>
        <w:t>CONSIDERANDO:</w:t>
      </w:r>
    </w:p>
    <w:p w:rsidR="001B390F" w:rsidRPr="001B390F" w:rsidRDefault="001B390F" w:rsidP="001B390F">
      <w:pPr>
        <w:jc w:val="both"/>
        <w:rPr>
          <w:rFonts w:ascii="Verdana" w:hAnsi="Verdana"/>
          <w:bCs/>
          <w:sz w:val="20"/>
        </w:rPr>
      </w:pPr>
      <w:r w:rsidRPr="001B390F">
        <w:rPr>
          <w:rFonts w:ascii="Verdana" w:hAnsi="Verdana"/>
          <w:b/>
          <w:bCs/>
          <w:sz w:val="20"/>
        </w:rPr>
        <w:t>PRIMERO.</w:t>
      </w:r>
      <w:r w:rsidRPr="001B390F">
        <w:rPr>
          <w:rFonts w:ascii="Verdana" w:hAnsi="Verdana"/>
          <w:bCs/>
          <w:sz w:val="20"/>
        </w:rPr>
        <w:t> En términos de lo previsto en los artículos 94, párrafo quinto, de la Constitución Política de los Estados Unidos Mexicanos, así como 11, fracción XXI, de la Ley Orgánica del Poder Judicial de la Federación, la competencia de este Alto Tribunal se rige por lo que disponen las leyes, y el Tribunal Pleno es competente para emitir acuerdos generales en las materias de su competencia;</w:t>
      </w:r>
    </w:p>
    <w:p w:rsidR="001B390F" w:rsidRPr="001B390F" w:rsidRDefault="001B390F" w:rsidP="001B390F">
      <w:pPr>
        <w:jc w:val="both"/>
        <w:rPr>
          <w:rFonts w:ascii="Verdana" w:hAnsi="Verdana"/>
          <w:bCs/>
          <w:sz w:val="20"/>
        </w:rPr>
      </w:pPr>
      <w:r w:rsidRPr="001B390F">
        <w:rPr>
          <w:rFonts w:ascii="Verdana" w:hAnsi="Verdana"/>
          <w:b/>
          <w:bCs/>
          <w:sz w:val="20"/>
        </w:rPr>
        <w:t>SEGUNDO.</w:t>
      </w:r>
      <w:r w:rsidRPr="001B390F">
        <w:rPr>
          <w:rFonts w:ascii="Verdana" w:hAnsi="Verdana"/>
          <w:bCs/>
          <w:sz w:val="20"/>
        </w:rPr>
        <w:t> Mediante Acuerdo General 10/2015, de diez de agosto de dos mil quince, el Pleno de este Alto Tribunal, entre otros aspectos, ordenó a los Tribunales Colegiados de Circuito Primero y Cuarto del Centro Auxiliar de la Primera Región, con residencia en el Distrito Federal, aplazar el dictado de la resolución en los amparos en revisión de su conocimiento, en los que subsistiera el problema de constitucionalidad, indistintamente, de los </w:t>
      </w:r>
      <w:r w:rsidRPr="001B390F">
        <w:rPr>
          <w:rFonts w:ascii="Verdana" w:hAnsi="Verdana"/>
          <w:bCs/>
          <w:i/>
          <w:iCs/>
          <w:sz w:val="20"/>
        </w:rPr>
        <w:t>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w:t>
      </w:r>
      <w:r w:rsidRPr="001B390F">
        <w:rPr>
          <w:rFonts w:ascii="Verdana" w:hAnsi="Verdana"/>
          <w:bCs/>
          <w:sz w:val="20"/>
        </w:rPr>
        <w:t>. Dicho aplazamiento se levantó mediante diverso Acuerdo General Plenario 10/2016, de siete de noviembre de dos mil dieciséis;</w:t>
      </w:r>
    </w:p>
    <w:p w:rsidR="001B390F" w:rsidRPr="001B390F" w:rsidRDefault="001B390F" w:rsidP="001B390F">
      <w:pPr>
        <w:jc w:val="both"/>
        <w:rPr>
          <w:rFonts w:ascii="Verdana" w:hAnsi="Verdana"/>
          <w:bCs/>
          <w:sz w:val="20"/>
        </w:rPr>
      </w:pPr>
      <w:r w:rsidRPr="001B390F">
        <w:rPr>
          <w:rFonts w:ascii="Verdana" w:hAnsi="Verdana"/>
          <w:b/>
          <w:bCs/>
          <w:sz w:val="20"/>
        </w:rPr>
        <w:t>TERCERO. </w:t>
      </w:r>
      <w:r w:rsidRPr="001B390F">
        <w:rPr>
          <w:rFonts w:ascii="Verdana" w:hAnsi="Verdana"/>
          <w:bCs/>
          <w:sz w:val="20"/>
        </w:rPr>
        <w:t>En el Pleno de este Alto Tribunal están pendientes de resolverse las </w:t>
      </w:r>
      <w:r w:rsidRPr="001B390F">
        <w:rPr>
          <w:rFonts w:ascii="Verdana" w:hAnsi="Verdana"/>
          <w:bCs/>
          <w:i/>
          <w:iCs/>
          <w:sz w:val="20"/>
        </w:rPr>
        <w:t>contradicciones de tesis 29/2018 </w:t>
      </w:r>
      <w:r w:rsidRPr="001B390F">
        <w:rPr>
          <w:rFonts w:ascii="Verdana" w:hAnsi="Verdana"/>
          <w:bCs/>
          <w:sz w:val="20"/>
        </w:rPr>
        <w:t>y</w:t>
      </w:r>
      <w:r w:rsidRPr="001B390F">
        <w:rPr>
          <w:rFonts w:ascii="Verdana" w:hAnsi="Verdana"/>
          <w:bCs/>
          <w:i/>
          <w:iCs/>
          <w:sz w:val="20"/>
        </w:rPr>
        <w:t> 30/2018</w:t>
      </w:r>
      <w:r w:rsidRPr="001B390F">
        <w:rPr>
          <w:rFonts w:ascii="Verdana" w:hAnsi="Verdana"/>
          <w:bCs/>
          <w:sz w:val="20"/>
        </w:rPr>
        <w:t>, cuyos temas esencialmente consisten en, por un lado, </w:t>
      </w:r>
      <w:r w:rsidRPr="001B390F">
        <w:rPr>
          <w:rFonts w:ascii="Verdana" w:hAnsi="Verdana"/>
          <w:bCs/>
          <w:i/>
          <w:iCs/>
          <w:sz w:val="20"/>
        </w:rPr>
        <w:t>"determinar si resulta válida la sentencia de amparo indirecto firmada electrónicamente, o si ello constituye una violación a las reglas del procedimiento que amerita reponerlo para el efecto de que el Juez de Distrito firme aquélla de manera autógrafa"</w:t>
      </w:r>
      <w:r w:rsidRPr="001B390F">
        <w:rPr>
          <w:rFonts w:ascii="Verdana" w:hAnsi="Verdana"/>
          <w:bCs/>
          <w:sz w:val="20"/>
        </w:rPr>
        <w:t>, y por el otro, "</w:t>
      </w:r>
      <w:r w:rsidRPr="001B390F">
        <w:rPr>
          <w:rFonts w:ascii="Verdana" w:hAnsi="Verdana"/>
          <w:bCs/>
          <w:i/>
          <w:iCs/>
          <w:sz w:val="20"/>
        </w:rPr>
        <w:t xml:space="preserve">determinar si cuando el Tribunal Colegiado de Circuito advierte que el Juez de Distrito se pronunció respecto de actos que no formaron parte de la </w:t>
      </w:r>
      <w:proofErr w:type="spellStart"/>
      <w:r w:rsidRPr="001B390F">
        <w:rPr>
          <w:rFonts w:ascii="Verdana" w:hAnsi="Verdana"/>
          <w:bCs/>
          <w:i/>
          <w:iCs/>
          <w:sz w:val="20"/>
        </w:rPr>
        <w:t>litis</w:t>
      </w:r>
      <w:proofErr w:type="spellEnd"/>
      <w:r w:rsidRPr="001B390F">
        <w:rPr>
          <w:rFonts w:ascii="Verdana" w:hAnsi="Verdana"/>
          <w:bCs/>
          <w:i/>
          <w:iCs/>
          <w:sz w:val="20"/>
        </w:rPr>
        <w:t>, debe entrar al estudio de fondo del asunto y modificar la sentencia impugnada sin ordenar la reposición del procedimiento"</w:t>
      </w:r>
      <w:r w:rsidRPr="001B390F">
        <w:rPr>
          <w:rFonts w:ascii="Verdana" w:hAnsi="Verdana"/>
          <w:bCs/>
          <w:sz w:val="20"/>
        </w:rPr>
        <w:t>, respectivamente;</w:t>
      </w:r>
    </w:p>
    <w:p w:rsidR="001B390F" w:rsidRPr="001B390F" w:rsidRDefault="001B390F" w:rsidP="001B390F">
      <w:pPr>
        <w:jc w:val="both"/>
        <w:rPr>
          <w:rFonts w:ascii="Verdana" w:hAnsi="Verdana"/>
          <w:bCs/>
          <w:sz w:val="20"/>
        </w:rPr>
      </w:pPr>
      <w:r w:rsidRPr="001B390F">
        <w:rPr>
          <w:rFonts w:ascii="Verdana" w:hAnsi="Verdana"/>
          <w:b/>
          <w:bCs/>
          <w:sz w:val="20"/>
        </w:rPr>
        <w:lastRenderedPageBreak/>
        <w:t>CUARTO. </w:t>
      </w:r>
      <w:r w:rsidRPr="001B390F">
        <w:rPr>
          <w:rFonts w:ascii="Verdana" w:hAnsi="Verdana"/>
          <w:bCs/>
          <w:sz w:val="20"/>
        </w:rPr>
        <w:t>Conforme a lo dispuesto en el artículo 37 de la Ley Reglamentaria de las Fracciones I y II del Artículo 105 de la Constitución Política de los Estados Unidos Mexicanos, el Pleno de la Suprema Corte de Justicia de la Nación puede aplazar mediante acuerdos generales la resolución de juicios de amparo pendientes de resolver, por lo que resulta aplicable supletoriamente a la Ley de Amparo, en términos de lo señalado en el párrafo segundo de su artículo 2o., lo previsto en el diverso 366 del Código Federal de Procedimientos Civiles, en cuanto a la atribución para decretar la suspensión del proceso cuando la decisión no pueda pronunciarse hasta que se dicte resolución en otro negocio, supuesto que se actualiza cuando existen pendientes de resolver amparos en revisión radicados en Tribunales Colegiados de Circuito en los que subsiste un problema de constitucionalidad de la competencia de este Alto Tribunal o bien, contradicciones de tesis pendientes de resolver en los Plenos de Circuito, en los que se plantean cuestiones que serán definidas por aquél;</w:t>
      </w:r>
    </w:p>
    <w:p w:rsidR="001B390F" w:rsidRPr="001B390F" w:rsidRDefault="001B390F" w:rsidP="001B390F">
      <w:pPr>
        <w:jc w:val="both"/>
        <w:rPr>
          <w:rFonts w:ascii="Verdana" w:hAnsi="Verdana"/>
          <w:bCs/>
          <w:sz w:val="20"/>
        </w:rPr>
      </w:pPr>
      <w:r w:rsidRPr="001B390F">
        <w:rPr>
          <w:rFonts w:ascii="Verdana" w:hAnsi="Verdana"/>
          <w:b/>
          <w:bCs/>
          <w:sz w:val="20"/>
        </w:rPr>
        <w:t>QUINTO. </w:t>
      </w:r>
      <w:r w:rsidRPr="001B390F">
        <w:rPr>
          <w:rFonts w:ascii="Verdana" w:hAnsi="Verdana"/>
          <w:bCs/>
          <w:sz w:val="20"/>
        </w:rPr>
        <w:t xml:space="preserve">Atendiendo a los fines de los preceptos referidos en el Considerando anterior, los que deben interpretarse tomando en cuenta lo previsto en el párrafo tercero del artículo 1o. de la Constitución Política de los Estados Unidos Mexicanos, conforme al cual todas las autoridades, en el ámbito de sus competencias, tienen la obligación de promover, respetar, proteger y garantizar los derechos humanos, entre otros, los de seguridad jurídica y acceso efectivo a la justicia, lo que implica, incluso, fijar el alcance de toda disposición general favoreciendo la tutela de esas prerrogativas fundamentales, debe estimarse que el Pleno de </w:t>
      </w:r>
      <w:proofErr w:type="spellStart"/>
      <w:r w:rsidRPr="001B390F">
        <w:rPr>
          <w:rFonts w:ascii="Verdana" w:hAnsi="Verdana"/>
          <w:bCs/>
          <w:sz w:val="20"/>
        </w:rPr>
        <w:t>laSuprema</w:t>
      </w:r>
      <w:proofErr w:type="spellEnd"/>
      <w:r w:rsidRPr="001B390F">
        <w:rPr>
          <w:rFonts w:ascii="Verdana" w:hAnsi="Verdana"/>
          <w:bCs/>
          <w:sz w:val="20"/>
        </w:rPr>
        <w:t xml:space="preserve"> Corte de Justicia de la Nación puede aplazar mediante acuerdos generales la resolución de los asuntos de los que jurídicamente puede conocer, incluso en ejercicio de la facultad de atracción que le confiere el diverso 107, fracciones V, párrafo último y VIII, párrafo segundo, de la Constitución General, con independencia de que se hayan radicado o no en ella, hasta en tanto se resuelvan los que ya son del conocimiento de este Alto Tribunal, siempre y cuando el problema jurídico a resolver en aquéllos y en éstos sea el mismo, con lo cual se evita el dictado de sentencias contradictorias o bien contrarias al criterio </w:t>
      </w:r>
      <w:proofErr w:type="spellStart"/>
      <w:r w:rsidRPr="001B390F">
        <w:rPr>
          <w:rFonts w:ascii="Verdana" w:hAnsi="Verdana"/>
          <w:bCs/>
          <w:sz w:val="20"/>
        </w:rPr>
        <w:t>queestablezca</w:t>
      </w:r>
      <w:proofErr w:type="spellEnd"/>
      <w:r w:rsidRPr="001B390F">
        <w:rPr>
          <w:rFonts w:ascii="Verdana" w:hAnsi="Verdana"/>
          <w:bCs/>
          <w:sz w:val="20"/>
        </w:rPr>
        <w:t xml:space="preserve"> esta Suprema Corte de Justicia de la Nación, y</w:t>
      </w:r>
    </w:p>
    <w:p w:rsidR="001B390F" w:rsidRPr="001B390F" w:rsidRDefault="001B390F" w:rsidP="001B390F">
      <w:pPr>
        <w:jc w:val="both"/>
        <w:rPr>
          <w:rFonts w:ascii="Verdana" w:hAnsi="Verdana"/>
          <w:bCs/>
          <w:sz w:val="20"/>
        </w:rPr>
      </w:pPr>
      <w:r w:rsidRPr="001B390F">
        <w:rPr>
          <w:rFonts w:ascii="Verdana" w:hAnsi="Verdana"/>
          <w:b/>
          <w:bCs/>
          <w:sz w:val="20"/>
        </w:rPr>
        <w:t>SEXTO.</w:t>
      </w:r>
      <w:r w:rsidRPr="001B390F">
        <w:rPr>
          <w:rFonts w:ascii="Verdana" w:hAnsi="Verdana"/>
          <w:bCs/>
          <w:sz w:val="20"/>
        </w:rPr>
        <w:t xml:space="preserve"> Con el fin de preservar el derecho a la seguridad jurídica de los gobernados reconocido en los artículos 14 y 16 constitucionales, considerando además que la institución del aplazamiento o suspensión del dictado de la resolución está prevista en el artículo 366 antes invocado, por aplicación supletoria de éste, se estima conveniente acordar el aplazamiento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w:t>
      </w:r>
      <w:proofErr w:type="spellStart"/>
      <w:r w:rsidRPr="001B390F">
        <w:rPr>
          <w:rFonts w:ascii="Verdana" w:hAnsi="Verdana"/>
          <w:bCs/>
          <w:sz w:val="20"/>
        </w:rPr>
        <w:t>laFederación</w:t>
      </w:r>
      <w:proofErr w:type="spellEnd"/>
      <w:r w:rsidRPr="001B390F">
        <w:rPr>
          <w:rFonts w:ascii="Verdana" w:hAnsi="Verdana"/>
          <w:bCs/>
          <w:sz w:val="20"/>
        </w:rPr>
        <w:t xml:space="preserve">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Pr="001B390F">
        <w:rPr>
          <w:rFonts w:ascii="Verdana" w:hAnsi="Verdana"/>
          <w:bCs/>
          <w:i/>
          <w:iCs/>
          <w:sz w:val="20"/>
        </w:rPr>
        <w:t xml:space="preserve">"determinar si resulta válida la sentencia de amparo indirecto firmada electrónicamente, o si ello constituye una </w:t>
      </w:r>
      <w:r w:rsidRPr="001B390F">
        <w:rPr>
          <w:rFonts w:ascii="Verdana" w:hAnsi="Verdana"/>
          <w:bCs/>
          <w:i/>
          <w:iCs/>
          <w:sz w:val="20"/>
        </w:rPr>
        <w:lastRenderedPageBreak/>
        <w:t>violación a las reglas del procedimiento que amerita reponerlo para el efecto de que el Juez de Distrito firme aquélla de manera autógrafa"</w:t>
      </w:r>
      <w:r w:rsidRPr="001B390F">
        <w:rPr>
          <w:rFonts w:ascii="Verdana" w:hAnsi="Verdana"/>
          <w:bCs/>
          <w:sz w:val="20"/>
        </w:rPr>
        <w:t>, y a: </w:t>
      </w:r>
      <w:r w:rsidRPr="001B390F">
        <w:rPr>
          <w:rFonts w:ascii="Verdana" w:hAnsi="Verdana"/>
          <w:bCs/>
          <w:i/>
          <w:iCs/>
          <w:sz w:val="20"/>
        </w:rPr>
        <w:t xml:space="preserve">"determinar si cuando el </w:t>
      </w:r>
      <w:proofErr w:type="spellStart"/>
      <w:r w:rsidRPr="001B390F">
        <w:rPr>
          <w:rFonts w:ascii="Verdana" w:hAnsi="Verdana"/>
          <w:bCs/>
          <w:i/>
          <w:iCs/>
          <w:sz w:val="20"/>
        </w:rPr>
        <w:t>TribunalColegiado</w:t>
      </w:r>
      <w:proofErr w:type="spellEnd"/>
      <w:r w:rsidRPr="001B390F">
        <w:rPr>
          <w:rFonts w:ascii="Verdana" w:hAnsi="Verdana"/>
          <w:bCs/>
          <w:i/>
          <w:iCs/>
          <w:sz w:val="20"/>
        </w:rPr>
        <w:t xml:space="preserve"> de Circuito advierte que el Juez de Distrito se pronunció respecto de actos que no formaron parte de la </w:t>
      </w:r>
      <w:proofErr w:type="spellStart"/>
      <w:r w:rsidRPr="001B390F">
        <w:rPr>
          <w:rFonts w:ascii="Verdana" w:hAnsi="Verdana"/>
          <w:bCs/>
          <w:i/>
          <w:iCs/>
          <w:sz w:val="20"/>
        </w:rPr>
        <w:t>litis</w:t>
      </w:r>
      <w:proofErr w:type="spellEnd"/>
      <w:r w:rsidRPr="001B390F">
        <w:rPr>
          <w:rFonts w:ascii="Verdana" w:hAnsi="Verdana"/>
          <w:bCs/>
          <w:i/>
          <w:iCs/>
          <w:sz w:val="20"/>
        </w:rPr>
        <w:t>, debe entrar al estudio de fondo del asunto y modificar la sentencia impugnada sin ordenar la reposición del procedimiento"</w:t>
      </w:r>
      <w:r w:rsidRPr="001B390F">
        <w:rPr>
          <w:rFonts w:ascii="Verdana" w:hAnsi="Verdana"/>
          <w:bCs/>
          <w:sz w:val="20"/>
        </w:rPr>
        <w:t>.</w:t>
      </w:r>
    </w:p>
    <w:p w:rsidR="001B390F" w:rsidRPr="001B390F" w:rsidRDefault="001B390F" w:rsidP="001B390F">
      <w:pPr>
        <w:jc w:val="both"/>
        <w:rPr>
          <w:rFonts w:ascii="Verdana" w:hAnsi="Verdana"/>
          <w:bCs/>
          <w:sz w:val="20"/>
        </w:rPr>
      </w:pPr>
      <w:r w:rsidRPr="001B390F">
        <w:rPr>
          <w:rFonts w:ascii="Verdana" w:hAnsi="Verdana"/>
          <w:bCs/>
          <w:sz w:val="20"/>
        </w:rPr>
        <w:t>En consecuencia, con fundamento en lo antes mencionado, el Pleno de la Suprema Corte de Justicia de la Nación expide el siguiente:</w:t>
      </w:r>
    </w:p>
    <w:p w:rsidR="001B390F" w:rsidRPr="001B390F" w:rsidRDefault="001B390F" w:rsidP="001B390F">
      <w:pPr>
        <w:jc w:val="both"/>
        <w:rPr>
          <w:rFonts w:ascii="Verdana" w:hAnsi="Verdana"/>
          <w:b/>
          <w:bCs/>
          <w:sz w:val="20"/>
        </w:rPr>
      </w:pPr>
      <w:r w:rsidRPr="001B390F">
        <w:rPr>
          <w:rFonts w:ascii="Verdana" w:hAnsi="Verdana"/>
          <w:b/>
          <w:bCs/>
          <w:sz w:val="20"/>
        </w:rPr>
        <w:t>ACUERDO:</w:t>
      </w:r>
    </w:p>
    <w:p w:rsidR="001B390F" w:rsidRPr="001B390F" w:rsidRDefault="001B390F" w:rsidP="001B390F">
      <w:pPr>
        <w:jc w:val="both"/>
        <w:rPr>
          <w:rFonts w:ascii="Verdana" w:hAnsi="Verdana"/>
          <w:bCs/>
          <w:sz w:val="20"/>
        </w:rPr>
      </w:pPr>
      <w:r w:rsidRPr="001B390F">
        <w:rPr>
          <w:rFonts w:ascii="Verdana" w:hAnsi="Verdana"/>
          <w:bCs/>
          <w:sz w:val="20"/>
        </w:rPr>
        <w:t> </w:t>
      </w:r>
    </w:p>
    <w:p w:rsidR="001B390F" w:rsidRPr="001B390F" w:rsidRDefault="001B390F" w:rsidP="001B390F">
      <w:pPr>
        <w:jc w:val="both"/>
        <w:rPr>
          <w:rFonts w:ascii="Verdana" w:hAnsi="Verdana"/>
          <w:bCs/>
          <w:sz w:val="20"/>
        </w:rPr>
      </w:pPr>
      <w:r w:rsidRPr="001B390F">
        <w:rPr>
          <w:rFonts w:ascii="Verdana" w:hAnsi="Verdana"/>
          <w:b/>
          <w:bCs/>
          <w:sz w:val="20"/>
        </w:rPr>
        <w:t>ÚNICO. </w:t>
      </w:r>
      <w:r w:rsidRPr="001B390F">
        <w:rPr>
          <w:rFonts w:ascii="Verdana" w:hAnsi="Verdana"/>
          <w:bCs/>
          <w:sz w:val="20"/>
        </w:rPr>
        <w:t>En tanto el Pleno de la Suprema Corte de Justicia de la Nación resuelve las </w:t>
      </w:r>
      <w:r w:rsidRPr="001B390F">
        <w:rPr>
          <w:rFonts w:ascii="Verdana" w:hAnsi="Verdana"/>
          <w:bCs/>
          <w:i/>
          <w:iCs/>
          <w:sz w:val="20"/>
        </w:rPr>
        <w:t>contradicciones de tesis 29/2018 </w:t>
      </w:r>
      <w:r w:rsidRPr="001B390F">
        <w:rPr>
          <w:rFonts w:ascii="Verdana" w:hAnsi="Verdana"/>
          <w:bCs/>
          <w:sz w:val="20"/>
        </w:rPr>
        <w:t>y</w:t>
      </w:r>
      <w:r w:rsidRPr="001B390F">
        <w:rPr>
          <w:rFonts w:ascii="Verdana" w:hAnsi="Verdana"/>
          <w:bCs/>
          <w:i/>
          <w:iCs/>
          <w:sz w:val="20"/>
        </w:rPr>
        <w:t>30/2018</w:t>
      </w:r>
      <w:r w:rsidRPr="001B390F">
        <w:rPr>
          <w:rFonts w:ascii="Verdana" w:hAnsi="Verdana"/>
          <w:bCs/>
          <w:sz w:val="20"/>
        </w:rPr>
        <w:t xml:space="preserve"> referidas en el Considerando Tercero de este instrumento normativo, y se emite el Acuerdo General Plenario que corresponda,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w:t>
      </w:r>
      <w:proofErr w:type="spellStart"/>
      <w:r w:rsidRPr="001B390F">
        <w:rPr>
          <w:rFonts w:ascii="Verdana" w:hAnsi="Verdana"/>
          <w:bCs/>
          <w:sz w:val="20"/>
        </w:rPr>
        <w:t>Federaciónpara</w:t>
      </w:r>
      <w:proofErr w:type="spellEnd"/>
      <w:r w:rsidRPr="001B390F">
        <w:rPr>
          <w:rFonts w:ascii="Verdana" w:hAnsi="Verdana"/>
          <w:bCs/>
          <w:sz w:val="20"/>
        </w:rPr>
        <w:t xml:space="preserve">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Pr="001B390F">
        <w:rPr>
          <w:rFonts w:ascii="Verdana" w:hAnsi="Verdana"/>
          <w:bCs/>
          <w:i/>
          <w:iCs/>
          <w:sz w:val="20"/>
        </w:rPr>
        <w:t>"determinar si resulta válida la sentencia de amparo indirecto firmada electrónicamente, o si ello constituye una violación a las reglas del procedimiento que amerita reponerlo para el efecto de que el Juez de Distrito firme aquélla de manera autógrafa"</w:t>
      </w:r>
      <w:r w:rsidRPr="001B390F">
        <w:rPr>
          <w:rFonts w:ascii="Verdana" w:hAnsi="Verdana"/>
          <w:bCs/>
          <w:sz w:val="20"/>
        </w:rPr>
        <w:t>, y a: </w:t>
      </w:r>
      <w:r w:rsidRPr="001B390F">
        <w:rPr>
          <w:rFonts w:ascii="Verdana" w:hAnsi="Verdana"/>
          <w:bCs/>
          <w:i/>
          <w:iCs/>
          <w:sz w:val="20"/>
        </w:rPr>
        <w:t xml:space="preserve">"determinar si cuando el Tribunal Colegiado de Circuito advierte que el Juez de Distrito se pronunció respecto de actos que no formaron parte de la </w:t>
      </w:r>
      <w:proofErr w:type="spellStart"/>
      <w:r w:rsidRPr="001B390F">
        <w:rPr>
          <w:rFonts w:ascii="Verdana" w:hAnsi="Verdana"/>
          <w:bCs/>
          <w:i/>
          <w:iCs/>
          <w:sz w:val="20"/>
        </w:rPr>
        <w:t>litis</w:t>
      </w:r>
      <w:proofErr w:type="spellEnd"/>
      <w:r w:rsidRPr="001B390F">
        <w:rPr>
          <w:rFonts w:ascii="Verdana" w:hAnsi="Verdana"/>
          <w:bCs/>
          <w:i/>
          <w:iCs/>
          <w:sz w:val="20"/>
        </w:rPr>
        <w:t>, debe entrar al estudio de fondo del asunto y modificar la sentencia impugnada sin ordenar la reposición del procedimiento"</w:t>
      </w:r>
      <w:r w:rsidRPr="001B390F">
        <w:rPr>
          <w:rFonts w:ascii="Verdana" w:hAnsi="Verdana"/>
          <w:bCs/>
          <w:sz w:val="20"/>
        </w:rPr>
        <w:t>, se deberá continuar el trámite hasta el estado de resolución y aplazar el dictado de ésta.</w:t>
      </w:r>
    </w:p>
    <w:p w:rsidR="001B390F" w:rsidRPr="001B390F" w:rsidRDefault="001B390F" w:rsidP="001B390F">
      <w:pPr>
        <w:jc w:val="both"/>
        <w:rPr>
          <w:rFonts w:ascii="Verdana" w:hAnsi="Verdana"/>
          <w:b/>
          <w:bCs/>
          <w:sz w:val="20"/>
        </w:rPr>
      </w:pPr>
      <w:r w:rsidRPr="001B390F">
        <w:rPr>
          <w:rFonts w:ascii="Verdana" w:hAnsi="Verdana"/>
          <w:b/>
          <w:bCs/>
          <w:sz w:val="20"/>
        </w:rPr>
        <w:t>TRANSITORIOS:</w:t>
      </w:r>
    </w:p>
    <w:p w:rsidR="001B390F" w:rsidRPr="001B390F" w:rsidRDefault="001B390F" w:rsidP="001B390F">
      <w:pPr>
        <w:jc w:val="both"/>
        <w:rPr>
          <w:rFonts w:ascii="Verdana" w:hAnsi="Verdana"/>
          <w:bCs/>
          <w:sz w:val="20"/>
        </w:rPr>
      </w:pPr>
      <w:r w:rsidRPr="001B390F">
        <w:rPr>
          <w:rFonts w:ascii="Verdana" w:hAnsi="Verdana"/>
          <w:b/>
          <w:bCs/>
          <w:sz w:val="20"/>
        </w:rPr>
        <w:t>PRIMERO.</w:t>
      </w:r>
      <w:r w:rsidRPr="001B390F">
        <w:rPr>
          <w:rFonts w:ascii="Verdana" w:hAnsi="Verdana"/>
          <w:bCs/>
          <w:sz w:val="20"/>
        </w:rPr>
        <w:t> Este Acuerdo General entrará en vigor el día de su aprobación.</w:t>
      </w:r>
    </w:p>
    <w:p w:rsidR="001B390F" w:rsidRPr="001B390F" w:rsidRDefault="001B390F" w:rsidP="001B390F">
      <w:pPr>
        <w:jc w:val="both"/>
        <w:rPr>
          <w:rFonts w:ascii="Verdana" w:hAnsi="Verdana"/>
          <w:bCs/>
          <w:sz w:val="20"/>
        </w:rPr>
      </w:pPr>
      <w:r w:rsidRPr="001B390F">
        <w:rPr>
          <w:rFonts w:ascii="Verdana" w:hAnsi="Verdana"/>
          <w:b/>
          <w:bCs/>
          <w:sz w:val="20"/>
        </w:rPr>
        <w:t>SEGUNDO.</w:t>
      </w:r>
      <w:r w:rsidRPr="001B390F">
        <w:rPr>
          <w:rFonts w:ascii="Verdana" w:hAnsi="Verdana"/>
          <w:bCs/>
          <w:sz w:val="20"/>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de los Tribunales Colegiados de Circuito, y de los Plenos de Circuito.</w:t>
      </w:r>
    </w:p>
    <w:p w:rsidR="001B390F" w:rsidRPr="001B390F" w:rsidRDefault="001B390F" w:rsidP="001B390F">
      <w:pPr>
        <w:jc w:val="both"/>
        <w:rPr>
          <w:rFonts w:ascii="Verdana" w:hAnsi="Verdana"/>
          <w:bCs/>
          <w:sz w:val="20"/>
        </w:rPr>
      </w:pPr>
      <w:r w:rsidRPr="001B390F">
        <w:rPr>
          <w:rFonts w:ascii="Verdana" w:hAnsi="Verdana"/>
          <w:bCs/>
          <w:sz w:val="20"/>
        </w:rPr>
        <w:lastRenderedPageBreak/>
        <w:t>El Presidente de la Suprema Corte de Justicia de la Nación, Ministro</w:t>
      </w:r>
      <w:r w:rsidRPr="001B390F">
        <w:rPr>
          <w:rFonts w:ascii="Verdana" w:hAnsi="Verdana"/>
          <w:b/>
          <w:bCs/>
          <w:sz w:val="20"/>
        </w:rPr>
        <w:t> Luis María Aguilar Morales</w:t>
      </w:r>
      <w:r w:rsidRPr="001B390F">
        <w:rPr>
          <w:rFonts w:ascii="Verdana" w:hAnsi="Verdana"/>
          <w:bCs/>
          <w:sz w:val="20"/>
        </w:rPr>
        <w:t>.- Rúbrica.- El Secretario General de Acuerdos, </w:t>
      </w:r>
      <w:r w:rsidRPr="001B390F">
        <w:rPr>
          <w:rFonts w:ascii="Verdana" w:hAnsi="Verdana"/>
          <w:b/>
          <w:bCs/>
          <w:sz w:val="20"/>
        </w:rPr>
        <w:t>Rafael Coello Cetina</w:t>
      </w:r>
      <w:r w:rsidRPr="001B390F">
        <w:rPr>
          <w:rFonts w:ascii="Verdana" w:hAnsi="Verdana"/>
          <w:bCs/>
          <w:sz w:val="20"/>
        </w:rPr>
        <w:t>.- Rúbrica.</w:t>
      </w:r>
    </w:p>
    <w:p w:rsidR="001B390F" w:rsidRPr="001B390F" w:rsidRDefault="001B390F" w:rsidP="001B390F">
      <w:pPr>
        <w:jc w:val="both"/>
        <w:rPr>
          <w:rFonts w:ascii="Verdana" w:hAnsi="Verdana"/>
          <w:bCs/>
          <w:sz w:val="20"/>
        </w:rPr>
      </w:pPr>
      <w:r w:rsidRPr="001B390F">
        <w:rPr>
          <w:rFonts w:ascii="Verdana" w:hAnsi="Verdana"/>
          <w:bCs/>
          <w:sz w:val="20"/>
        </w:rPr>
        <w:t>El licenciado </w:t>
      </w:r>
      <w:r w:rsidRPr="001B390F">
        <w:rPr>
          <w:rFonts w:ascii="Verdana" w:hAnsi="Verdana"/>
          <w:b/>
          <w:bCs/>
          <w:sz w:val="20"/>
        </w:rPr>
        <w:t>Rafael Coello Cetina</w:t>
      </w:r>
      <w:r w:rsidRPr="001B390F">
        <w:rPr>
          <w:rFonts w:ascii="Verdana" w:hAnsi="Verdana"/>
          <w:bCs/>
          <w:sz w:val="20"/>
        </w:rPr>
        <w:t>, Secretario General de Acuerdos de la Suprema Corte de Justicia de la Nación, CERTIFICA: </w:t>
      </w:r>
      <w:proofErr w:type="spellStart"/>
      <w:r w:rsidRPr="001B390F">
        <w:rPr>
          <w:rFonts w:ascii="Verdana" w:hAnsi="Verdana"/>
          <w:bCs/>
          <w:sz w:val="20"/>
        </w:rPr>
        <w:t>EsteACUERDO</w:t>
      </w:r>
      <w:proofErr w:type="spellEnd"/>
      <w:r w:rsidRPr="001B390F">
        <w:rPr>
          <w:rFonts w:ascii="Verdana" w:hAnsi="Verdana"/>
          <w:bCs/>
          <w:sz w:val="20"/>
        </w:rPr>
        <w:t xml:space="preserve"> GENERAL NÚMERO 1/2018, DE TRECE DE FEBRERO DE DOS MIL DIECIOCHO, DEL PLENO DE LA SUPREMA CORTE DE JUSTICIA DE LA NACIÓN, POR EL QUE SE DISPONE EL APLAZAMIENTO DEL DICTADO DE LA RESOLUCIÓN TANTO EN LOS AMPAROS EN REVISIÓN DEL CONOCIMIENTO DE LOS TRIBUNALES COLEGIADOS DE CIRCUITO, EN LOS QUE SUBSISTA EL PROBLEMA DECONSTITUCIONALIDAD, INDISTINTAMENTE, DE LOS ARTÍCULOS 17-K, 18, 28, FRACCIONES III Y IV, 29 Y SEGUNDO TRANSITORIO, FRACCIONES III, IV Y VII, DEL CÓDIGO FISCAL DE LA FEDERACIÓN, REFORMADOS MEDIANTE DECRETO PUBLICADO EN EL DIARIO OFICIAL DE LA FEDERACIÓN DEL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w:t>
      </w:r>
      <w:r w:rsidRPr="001B390F">
        <w:rPr>
          <w:rFonts w:ascii="Verdana" w:hAnsi="Verdana"/>
          <w:bCs/>
          <w:i/>
          <w:iCs/>
          <w:sz w:val="20"/>
        </w:rPr>
        <w:t>"DETERMINAR SI RESULTA VÁLIDA LA SENTENCIA DE AMPARO INDIRECTO FIRMADA ELECTRÓNICAMENTE, O SI ELLO CONSTITUYE UNA VIOLACIÓN A LAS REGLAS DEL PROCEDIMIENTO QUE AMERITA REPONERLO PARA EL EFECTO DE QUE EL JUEZ DE DISTRITO FIRME AQUÉLLA DE MANERA AUTÓGRAFA"</w:t>
      </w:r>
      <w:r w:rsidRPr="001B390F">
        <w:rPr>
          <w:rFonts w:ascii="Verdana" w:hAnsi="Verdana"/>
          <w:bCs/>
          <w:sz w:val="20"/>
        </w:rPr>
        <w:t>, Y A: </w:t>
      </w:r>
      <w:r w:rsidRPr="001B390F">
        <w:rPr>
          <w:rFonts w:ascii="Verdana" w:hAnsi="Verdana"/>
          <w:bCs/>
          <w:i/>
          <w:iCs/>
          <w:sz w:val="20"/>
        </w:rPr>
        <w:t>"DETERMINAR SI CUANDO EL TRIBUNAL COLEGIADO DE CIRCUITO ADVIERTE QUE EL JUEZ DE DISTRITO SE PRONUNCIÓ RESPECTO DE ACTOS QUE NO FORMARON PARTE DE LA LITIS, DEBE ENTRAR AL ESTUDIO DE FONDO DEL ASUNTO Y MODIFICAR LA SENTENCIA IMPUGNADA SIN ORDENAR LA REPOSICIÓN DEL PROCEDIMIENTO"</w:t>
      </w:r>
      <w:r w:rsidRPr="001B390F">
        <w:rPr>
          <w:rFonts w:ascii="Verdana" w:hAnsi="Verdana"/>
          <w:bCs/>
          <w:sz w:val="20"/>
        </w:rPr>
        <w:t xml:space="preserve">, fue emitido por el Tribunal Pleno en Sesión Privada celebrada el día de hoy, por unanimidad de once votos de los señores Ministros Alfredo Gutiérrez Ortiz Mena, José Ramón Cossío Díaz, Margarita Beatriz Luna Ramos, José Fernando Franco González Salas, Arturo Zaldívar Lelo de Larrea, Jorge Mario Pardo Rebolledo, Norma Lucía Piña Hernández, Eduardo Medina Mora I., Javier </w:t>
      </w:r>
      <w:proofErr w:type="spellStart"/>
      <w:r w:rsidRPr="001B390F">
        <w:rPr>
          <w:rFonts w:ascii="Verdana" w:hAnsi="Verdana"/>
          <w:bCs/>
          <w:sz w:val="20"/>
        </w:rPr>
        <w:t>Laynez</w:t>
      </w:r>
      <w:proofErr w:type="spellEnd"/>
      <w:r w:rsidRPr="001B390F">
        <w:rPr>
          <w:rFonts w:ascii="Verdana" w:hAnsi="Verdana"/>
          <w:bCs/>
          <w:sz w:val="20"/>
        </w:rPr>
        <w:t xml:space="preserve"> </w:t>
      </w:r>
      <w:proofErr w:type="spellStart"/>
      <w:r w:rsidRPr="001B390F">
        <w:rPr>
          <w:rFonts w:ascii="Verdana" w:hAnsi="Verdana"/>
          <w:bCs/>
          <w:sz w:val="20"/>
        </w:rPr>
        <w:t>Potisek</w:t>
      </w:r>
      <w:proofErr w:type="spellEnd"/>
      <w:r w:rsidRPr="001B390F">
        <w:rPr>
          <w:rFonts w:ascii="Verdana" w:hAnsi="Verdana"/>
          <w:bCs/>
          <w:sz w:val="20"/>
        </w:rPr>
        <w:t xml:space="preserve">, Alberto Pérez </w:t>
      </w:r>
      <w:proofErr w:type="spellStart"/>
      <w:r w:rsidRPr="001B390F">
        <w:rPr>
          <w:rFonts w:ascii="Verdana" w:hAnsi="Verdana"/>
          <w:bCs/>
          <w:sz w:val="20"/>
        </w:rPr>
        <w:t>Dayán</w:t>
      </w:r>
      <w:proofErr w:type="spellEnd"/>
      <w:r w:rsidRPr="001B390F">
        <w:rPr>
          <w:rFonts w:ascii="Verdana" w:hAnsi="Verdana"/>
          <w:bCs/>
          <w:sz w:val="20"/>
        </w:rPr>
        <w:t xml:space="preserve"> y Presidente Luis María Aguilar Morales.- Ciudad de México, a trece de febrero de dos mil dieciocho.- Rúbrica.</w:t>
      </w:r>
    </w:p>
    <w:p w:rsidR="001B390F" w:rsidRPr="001B390F" w:rsidRDefault="001B390F" w:rsidP="001B390F">
      <w:pPr>
        <w:jc w:val="both"/>
        <w:rPr>
          <w:rFonts w:ascii="Verdana" w:hAnsi="Verdana"/>
          <w:bCs/>
          <w:sz w:val="20"/>
        </w:rPr>
      </w:pPr>
      <w:bookmarkStart w:id="0" w:name="_GoBack"/>
      <w:bookmarkEnd w:id="0"/>
    </w:p>
    <w:p w:rsidR="00BF3AEB" w:rsidRDefault="001B390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0F"/>
    <w:rsid w:val="001B390F"/>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98142">
      <w:bodyDiv w:val="1"/>
      <w:marLeft w:val="0"/>
      <w:marRight w:val="0"/>
      <w:marTop w:val="0"/>
      <w:marBottom w:val="0"/>
      <w:divBdr>
        <w:top w:val="none" w:sz="0" w:space="0" w:color="auto"/>
        <w:left w:val="none" w:sz="0" w:space="0" w:color="auto"/>
        <w:bottom w:val="none" w:sz="0" w:space="0" w:color="auto"/>
        <w:right w:val="none" w:sz="0" w:space="0" w:color="auto"/>
      </w:divBdr>
    </w:div>
    <w:div w:id="776020529">
      <w:bodyDiv w:val="1"/>
      <w:marLeft w:val="0"/>
      <w:marRight w:val="0"/>
      <w:marTop w:val="0"/>
      <w:marBottom w:val="0"/>
      <w:divBdr>
        <w:top w:val="none" w:sz="0" w:space="0" w:color="auto"/>
        <w:left w:val="none" w:sz="0" w:space="0" w:color="auto"/>
        <w:bottom w:val="none" w:sz="0" w:space="0" w:color="auto"/>
        <w:right w:val="none" w:sz="0" w:space="0" w:color="auto"/>
      </w:divBdr>
    </w:div>
    <w:div w:id="1247886616">
      <w:bodyDiv w:val="1"/>
      <w:marLeft w:val="0"/>
      <w:marRight w:val="0"/>
      <w:marTop w:val="0"/>
      <w:marBottom w:val="0"/>
      <w:divBdr>
        <w:top w:val="none" w:sz="0" w:space="0" w:color="auto"/>
        <w:left w:val="none" w:sz="0" w:space="0" w:color="auto"/>
        <w:bottom w:val="none" w:sz="0" w:space="0" w:color="auto"/>
        <w:right w:val="none" w:sz="0" w:space="0" w:color="auto"/>
      </w:divBdr>
      <w:divsChild>
        <w:div w:id="923607625">
          <w:marLeft w:val="0"/>
          <w:marRight w:val="0"/>
          <w:marTop w:val="0"/>
          <w:marBottom w:val="101"/>
          <w:divBdr>
            <w:top w:val="none" w:sz="0" w:space="0" w:color="auto"/>
            <w:left w:val="none" w:sz="0" w:space="0" w:color="auto"/>
            <w:bottom w:val="none" w:sz="0" w:space="0" w:color="auto"/>
            <w:right w:val="none" w:sz="0" w:space="0" w:color="auto"/>
          </w:divBdr>
        </w:div>
        <w:div w:id="1348676313">
          <w:marLeft w:val="0"/>
          <w:marRight w:val="0"/>
          <w:marTop w:val="101"/>
          <w:marBottom w:val="101"/>
          <w:divBdr>
            <w:top w:val="none" w:sz="0" w:space="0" w:color="auto"/>
            <w:left w:val="none" w:sz="0" w:space="0" w:color="auto"/>
            <w:bottom w:val="none" w:sz="0" w:space="0" w:color="auto"/>
            <w:right w:val="none" w:sz="0" w:space="0" w:color="auto"/>
          </w:divBdr>
        </w:div>
        <w:div w:id="1274358421">
          <w:marLeft w:val="0"/>
          <w:marRight w:val="0"/>
          <w:marTop w:val="0"/>
          <w:marBottom w:val="101"/>
          <w:divBdr>
            <w:top w:val="none" w:sz="0" w:space="0" w:color="auto"/>
            <w:left w:val="none" w:sz="0" w:space="0" w:color="auto"/>
            <w:bottom w:val="none" w:sz="0" w:space="0" w:color="auto"/>
            <w:right w:val="none" w:sz="0" w:space="0" w:color="auto"/>
          </w:divBdr>
        </w:div>
        <w:div w:id="729232711">
          <w:marLeft w:val="0"/>
          <w:marRight w:val="0"/>
          <w:marTop w:val="0"/>
          <w:marBottom w:val="101"/>
          <w:divBdr>
            <w:top w:val="none" w:sz="0" w:space="0" w:color="auto"/>
            <w:left w:val="none" w:sz="0" w:space="0" w:color="auto"/>
            <w:bottom w:val="none" w:sz="0" w:space="0" w:color="auto"/>
            <w:right w:val="none" w:sz="0" w:space="0" w:color="auto"/>
          </w:divBdr>
        </w:div>
        <w:div w:id="100034893">
          <w:marLeft w:val="0"/>
          <w:marRight w:val="0"/>
          <w:marTop w:val="0"/>
          <w:marBottom w:val="101"/>
          <w:divBdr>
            <w:top w:val="none" w:sz="0" w:space="0" w:color="auto"/>
            <w:left w:val="none" w:sz="0" w:space="0" w:color="auto"/>
            <w:bottom w:val="none" w:sz="0" w:space="0" w:color="auto"/>
            <w:right w:val="none" w:sz="0" w:space="0" w:color="auto"/>
          </w:divBdr>
        </w:div>
        <w:div w:id="1335063483">
          <w:marLeft w:val="0"/>
          <w:marRight w:val="0"/>
          <w:marTop w:val="0"/>
          <w:marBottom w:val="101"/>
          <w:divBdr>
            <w:top w:val="none" w:sz="0" w:space="0" w:color="auto"/>
            <w:left w:val="none" w:sz="0" w:space="0" w:color="auto"/>
            <w:bottom w:val="none" w:sz="0" w:space="0" w:color="auto"/>
            <w:right w:val="none" w:sz="0" w:space="0" w:color="auto"/>
          </w:divBdr>
        </w:div>
        <w:div w:id="1896550854">
          <w:marLeft w:val="0"/>
          <w:marRight w:val="0"/>
          <w:marTop w:val="0"/>
          <w:marBottom w:val="101"/>
          <w:divBdr>
            <w:top w:val="none" w:sz="0" w:space="0" w:color="auto"/>
            <w:left w:val="none" w:sz="0" w:space="0" w:color="auto"/>
            <w:bottom w:val="none" w:sz="0" w:space="0" w:color="auto"/>
            <w:right w:val="none" w:sz="0" w:space="0" w:color="auto"/>
          </w:divBdr>
        </w:div>
        <w:div w:id="1532450496">
          <w:marLeft w:val="0"/>
          <w:marRight w:val="0"/>
          <w:marTop w:val="0"/>
          <w:marBottom w:val="101"/>
          <w:divBdr>
            <w:top w:val="none" w:sz="0" w:space="0" w:color="auto"/>
            <w:left w:val="none" w:sz="0" w:space="0" w:color="auto"/>
            <w:bottom w:val="none" w:sz="0" w:space="0" w:color="auto"/>
            <w:right w:val="none" w:sz="0" w:space="0" w:color="auto"/>
          </w:divBdr>
        </w:div>
        <w:div w:id="910848031">
          <w:marLeft w:val="0"/>
          <w:marRight w:val="0"/>
          <w:marTop w:val="0"/>
          <w:marBottom w:val="101"/>
          <w:divBdr>
            <w:top w:val="none" w:sz="0" w:space="0" w:color="auto"/>
            <w:left w:val="none" w:sz="0" w:space="0" w:color="auto"/>
            <w:bottom w:val="none" w:sz="0" w:space="0" w:color="auto"/>
            <w:right w:val="none" w:sz="0" w:space="0" w:color="auto"/>
          </w:divBdr>
        </w:div>
        <w:div w:id="61686274">
          <w:marLeft w:val="0"/>
          <w:marRight w:val="0"/>
          <w:marTop w:val="101"/>
          <w:marBottom w:val="101"/>
          <w:divBdr>
            <w:top w:val="none" w:sz="0" w:space="0" w:color="auto"/>
            <w:left w:val="none" w:sz="0" w:space="0" w:color="auto"/>
            <w:bottom w:val="none" w:sz="0" w:space="0" w:color="auto"/>
            <w:right w:val="none" w:sz="0" w:space="0" w:color="auto"/>
          </w:divBdr>
        </w:div>
        <w:div w:id="1495485377">
          <w:marLeft w:val="0"/>
          <w:marRight w:val="0"/>
          <w:marTop w:val="0"/>
          <w:marBottom w:val="101"/>
          <w:divBdr>
            <w:top w:val="none" w:sz="0" w:space="0" w:color="auto"/>
            <w:left w:val="none" w:sz="0" w:space="0" w:color="auto"/>
            <w:bottom w:val="none" w:sz="0" w:space="0" w:color="auto"/>
            <w:right w:val="none" w:sz="0" w:space="0" w:color="auto"/>
          </w:divBdr>
        </w:div>
        <w:div w:id="1071121474">
          <w:marLeft w:val="0"/>
          <w:marRight w:val="0"/>
          <w:marTop w:val="0"/>
          <w:marBottom w:val="101"/>
          <w:divBdr>
            <w:top w:val="none" w:sz="0" w:space="0" w:color="auto"/>
            <w:left w:val="none" w:sz="0" w:space="0" w:color="auto"/>
            <w:bottom w:val="none" w:sz="0" w:space="0" w:color="auto"/>
            <w:right w:val="none" w:sz="0" w:space="0" w:color="auto"/>
          </w:divBdr>
        </w:div>
        <w:div w:id="1839929691">
          <w:marLeft w:val="0"/>
          <w:marRight w:val="0"/>
          <w:marTop w:val="101"/>
          <w:marBottom w:val="101"/>
          <w:divBdr>
            <w:top w:val="none" w:sz="0" w:space="0" w:color="auto"/>
            <w:left w:val="none" w:sz="0" w:space="0" w:color="auto"/>
            <w:bottom w:val="none" w:sz="0" w:space="0" w:color="auto"/>
            <w:right w:val="none" w:sz="0" w:space="0" w:color="auto"/>
          </w:divBdr>
        </w:div>
        <w:div w:id="1195313297">
          <w:marLeft w:val="0"/>
          <w:marRight w:val="0"/>
          <w:marTop w:val="0"/>
          <w:marBottom w:val="101"/>
          <w:divBdr>
            <w:top w:val="none" w:sz="0" w:space="0" w:color="auto"/>
            <w:left w:val="none" w:sz="0" w:space="0" w:color="auto"/>
            <w:bottom w:val="none" w:sz="0" w:space="0" w:color="auto"/>
            <w:right w:val="none" w:sz="0" w:space="0" w:color="auto"/>
          </w:divBdr>
        </w:div>
        <w:div w:id="1021248060">
          <w:marLeft w:val="0"/>
          <w:marRight w:val="0"/>
          <w:marTop w:val="0"/>
          <w:marBottom w:val="101"/>
          <w:divBdr>
            <w:top w:val="none" w:sz="0" w:space="0" w:color="auto"/>
            <w:left w:val="none" w:sz="0" w:space="0" w:color="auto"/>
            <w:bottom w:val="none" w:sz="0" w:space="0" w:color="auto"/>
            <w:right w:val="none" w:sz="0" w:space="0" w:color="auto"/>
          </w:divBdr>
        </w:div>
        <w:div w:id="1350371283">
          <w:marLeft w:val="0"/>
          <w:marRight w:val="0"/>
          <w:marTop w:val="0"/>
          <w:marBottom w:val="101"/>
          <w:divBdr>
            <w:top w:val="none" w:sz="0" w:space="0" w:color="auto"/>
            <w:left w:val="none" w:sz="0" w:space="0" w:color="auto"/>
            <w:bottom w:val="none" w:sz="0" w:space="0" w:color="auto"/>
            <w:right w:val="none" w:sz="0" w:space="0" w:color="auto"/>
          </w:divBdr>
        </w:div>
        <w:div w:id="1064451382">
          <w:marLeft w:val="0"/>
          <w:marRight w:val="0"/>
          <w:marTop w:val="0"/>
          <w:marBottom w:val="101"/>
          <w:divBdr>
            <w:top w:val="none" w:sz="0" w:space="0" w:color="auto"/>
            <w:left w:val="none" w:sz="0" w:space="0" w:color="auto"/>
            <w:bottom w:val="none" w:sz="0" w:space="0" w:color="auto"/>
            <w:right w:val="none" w:sz="0" w:space="0" w:color="auto"/>
          </w:divBdr>
        </w:div>
      </w:divsChild>
    </w:div>
    <w:div w:id="1491867117">
      <w:bodyDiv w:val="1"/>
      <w:marLeft w:val="0"/>
      <w:marRight w:val="0"/>
      <w:marTop w:val="0"/>
      <w:marBottom w:val="0"/>
      <w:divBdr>
        <w:top w:val="none" w:sz="0" w:space="0" w:color="auto"/>
        <w:left w:val="none" w:sz="0" w:space="0" w:color="auto"/>
        <w:bottom w:val="none" w:sz="0" w:space="0" w:color="auto"/>
        <w:right w:val="none" w:sz="0" w:space="0" w:color="auto"/>
      </w:divBdr>
      <w:divsChild>
        <w:div w:id="72246598">
          <w:marLeft w:val="0"/>
          <w:marRight w:val="0"/>
          <w:marTop w:val="0"/>
          <w:marBottom w:val="101"/>
          <w:divBdr>
            <w:top w:val="none" w:sz="0" w:space="0" w:color="auto"/>
            <w:left w:val="none" w:sz="0" w:space="0" w:color="auto"/>
            <w:bottom w:val="none" w:sz="0" w:space="0" w:color="auto"/>
            <w:right w:val="none" w:sz="0" w:space="0" w:color="auto"/>
          </w:divBdr>
        </w:div>
        <w:div w:id="1711346570">
          <w:marLeft w:val="0"/>
          <w:marRight w:val="0"/>
          <w:marTop w:val="101"/>
          <w:marBottom w:val="101"/>
          <w:divBdr>
            <w:top w:val="none" w:sz="0" w:space="0" w:color="auto"/>
            <w:left w:val="none" w:sz="0" w:space="0" w:color="auto"/>
            <w:bottom w:val="none" w:sz="0" w:space="0" w:color="auto"/>
            <w:right w:val="none" w:sz="0" w:space="0" w:color="auto"/>
          </w:divBdr>
        </w:div>
        <w:div w:id="377247188">
          <w:marLeft w:val="0"/>
          <w:marRight w:val="0"/>
          <w:marTop w:val="0"/>
          <w:marBottom w:val="101"/>
          <w:divBdr>
            <w:top w:val="none" w:sz="0" w:space="0" w:color="auto"/>
            <w:left w:val="none" w:sz="0" w:space="0" w:color="auto"/>
            <w:bottom w:val="none" w:sz="0" w:space="0" w:color="auto"/>
            <w:right w:val="none" w:sz="0" w:space="0" w:color="auto"/>
          </w:divBdr>
        </w:div>
        <w:div w:id="1026295009">
          <w:marLeft w:val="0"/>
          <w:marRight w:val="0"/>
          <w:marTop w:val="0"/>
          <w:marBottom w:val="101"/>
          <w:divBdr>
            <w:top w:val="none" w:sz="0" w:space="0" w:color="auto"/>
            <w:left w:val="none" w:sz="0" w:space="0" w:color="auto"/>
            <w:bottom w:val="none" w:sz="0" w:space="0" w:color="auto"/>
            <w:right w:val="none" w:sz="0" w:space="0" w:color="auto"/>
          </w:divBdr>
        </w:div>
        <w:div w:id="603726075">
          <w:marLeft w:val="0"/>
          <w:marRight w:val="0"/>
          <w:marTop w:val="0"/>
          <w:marBottom w:val="101"/>
          <w:divBdr>
            <w:top w:val="none" w:sz="0" w:space="0" w:color="auto"/>
            <w:left w:val="none" w:sz="0" w:space="0" w:color="auto"/>
            <w:bottom w:val="none" w:sz="0" w:space="0" w:color="auto"/>
            <w:right w:val="none" w:sz="0" w:space="0" w:color="auto"/>
          </w:divBdr>
        </w:div>
        <w:div w:id="1460339217">
          <w:marLeft w:val="0"/>
          <w:marRight w:val="0"/>
          <w:marTop w:val="0"/>
          <w:marBottom w:val="101"/>
          <w:divBdr>
            <w:top w:val="none" w:sz="0" w:space="0" w:color="auto"/>
            <w:left w:val="none" w:sz="0" w:space="0" w:color="auto"/>
            <w:bottom w:val="none" w:sz="0" w:space="0" w:color="auto"/>
            <w:right w:val="none" w:sz="0" w:space="0" w:color="auto"/>
          </w:divBdr>
        </w:div>
        <w:div w:id="1200555292">
          <w:marLeft w:val="0"/>
          <w:marRight w:val="0"/>
          <w:marTop w:val="0"/>
          <w:marBottom w:val="101"/>
          <w:divBdr>
            <w:top w:val="none" w:sz="0" w:space="0" w:color="auto"/>
            <w:left w:val="none" w:sz="0" w:space="0" w:color="auto"/>
            <w:bottom w:val="none" w:sz="0" w:space="0" w:color="auto"/>
            <w:right w:val="none" w:sz="0" w:space="0" w:color="auto"/>
          </w:divBdr>
        </w:div>
        <w:div w:id="293829218">
          <w:marLeft w:val="0"/>
          <w:marRight w:val="0"/>
          <w:marTop w:val="0"/>
          <w:marBottom w:val="101"/>
          <w:divBdr>
            <w:top w:val="none" w:sz="0" w:space="0" w:color="auto"/>
            <w:left w:val="none" w:sz="0" w:space="0" w:color="auto"/>
            <w:bottom w:val="none" w:sz="0" w:space="0" w:color="auto"/>
            <w:right w:val="none" w:sz="0" w:space="0" w:color="auto"/>
          </w:divBdr>
        </w:div>
        <w:div w:id="720979104">
          <w:marLeft w:val="0"/>
          <w:marRight w:val="0"/>
          <w:marTop w:val="0"/>
          <w:marBottom w:val="101"/>
          <w:divBdr>
            <w:top w:val="none" w:sz="0" w:space="0" w:color="auto"/>
            <w:left w:val="none" w:sz="0" w:space="0" w:color="auto"/>
            <w:bottom w:val="none" w:sz="0" w:space="0" w:color="auto"/>
            <w:right w:val="none" w:sz="0" w:space="0" w:color="auto"/>
          </w:divBdr>
        </w:div>
        <w:div w:id="1194808420">
          <w:marLeft w:val="0"/>
          <w:marRight w:val="0"/>
          <w:marTop w:val="101"/>
          <w:marBottom w:val="101"/>
          <w:divBdr>
            <w:top w:val="none" w:sz="0" w:space="0" w:color="auto"/>
            <w:left w:val="none" w:sz="0" w:space="0" w:color="auto"/>
            <w:bottom w:val="none" w:sz="0" w:space="0" w:color="auto"/>
            <w:right w:val="none" w:sz="0" w:space="0" w:color="auto"/>
          </w:divBdr>
        </w:div>
        <w:div w:id="788665346">
          <w:marLeft w:val="0"/>
          <w:marRight w:val="0"/>
          <w:marTop w:val="0"/>
          <w:marBottom w:val="101"/>
          <w:divBdr>
            <w:top w:val="none" w:sz="0" w:space="0" w:color="auto"/>
            <w:left w:val="none" w:sz="0" w:space="0" w:color="auto"/>
            <w:bottom w:val="none" w:sz="0" w:space="0" w:color="auto"/>
            <w:right w:val="none" w:sz="0" w:space="0" w:color="auto"/>
          </w:divBdr>
        </w:div>
        <w:div w:id="558320250">
          <w:marLeft w:val="0"/>
          <w:marRight w:val="0"/>
          <w:marTop w:val="0"/>
          <w:marBottom w:val="101"/>
          <w:divBdr>
            <w:top w:val="none" w:sz="0" w:space="0" w:color="auto"/>
            <w:left w:val="none" w:sz="0" w:space="0" w:color="auto"/>
            <w:bottom w:val="none" w:sz="0" w:space="0" w:color="auto"/>
            <w:right w:val="none" w:sz="0" w:space="0" w:color="auto"/>
          </w:divBdr>
        </w:div>
        <w:div w:id="1520895646">
          <w:marLeft w:val="0"/>
          <w:marRight w:val="0"/>
          <w:marTop w:val="101"/>
          <w:marBottom w:val="101"/>
          <w:divBdr>
            <w:top w:val="none" w:sz="0" w:space="0" w:color="auto"/>
            <w:left w:val="none" w:sz="0" w:space="0" w:color="auto"/>
            <w:bottom w:val="none" w:sz="0" w:space="0" w:color="auto"/>
            <w:right w:val="none" w:sz="0" w:space="0" w:color="auto"/>
          </w:divBdr>
        </w:div>
        <w:div w:id="1971393750">
          <w:marLeft w:val="0"/>
          <w:marRight w:val="0"/>
          <w:marTop w:val="0"/>
          <w:marBottom w:val="101"/>
          <w:divBdr>
            <w:top w:val="none" w:sz="0" w:space="0" w:color="auto"/>
            <w:left w:val="none" w:sz="0" w:space="0" w:color="auto"/>
            <w:bottom w:val="none" w:sz="0" w:space="0" w:color="auto"/>
            <w:right w:val="none" w:sz="0" w:space="0" w:color="auto"/>
          </w:divBdr>
        </w:div>
        <w:div w:id="1449933318">
          <w:marLeft w:val="0"/>
          <w:marRight w:val="0"/>
          <w:marTop w:val="0"/>
          <w:marBottom w:val="101"/>
          <w:divBdr>
            <w:top w:val="none" w:sz="0" w:space="0" w:color="auto"/>
            <w:left w:val="none" w:sz="0" w:space="0" w:color="auto"/>
            <w:bottom w:val="none" w:sz="0" w:space="0" w:color="auto"/>
            <w:right w:val="none" w:sz="0" w:space="0" w:color="auto"/>
          </w:divBdr>
        </w:div>
        <w:div w:id="206455368">
          <w:marLeft w:val="0"/>
          <w:marRight w:val="0"/>
          <w:marTop w:val="0"/>
          <w:marBottom w:val="101"/>
          <w:divBdr>
            <w:top w:val="none" w:sz="0" w:space="0" w:color="auto"/>
            <w:left w:val="none" w:sz="0" w:space="0" w:color="auto"/>
            <w:bottom w:val="none" w:sz="0" w:space="0" w:color="auto"/>
            <w:right w:val="none" w:sz="0" w:space="0" w:color="auto"/>
          </w:divBdr>
        </w:div>
        <w:div w:id="13350373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2249</Words>
  <Characters>12374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2018-02-21T16:12:00Z</dcterms:created>
  <dcterms:modified xsi:type="dcterms:W3CDTF">2018-02-21T16:17:00Z</dcterms:modified>
</cp:coreProperties>
</file>