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 w:cs="Verdana Regular"/>
          <w:b/>
          <w:bCs/>
          <w:color w:val="5B9BD5" w:themeColor="accent1"/>
          <w:sz w:val="21"/>
          <w:szCs w:val="21"/>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viso</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 sobre la vigencia de cuotas compensatorias</w:t>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1"/>
          <w:szCs w:val="21"/>
          <w:shd w:val="clear" w:fill="FFFFFF"/>
          <w14:textFill>
            <w14:solidFill>
              <w14:schemeClr w14:val="accent1"/>
            </w14:solidFill>
          </w14:textFill>
        </w:rPr>
        <w:t>(DOF 2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Secretaría de Economía.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AVISO SOBRE LA VIGENCIA DE CUOTAS COMPENSATORIAS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Con fundamento en los artículos 1, 2 apartado A, fracción II, numeral 7, y 19 fracciones I y IV del Reglamento Interior de la Secretaría de Economía; 11.3 del Acuerdo relativo a la Aplicación del Artículo VI del Acuerdo General sobre Aranceles Aduaneros y Comercio de 1994; y 3 último párrafo, 70, 70 A y 70 B de la Ley de Comercio Exterior,</w:t>
      </w:r>
      <w:bookmarkStart w:id="0" w:name="_GoBack"/>
      <w:bookmarkEnd w:id="0"/>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xml:space="preserve"> se comunica a los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productores nacionales y a cualquier otra persona que tenga interés jurídico, que están próximas a expirar las cuotas compensatorias definitivas, que se indican en este Aviso.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Cualquier productor nacional de tales mercancías podrá expresar a la Secretaría de Economía, por escrito, su interés en que se inicie un procedimiento de examen para determinar las consecuencias de la supresión de la cuota compensatoria que corresponda. En tal caso, deberá proponer un periodo de examen de seis meses a un año comprendido en el tiempo de vigencia de la cuota compensatoria.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La manifestación de interés deberá presentarse de manera completa, a más tardar veinticinco días hábiles antes del término de la vigencia que corresponda, en la oficialía de partes de la Unidad de Prácticas Comerciales Internacionales, de las 9:00 a las 14:00 horas, asimismo, se podrá presentar vía electrónica, a la cuenta de correo electrónico upci@economia.gob.mx, de las 9:00 a las 18:00 horas, conforme a lo dispuesto en el "Acuerdo por el que se establecen medidas administrativas en la Secretaría de Economía con el objeto de brindar facilidades a los usuarios de los trámites y procedimientos que se indican", publicado en el Diario Oficial de la Federación el 4 de agosto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En este sentido, los plazos vencen de acuerdo con lo siguiente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26"/>
        <w:gridCol w:w="1744"/>
        <w:gridCol w:w="1010"/>
        <w:gridCol w:w="1314"/>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1" w:hRule="atLeast"/>
        </w:trPr>
        <w:tc>
          <w:tcPr>
            <w:tcW w:w="1558"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PRODUCTO</w:t>
            </w:r>
          </w:p>
        </w:tc>
        <w:tc>
          <w:tcPr>
            <w:tcW w:w="135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FRACCIÓN</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ARANCELARIA*</w:t>
            </w:r>
          </w:p>
        </w:tc>
        <w:tc>
          <w:tcPr>
            <w:tcW w:w="105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PAÍS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ORIGEN</w:t>
            </w:r>
          </w:p>
        </w:tc>
        <w:tc>
          <w:tcPr>
            <w:tcW w:w="189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ÚLTIMO DÍA DE LA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VIGENCIA</w:t>
            </w:r>
          </w:p>
        </w:tc>
        <w:tc>
          <w:tcPr>
            <w:tcW w:w="227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FECHA LÍMITE PARA RECIBIR</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LA MANIFESTACIÓN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b/>
                <w:bCs/>
                <w:color w:val="000000"/>
                <w:kern w:val="0"/>
                <w:sz w:val="20"/>
                <w:szCs w:val="20"/>
                <w:lang w:val="en-US" w:eastAsia="zh-CN" w:bidi="ar"/>
              </w:rPr>
              <w:t>INTERÉS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70"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Tubería de acero al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carbono y aleada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con costura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longitudinal</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7306.19.99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7306.30.03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7306.30.04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7306.30.99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7306.61.01</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China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 de marzo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31 de enero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46"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Papel bond cortado</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4802.55.99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4802.56.99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4823.90.99</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Brasil</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12 de marzo de 2023</w:t>
            </w:r>
          </w:p>
        </w:tc>
        <w:tc>
          <w:tcPr>
            <w:tcW w:w="227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de febrero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706"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Tubería de acero al</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carbono sin costura</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7304.19.01</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7304.19.02</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7304.19.99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7304.39.10</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7304.39.11</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7304.39.12</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7304.39.13</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7304.39.99</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Corea</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España</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India</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Ucrania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 de abril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24 de febrero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4"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Globos de plástico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metalizado</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9503.00.23</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9505.90.99</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China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 de junio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 de mayo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4"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Cadena de acero de</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eslabones soldados</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7315.82.03</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China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18 de julio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12 de junio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4"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Ferrosilicomanganes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o</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7202.30.01</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Ucrania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25 de septiembre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18 de agosto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4"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Ferromanganesoalto</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carbón</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7202.11.01</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China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26 de septiembre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21 de agosto de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51" w:hRule="atLeast"/>
        </w:trPr>
        <w:tc>
          <w:tcPr>
            <w:tcW w:w="1558"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Microalambre para</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soldar</w:t>
            </w:r>
          </w:p>
        </w:tc>
        <w:tc>
          <w:tcPr>
            <w:tcW w:w="1355"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7229.20.01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7229.90.99</w:t>
            </w:r>
          </w:p>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8311.90.01</w:t>
            </w:r>
          </w:p>
        </w:tc>
        <w:tc>
          <w:tcPr>
            <w:tcW w:w="1053"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China</w:t>
            </w:r>
          </w:p>
        </w:tc>
        <w:tc>
          <w:tcPr>
            <w:tcW w:w="1890"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6 de octubre de 2023</w:t>
            </w:r>
          </w:p>
        </w:tc>
        <w:tc>
          <w:tcPr>
            <w:tcW w:w="227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0" w:beforeAutospacing="0" w:after="20"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31 de agosto de 2023</w:t>
            </w:r>
          </w:p>
        </w:tc>
      </w:tr>
    </w:tbl>
    <w:p>
      <w:pPr>
        <w:keepNext w:val="0"/>
        <w:keepLines w:val="0"/>
        <w:widowControl/>
        <w:suppressLineNumbers w:val="0"/>
        <w:shd w:val="clear" w:fill="FFFFFF"/>
        <w:spacing w:before="40" w:beforeAutospacing="0" w:after="101" w:afterAutospacing="0"/>
        <w:ind w:left="446" w:right="475"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Fracción arancelaria por la que ingresa el producto objeto de la cuota compensatoria, de acuerdo con la Tarifa de la Ley de los Impuestos Generales de Importación y de Exportación vigente.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mayor información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dirigirse a la Unidad de Prácticas Comerciales Internacionales de la Secretaría de Economía, sita en Insurgentes Sur 1940, planta baja, Col. Florida, C.P. 01030, en la Ciudad de México,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 bien, comunicarse a través del correo electrónico UPCIConsultas@economia.gob.mx o a los teléfonos (55) 52 29 61 00, Ext. 33100 y 33104.</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3 de octubre de 2022.- El Jefe de la Unidad de Prácticas Comerciales Internacionales,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Marcos Santiago Ávalos Bracho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DC705"/>
    <w:rsid w:val="31FDC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2022-11-02T12:46:00Z</dcterms:created>
  <dc:creator>Allan Morgan Hernández</dc:creator>
  <cp:lastModifiedBy>Allan Morgan Hernández</cp:lastModifiedBy>
  <dcterms:modified xsi:type="dcterms:W3CDTF">2022-11-02T12:47:11Z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