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single" w:color="000000" w:sz="12" w:space="0"/>
        </w:pBdr>
        <w:shd w:val="clear" w:fill="FFFFFF"/>
        <w:spacing w:before="120" w:beforeAutospacing="0" w:after="0" w:afterAutospacing="0"/>
        <w:ind w:left="0" w:firstLine="0"/>
        <w:jc w:val="center"/>
        <w:rPr>
          <w:rFonts w:hint="default" w:ascii="Verdana Regular" w:hAnsi="Verdana Regular" w:eastAsia="Times-Roman" w:cs="Verdana Regular"/>
          <w:b/>
          <w:bCs/>
          <w:i w:val="0"/>
          <w:iCs w:val="0"/>
          <w:caps w:val="0"/>
          <w:color w:val="5B9BD5" w:themeColor="accent1"/>
          <w:spacing w:val="0"/>
          <w:sz w:val="20"/>
          <w:szCs w:val="20"/>
          <w14:textFill>
            <w14:solidFill>
              <w14:schemeClr w14:val="accent1"/>
            </w14:solidFill>
          </w14:textFill>
        </w:rPr>
      </w:pPr>
      <w:r>
        <w:rPr>
          <w:rFonts w:hint="default" w:ascii="Verdana Regular" w:hAnsi="Verdana Regular" w:eastAsia="Times" w:cs="Verdana Regular"/>
          <w:b/>
          <w:bCs/>
          <w:i w:val="0"/>
          <w:iCs w:val="0"/>
          <w:caps w:val="0"/>
          <w:color w:val="5B9BD5" w:themeColor="accent1"/>
          <w:spacing w:val="0"/>
          <w:sz w:val="20"/>
          <w:szCs w:val="20"/>
          <w:shd w:val="clear" w:fill="FFFFFF"/>
          <w14:textFill>
            <w14:solidFill>
              <w14:schemeClr w14:val="accent1"/>
            </w14:solidFill>
          </w14:textFill>
        </w:rPr>
        <w:t>A</w:t>
      </w:r>
      <w:r>
        <w:rPr>
          <w:rFonts w:hint="default" w:ascii="Verdana Regular" w:hAnsi="Verdana Regular" w:eastAsia="Times" w:cs="Verdana Regular"/>
          <w:b/>
          <w:bCs/>
          <w:i w:val="0"/>
          <w:iCs w:val="0"/>
          <w:caps w:val="0"/>
          <w:color w:val="5B9BD5" w:themeColor="accent1"/>
          <w:spacing w:val="0"/>
          <w:sz w:val="20"/>
          <w:szCs w:val="20"/>
          <w:shd w:val="clear" w:fill="FFFFFF"/>
          <w14:textFill>
            <w14:solidFill>
              <w14:schemeClr w14:val="accent1"/>
            </w14:solidFill>
          </w14:textFill>
        </w:rPr>
        <w:t>cuerdo</w:t>
      </w:r>
      <w:r>
        <w:rPr>
          <w:rFonts w:hint="default" w:ascii="Verdana Regular" w:hAnsi="Verdana Regular" w:eastAsia="Times" w:cs="Verdana Regular"/>
          <w:b/>
          <w:bCs/>
          <w:i w:val="0"/>
          <w:iCs w:val="0"/>
          <w:caps w:val="0"/>
          <w:color w:val="5B9BD5" w:themeColor="accent1"/>
          <w:spacing w:val="0"/>
          <w:sz w:val="20"/>
          <w:szCs w:val="20"/>
          <w:shd w:val="clear" w:fill="FFFFFF"/>
          <w14:textFill>
            <w14:solidFill>
              <w14:schemeClr w14:val="accent1"/>
            </w14:solidFill>
          </w14:textFill>
        </w:rPr>
        <w:t> por el que se da a conocer el factor de actualización a los ingresos totales anuales de una Sociedad por Acciones Simplificada conforme a lo dispuesto en el artículo 260 de la Ley General de Sociedades Mercantiles</w:t>
      </w:r>
      <w:r>
        <w:rPr>
          <w:rFonts w:hint="default" w:ascii="Verdana Regular" w:hAnsi="Verdana Regular" w:eastAsia="Times" w:cs="Verdana Regular"/>
          <w:b/>
          <w:bCs/>
          <w:i w:val="0"/>
          <w:iCs w:val="0"/>
          <w:caps w:val="0"/>
          <w:color w:val="5B9BD5" w:themeColor="accent1"/>
          <w:spacing w:val="0"/>
          <w:sz w:val="20"/>
          <w:szCs w:val="20"/>
          <w:shd w:val="clear" w:fill="FFFFFF"/>
          <w14:textFill>
            <w14:solidFill>
              <w14:schemeClr w14:val="accent1"/>
            </w14:solidFill>
          </w14:textFill>
        </w:rPr>
        <w:br w:type="textWrapping"/>
      </w:r>
      <w:r>
        <w:rPr>
          <w:rFonts w:hint="default" w:ascii="Verdana Regular" w:hAnsi="Verdana Regular" w:eastAsia="Times" w:cs="Verdana Regular"/>
          <w:b/>
          <w:bCs/>
          <w:i w:val="0"/>
          <w:iCs w:val="0"/>
          <w:caps w:val="0"/>
          <w:color w:val="5B9BD5" w:themeColor="accent1"/>
          <w:spacing w:val="0"/>
          <w:sz w:val="20"/>
          <w:szCs w:val="20"/>
          <w:shd w:val="clear" w:fill="FFFFFF"/>
          <w14:textFill>
            <w14:solidFill>
              <w14:schemeClr w14:val="accent1"/>
            </w14:solidFill>
          </w14:textFill>
        </w:rPr>
        <w:t>(DOF</w:t>
      </w:r>
      <w:bookmarkStart w:id="0" w:name="_GoBack"/>
      <w:bookmarkEnd w:id="0"/>
      <w:r>
        <w:rPr>
          <w:rFonts w:hint="default" w:ascii="Verdana Regular" w:hAnsi="Verdana Regular" w:eastAsia="Times" w:cs="Verdana Regular"/>
          <w:b/>
          <w:bCs/>
          <w:i w:val="0"/>
          <w:iCs w:val="0"/>
          <w:caps w:val="0"/>
          <w:color w:val="5B9BD5" w:themeColor="accent1"/>
          <w:spacing w:val="0"/>
          <w:sz w:val="20"/>
          <w:szCs w:val="20"/>
          <w:shd w:val="clear" w:fill="FFFFFF"/>
          <w14:textFill>
            <w14:solidFill>
              <w14:schemeClr w14:val="accent1"/>
            </w14:solidFill>
          </w14:textFill>
        </w:rPr>
        <w:t xml:space="preserve"> 27 de diciembre de 2022)</w:t>
      </w:r>
    </w:p>
    <w:p>
      <w:pPr>
        <w:pStyle w:val="3"/>
        <w:keepNext w:val="0"/>
        <w:keepLines w:val="0"/>
        <w:widowControl/>
        <w:suppressLineNumbers w:val="0"/>
        <w:pBdr>
          <w:top w:val="single" w:color="000000" w:sz="6" w:space="0"/>
        </w:pBdr>
        <w:shd w:val="clear" w:fill="FFFFFF"/>
        <w:spacing w:after="101" w:afterAutospacing="0"/>
        <w:ind w:left="0" w:firstLine="0"/>
        <w:jc w:val="both"/>
        <w:rPr>
          <w:rFonts w:hint="default" w:ascii="Verdana Regular" w:hAnsi="Verdana Regular" w:cs="Verdana Regular"/>
          <w:i w:val="0"/>
          <w:iCs w:val="0"/>
          <w:caps w:val="0"/>
          <w:color w:val="2F2F2F"/>
          <w:spacing w:val="0"/>
          <w:sz w:val="20"/>
          <w:szCs w:val="20"/>
        </w:rPr>
      </w:pPr>
      <w:r>
        <w:rPr>
          <w:rFonts w:hint="default" w:ascii="Verdana Regular" w:hAnsi="Verdana Regular" w:cs="Verdana Regular"/>
          <w:i w:val="0"/>
          <w:iCs w:val="0"/>
          <w:caps w:val="0"/>
          <w:color w:val="2F2F2F"/>
          <w:spacing w:val="0"/>
          <w:sz w:val="20"/>
          <w:szCs w:val="20"/>
          <w:shd w:val="clear" w:fill="FFFFFF"/>
        </w:rPr>
        <w:t>Al margen un sello con el Escudo Nacional, que dice: Estados Unidos Mexicanos.- ECONOMÍA.- Secretaría de Economía.</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Con fundamento en los artículos 34, fracción XXXIII de la Ley Orgánica de la Administración Pública Federal; 260 de la Ley General de Sociedades Mercantiles; 4 de la Ley Federal de Procedimiento Administrativo, y 5, fracción XVII del Reglamento Interior de la Secretaría de Economía, y</w:t>
      </w:r>
    </w:p>
    <w:p>
      <w:pPr>
        <w:keepNext w:val="0"/>
        <w:keepLines w:val="0"/>
        <w:widowControl/>
        <w:suppressLineNumbers w:val="0"/>
        <w:shd w:val="clear" w:fill="FFFFFF"/>
        <w:spacing w:before="101" w:beforeAutospacing="0" w:after="101" w:afterAutospacing="0"/>
        <w:ind w:left="0" w:firstLine="0"/>
        <w:jc w:val="center"/>
        <w:rPr>
          <w:rFonts w:hint="default" w:ascii="Verdana Regular" w:hAnsi="Verdana Regular" w:eastAsia="Times" w:cs="Verdana Regular"/>
          <w:b/>
          <w:bCs/>
          <w:i w:val="0"/>
          <w:iCs w:val="0"/>
          <w:caps w:val="0"/>
          <w:color w:val="2F2F2F"/>
          <w:spacing w:val="0"/>
          <w:sz w:val="20"/>
          <w:szCs w:val="20"/>
        </w:rPr>
      </w:pPr>
      <w:r>
        <w:rPr>
          <w:rFonts w:hint="default" w:ascii="Verdana Regular" w:hAnsi="Verdana Regular" w:eastAsia="Times" w:cs="Verdana Regular"/>
          <w:b/>
          <w:bCs/>
          <w:i w:val="0"/>
          <w:iCs w:val="0"/>
          <w:caps w:val="0"/>
          <w:color w:val="2F2F2F"/>
          <w:spacing w:val="0"/>
          <w:kern w:val="0"/>
          <w:sz w:val="20"/>
          <w:szCs w:val="20"/>
          <w:shd w:val="clear" w:fill="FFFFFF"/>
          <w:lang w:val="en-US" w:eastAsia="zh-CN" w:bidi="ar"/>
        </w:rPr>
        <w:t>CONSIDERANDO</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Que mediante Decreto publicado en el Diario Oficial de la Federación el 14 de marzo de 2016, se reformó la Ley General de Sociedades Mercantiles, por la que se estableció la figura de la Sociedad por Acciones Simplificada, con el propósito de facilitar los trámites para la constitución de una empresa;</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Que el artículo 260 de la propia Ley General de Sociedades Mercantiles establece que los ingresos totales anuales de este tipo de sociedades no podrán ser mayores a 5 millones de pesos; sin embargo, prevé que dicho monto será actualizado de manera anual el primero de enero de cada año;</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Que la actualización se realizará considerando el factor de actualización correspondiente al periodo comprendido desde el mes de diciembre del penúltimo año hasta el mes de diciembre inmediato anterior a aquel por el que se efectúa la actualización;</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Que la Secretaría de Economía publicará el factor de actualización en el Diario Oficial de la Federación durante el mes de diciembre de cada año;</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Que conforme a lo dispuesto en el artículo 17-A del Código Fiscal de la Federación dicho factor se obtendrá dividiendo el Índice Nacional de Precios al Consumidor del mes anterior al más reciente del periodo entre el citado índice correspondiente al mes anterior al más antiguo de dicho periodo y que en los casos en que el Índice Nacional de Precios al Consumidor del mes anterior al más reciente del periodo, no haya sido publicado por el Instituto Nacional de Estadística y Geografía, la actualización de que se trate se realizará aplicando el último índice mensual publicado;</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Que el 10 de diciembre de 2021 se publicó en el Diario Oficial de la Federación el Índice Nacional de Precios al Consumidor del mes de noviembre de 2021, mismo que es de 116.884 puntos;</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Que el 9 de diciembre de 2022 se publicó en el Diario Oficial de la Federación el Índice Nacional de Precios al Consumidor del mes de noviembre de 2022, mismo que corresponde a 125.997 puntos, y</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Que con el propósito de dar a conocer el monto actualizado a que se refiere el primer considerando y brindar certeza jurídica a los particulares respecto del límite de ingresos anuales que podrán tener las sociedades por acciones simplificadas, es necesario dar a conocer el factor de actualización correspondiente, por lo que se expide el siguiente:</w:t>
      </w:r>
    </w:p>
    <w:p>
      <w:pPr>
        <w:keepNext w:val="0"/>
        <w:keepLines w:val="0"/>
        <w:widowControl/>
        <w:suppressLineNumbers w:val="0"/>
        <w:shd w:val="clear" w:fill="FFFFFF"/>
        <w:spacing w:before="101" w:beforeAutospacing="0" w:after="101" w:afterAutospacing="0"/>
        <w:ind w:left="0" w:firstLine="0"/>
        <w:jc w:val="center"/>
        <w:rPr>
          <w:rFonts w:hint="default" w:ascii="Verdana Regular" w:hAnsi="Verdana Regular" w:eastAsia="Times" w:cs="Verdana Regular"/>
          <w:b/>
          <w:bCs/>
          <w:i w:val="0"/>
          <w:iCs w:val="0"/>
          <w:caps w:val="0"/>
          <w:color w:val="2F2F2F"/>
          <w:spacing w:val="0"/>
          <w:sz w:val="20"/>
          <w:szCs w:val="20"/>
        </w:rPr>
      </w:pPr>
      <w:r>
        <w:rPr>
          <w:rFonts w:hint="default" w:ascii="Verdana Regular" w:hAnsi="Verdana Regular" w:eastAsia="Times" w:cs="Verdana Regular"/>
          <w:b/>
          <w:bCs/>
          <w:i w:val="0"/>
          <w:iCs w:val="0"/>
          <w:caps w:val="0"/>
          <w:color w:val="2F2F2F"/>
          <w:spacing w:val="0"/>
          <w:kern w:val="0"/>
          <w:sz w:val="20"/>
          <w:szCs w:val="20"/>
          <w:shd w:val="clear" w:fill="FFFFFF"/>
          <w:lang w:val="en-US" w:eastAsia="zh-CN" w:bidi="ar"/>
        </w:rPr>
        <w:t>ACUERDO POR EL QUE SE DA A CONOCER EL FACTOR DE ACTUALIZACIÓN A LOS INGRESOS</w:t>
      </w:r>
      <w:r>
        <w:rPr>
          <w:rFonts w:hint="default" w:ascii="Verdana Regular" w:hAnsi="Verdana Regular" w:eastAsia="Times" w:cs="Verdana Regular"/>
          <w:b/>
          <w:bCs/>
          <w:i w:val="0"/>
          <w:iCs w:val="0"/>
          <w:caps w:val="0"/>
          <w:color w:val="2F2F2F"/>
          <w:spacing w:val="0"/>
          <w:kern w:val="0"/>
          <w:sz w:val="20"/>
          <w:szCs w:val="20"/>
          <w:shd w:val="clear" w:fill="FFFFFF"/>
          <w:lang w:val="en-US" w:eastAsia="zh-CN" w:bidi="ar"/>
        </w:rPr>
        <w:br w:type="textWrapping"/>
      </w:r>
      <w:r>
        <w:rPr>
          <w:rFonts w:hint="default" w:ascii="Verdana Regular" w:hAnsi="Verdana Regular" w:eastAsia="Times" w:cs="Verdana Regular"/>
          <w:b/>
          <w:bCs/>
          <w:i w:val="0"/>
          <w:iCs w:val="0"/>
          <w:caps w:val="0"/>
          <w:color w:val="2F2F2F"/>
          <w:spacing w:val="0"/>
          <w:kern w:val="0"/>
          <w:sz w:val="20"/>
          <w:szCs w:val="20"/>
          <w:shd w:val="clear" w:fill="FFFFFF"/>
          <w:lang w:val="en-US" w:eastAsia="zh-CN" w:bidi="ar"/>
        </w:rPr>
        <w:t>TOTALES ANUALES DE UNA SOCIEDAD POR ACCIONES SIMPLIFICADA CONFORME A LO</w:t>
      </w:r>
      <w:r>
        <w:rPr>
          <w:rFonts w:hint="default" w:ascii="Verdana Regular" w:hAnsi="Verdana Regular" w:eastAsia="Times" w:cs="Verdana Regular"/>
          <w:b/>
          <w:bCs/>
          <w:i w:val="0"/>
          <w:iCs w:val="0"/>
          <w:caps w:val="0"/>
          <w:color w:val="2F2F2F"/>
          <w:spacing w:val="0"/>
          <w:kern w:val="0"/>
          <w:sz w:val="20"/>
          <w:szCs w:val="20"/>
          <w:shd w:val="clear" w:fill="FFFFFF"/>
          <w:lang w:val="en-US" w:eastAsia="zh-CN" w:bidi="ar"/>
        </w:rPr>
        <w:br w:type="textWrapping"/>
      </w:r>
      <w:r>
        <w:rPr>
          <w:rFonts w:hint="default" w:ascii="Verdana Regular" w:hAnsi="Verdana Regular" w:eastAsia="Times" w:cs="Verdana Regular"/>
          <w:b/>
          <w:bCs/>
          <w:i w:val="0"/>
          <w:iCs w:val="0"/>
          <w:caps w:val="0"/>
          <w:color w:val="2F2F2F"/>
          <w:spacing w:val="0"/>
          <w:kern w:val="0"/>
          <w:sz w:val="20"/>
          <w:szCs w:val="20"/>
          <w:shd w:val="clear" w:fill="FFFFFF"/>
          <w:lang w:val="en-US" w:eastAsia="zh-CN" w:bidi="ar"/>
        </w:rPr>
        <w:t>DISPUESTO EN EL ARTÍCULO 260 DE LA LEY GENERAL DE SOCIEDADES MERCANTILES</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PRIMERO.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El factor de actualización a los ingresos totales anuales de una sociedad por acciones simplificada corresponde a 1.0780.</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SEGUNDO.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Para efectos de lo dispuesto en el segundo párrafo del artículo 260 de la Ley General de Sociedades Mercantiles, los ingresos totales anuales de una sociedad por acciones simplificada no podrán rebasar de </w:t>
      </w: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$6,783,425.40</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(Seis millones setecientos ochenta y tres mil cuatrocientos veinticinco pesos 40/100 M.N.).</w:t>
      </w:r>
    </w:p>
    <w:p>
      <w:pPr>
        <w:keepNext w:val="0"/>
        <w:keepLines w:val="0"/>
        <w:widowControl/>
        <w:suppressLineNumbers w:val="0"/>
        <w:shd w:val="clear" w:fill="FFFFFF"/>
        <w:spacing w:before="101" w:beforeAutospacing="0" w:after="101" w:afterAutospacing="0"/>
        <w:ind w:left="0" w:firstLine="0"/>
        <w:jc w:val="center"/>
        <w:rPr>
          <w:rFonts w:hint="default" w:ascii="Verdana Regular" w:hAnsi="Verdana Regular" w:eastAsia="Times" w:cs="Verdana Regular"/>
          <w:b/>
          <w:bCs/>
          <w:i w:val="0"/>
          <w:iCs w:val="0"/>
          <w:caps w:val="0"/>
          <w:color w:val="2F2F2F"/>
          <w:spacing w:val="0"/>
          <w:sz w:val="20"/>
          <w:szCs w:val="20"/>
        </w:rPr>
      </w:pPr>
      <w:r>
        <w:rPr>
          <w:rFonts w:hint="default" w:ascii="Verdana Regular" w:hAnsi="Verdana Regular" w:eastAsia="Times" w:cs="Verdana Regular"/>
          <w:b/>
          <w:bCs/>
          <w:i w:val="0"/>
          <w:iCs w:val="0"/>
          <w:caps w:val="0"/>
          <w:color w:val="2F2F2F"/>
          <w:spacing w:val="0"/>
          <w:kern w:val="0"/>
          <w:sz w:val="20"/>
          <w:szCs w:val="20"/>
          <w:shd w:val="clear" w:fill="FFFFFF"/>
          <w:lang w:val="en-US" w:eastAsia="zh-CN" w:bidi="ar"/>
        </w:rPr>
        <w:t>TRANSITORIO</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ÚNICO.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El presente Acuerdo entrará en vigor el 1 de enero de 2023.</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Ciudad de México, a 19 de diciembre de 2022.- La Secretaria de Economía, </w:t>
      </w: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Raquel Buenrostro Sánchez</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Rúbrica.</w:t>
      </w:r>
    </w:p>
    <w:p>
      <w:pPr>
        <w:rPr>
          <w:rFonts w:hint="default" w:ascii="Verdana Regular" w:hAnsi="Verdana Regular" w:cs="Verdana Regular"/>
          <w:sz w:val="20"/>
          <w:szCs w:val="20"/>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黑体">
    <w:altName w:val="黑体-简"/>
    <w:panose1 w:val="02010609060101010101"/>
    <w:charset w:val="00"/>
    <w:family w:val="modern"/>
    <w:pitch w:val="default"/>
    <w:sig w:usb0="800002BF" w:usb1="38CF7CFA" w:usb2="00000016" w:usb3="00000000" w:csb0="00040001" w:csb1="00000000"/>
  </w:font>
  <w:font w:name="黑体-简">
    <w:panose1 w:val="02000000000000000000"/>
    <w:charset w:val="86"/>
    <w:family w:val="auto"/>
    <w:pitch w:val="default"/>
    <w:sig w:usb0="00000000" w:usb1="00000000" w:usb2="00000000" w:usb3="00000000" w:csb0="0016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Roman">
    <w:altName w:val="Helvetica Neue"/>
    <w:panose1 w:val="00000000000000000000"/>
    <w:charset w:val="00"/>
    <w:family w:val="auto"/>
    <w:pitch w:val="default"/>
    <w:sig w:usb0="00000000" w:usb1="00000000" w:usb2="00000000" w:usb3="00000000" w:csb0="00000000" w:csb1="00000000"/>
  </w:font>
  <w:font w:name="Times">
    <w:altName w:val="Helvetica Neue"/>
    <w:panose1 w:val="00000000000000000000"/>
    <w:charset w:val="00"/>
    <w:family w:val="auto"/>
    <w:pitch w:val="default"/>
    <w:sig w:usb0="00000000" w:usb1="00000000" w:usb2="00000000" w:usb3="00000000" w:csb0="00000000" w:csb1="00000000"/>
  </w:font>
  <w:font w:name="Verdana Regular">
    <w:panose1 w:val="020B060403050404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598602"/>
    <w:rsid w:val="6D5F73CC"/>
    <w:rsid w:val="FB598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Office_4.4.1.7618_F1E327BC-269C-435d-A152-05C5408002CA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2022-12-27T08:43:00Z</dcterms:created>
  <dc:creator>Allan Morgan Hernández</dc:creator>
  <cp:lastModifiedBy>Allan Morgan Hernández</cp:lastModifiedBy>
  <dcterms:modified xsi:type="dcterms:W3CDTF">2022-12-27T08:45:41Z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3082-4.4.1.7618</vt:lpwstr>
  </property>
</Properties>
</file>