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fot2ntn179gt"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San Luis Potosí</w:t>
        <w:br w:type="textWrapping"/>
        <w:t xml:space="preserve">(DOF 27 de septiembre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SAN LUIS POTOSÍ, EN ADELANTE EL "GOBIERNO DEL ESTADO", REPRESENTADO POR EL LIC. JOSÉ RICARDO GALLARDO CARDONA, GOBERNADOR CONSTITUCIONAL DEL ESTADO DE SAN LUIS POTOSÍ, ASISTIDO POR J. GUADALUPE TORRES SÁNCHEZ, SECRETARIO GENERAL DE GOBIERNO; NÉSTOR EDUARDO GARZA ALVAREZ, SECRETARIO DEL TRABAJO Y PREVISIÓN SOCIAL; JESÚS SALVADOR GONZÁLEZ MARTÍNEZ, SECRETARIO DE FINANZAS, Y SERGIO ARTURO AGUIÑAGA MUÑIZ, CONTRALOR GENERAL DEL ESTADO;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los Buscadores de Trabajo hacia las vacantes ofertadas por los Empleadores, con base en su formación y aptitudes.</w:t>
      </w:r>
    </w:p>
    <w:p w:rsidR="00000000" w:rsidDel="00000000" w:rsidP="00000000" w:rsidRDefault="00000000" w:rsidRPr="00000000" w14:paraId="0000001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El Estado de San Luis Potosí, es una Entidad Libre y Soberana que forma parte integrante de la Federación, de conformidad con lo establecido en los artículos 40, 42 y 43, de la Constitución Política de los Estados Unidos Mexicanos y el 2° y 3°, de la Constitución Política del Estado de San Luis Potosí.</w:t>
      </w:r>
    </w:p>
    <w:p w:rsidR="00000000" w:rsidDel="00000000" w:rsidP="00000000" w:rsidRDefault="00000000" w:rsidRPr="00000000" w14:paraId="0000001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José Ricardo Gallardo Cardona, Gobernador Constitucional del Estado de San Luis Potosí, está facultado legalmente para celebrar el presente </w:t>
      </w:r>
      <w:r w:rsidDel="00000000" w:rsidR="00000000" w:rsidRPr="00000000">
        <w:rPr>
          <w:rFonts w:ascii="Verdana" w:cs="Verdana" w:eastAsia="Verdana" w:hAnsi="Verdana"/>
          <w:i w:val="1"/>
          <w:color w:val="2f2f2f"/>
          <w:sz w:val="20"/>
          <w:szCs w:val="20"/>
          <w:rtl w:val="0"/>
        </w:rPr>
        <w:t xml:space="preserve">Convenio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de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Coordinación</w:t>
      </w:r>
      <w:r w:rsidDel="00000000" w:rsidR="00000000" w:rsidRPr="00000000">
        <w:rPr>
          <w:rFonts w:ascii="Verdana" w:cs="Verdana" w:eastAsia="Verdana" w:hAnsi="Verdana"/>
          <w:color w:val="2f2f2f"/>
          <w:sz w:val="20"/>
          <w:szCs w:val="20"/>
          <w:rtl w:val="0"/>
        </w:rPr>
        <w:t xml:space="preserve">, con fundamento en los artículos 72 y 80, fracciones XVII y XXIX, de la Constitución Política del Estado Libre y Soberano de San Luis Potosí; en relación con los artículos 2°, 12, 13, 21 y 25, de la Ley Orgánica de la Administración Pública del Estado de San Luis Potosí; asimismo, acredita su personalidad, de conformidad con lo establecido en la Declaratoria de Validez de la Elección de Gobernador Constitucional del Estado, para el periodo del 26 de septiembre de 2021, al 25 de septiembre de 2027, emitida por el Consejo Estatal Electoral y de Participación Ciudadana de San Luis Potosí y publicada en el Periódico Oficial del Estado, el pasado 23 de septiembre de 2021.</w:t>
      </w:r>
    </w:p>
    <w:p w:rsidR="00000000" w:rsidDel="00000000" w:rsidP="00000000" w:rsidRDefault="00000000" w:rsidRPr="00000000" w14:paraId="0000001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J. Guadalupe Torres Sánchez, Secretario General de Gobierno, tiene intervención en suscribir el presente </w:t>
      </w:r>
      <w:r w:rsidDel="00000000" w:rsidR="00000000" w:rsidRPr="00000000">
        <w:rPr>
          <w:rFonts w:ascii="Verdana" w:cs="Verdana" w:eastAsia="Verdana" w:hAnsi="Verdana"/>
          <w:i w:val="1"/>
          <w:color w:val="2f2f2f"/>
          <w:sz w:val="20"/>
          <w:szCs w:val="20"/>
          <w:rtl w:val="0"/>
        </w:rPr>
        <w:t xml:space="preserve">Convenio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de Coordinación</w:t>
      </w:r>
      <w:r w:rsidDel="00000000" w:rsidR="00000000" w:rsidRPr="00000000">
        <w:rPr>
          <w:rFonts w:ascii="Verdana" w:cs="Verdana" w:eastAsia="Verdana" w:hAnsi="Verdana"/>
          <w:color w:val="2f2f2f"/>
          <w:sz w:val="20"/>
          <w:szCs w:val="20"/>
          <w:rtl w:val="0"/>
        </w:rPr>
        <w:t xml:space="preserve">, de conformidad con lo dispuesto en los artículos 83 y 84, de la Constitución Política del Estado Libre y Soberano de San Luis Potosí; 3°, fracción I, inciso a), 13, 21, 25, 31, fracción I, y 32, de la Ley Orgánica de la Administración Pública del Estado de San Luis Potosí; y acredita la personalidad con el nombramiento para ejercer dicho cargo, expedido a su favor por el Gobernador Constitucional del Estado, de fecha 26 de septiembre de 2021.</w:t>
      </w:r>
    </w:p>
    <w:p w:rsidR="00000000" w:rsidDel="00000000" w:rsidP="00000000" w:rsidRDefault="00000000" w:rsidRPr="00000000" w14:paraId="0000001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Néstor Eduardo Garza Alvarez, Secretario del Trabajo y Previsión Social, tiene intervención en suscribir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lo dispuesto en los artículos 83 y 84, de la Constitución Política del Estado Libre y Soberano de San Luis Potosí; 3°, fracción I, inciso a), 13, 21, 25, 31, fracción XI, y 40 TER., de la Ley Orgánica de la Administración Pública del Estado de San Luis Potosí; y acredita la personalidad con el nombramiento para ejercer dicho cargo, expedido a su favor por el Gobernador Constitucional del Estado, de fecha 26 de septiembre de 2021.</w:t>
      </w:r>
    </w:p>
    <w:p w:rsidR="00000000" w:rsidDel="00000000" w:rsidP="00000000" w:rsidRDefault="00000000" w:rsidRPr="00000000" w14:paraId="0000001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Jesús Salvador González Martínez, Secretario de Finanzas, tiene intervención en suscribir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lo dispuesto en los artículos 83 y 84, de la Constitución Política del Estado Libre y Soberano de San Luis Potosí; 3°, fracción I, inciso a), 13, 21, 25, 31, fracción II, y 33, de la Ley Orgánica de la Administración Pública del Estado de San Luis Potosí; y acredita la personalidad con el nombramiento para ejercer dicho cargo, expedido a su favor por el Gobernador Constitucional del Estado, de fecha 26 de septiembre de 2021.</w:t>
      </w:r>
    </w:p>
    <w:p w:rsidR="00000000" w:rsidDel="00000000" w:rsidP="00000000" w:rsidRDefault="00000000" w:rsidRPr="00000000" w14:paraId="0000001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II.6.</w:t>
      </w:r>
      <w:r w:rsidDel="00000000" w:rsidR="00000000" w:rsidRPr="00000000">
        <w:rPr>
          <w:rFonts w:ascii="Verdana" w:cs="Verdana" w:eastAsia="Verdana" w:hAnsi="Verdana"/>
          <w:color w:val="2f2f2f"/>
          <w:sz w:val="20"/>
          <w:szCs w:val="20"/>
          <w:rtl w:val="0"/>
        </w:rPr>
        <w:t xml:space="preserve">   Sergio Arturo Aguiñaga Muñiz, Contralor General del Estado, tiene intervención en suscribir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lo dispuesto en los artículos 83 y 84, de la Constitución Política del Estado Libre y Soberano de San Luis Potosí; 3°, fracción I, inciso d), 13, 21, 25, 31, fracción XVI, y 44, de la Ley Orgánica de la Administración Pública del Estado de San Luis Potosí; y acredita la personalidad con el nombramiento para ejercer dicho cargo, expedido a su favor por el Gobernador Constitucional del Estado, de fecha 01 de septiembre de 2022.</w:t>
      </w:r>
    </w:p>
    <w:p w:rsidR="00000000" w:rsidDel="00000000" w:rsidP="00000000" w:rsidRDefault="00000000" w:rsidRPr="00000000" w14:paraId="0000001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II.7.</w:t>
      </w:r>
      <w:r w:rsidDel="00000000" w:rsidR="00000000" w:rsidRPr="00000000">
        <w:rPr>
          <w:rFonts w:ascii="Verdana" w:cs="Verdana" w:eastAsia="Verdana" w:hAnsi="Verdana"/>
          <w:color w:val="2f2f2f"/>
          <w:sz w:val="20"/>
          <w:szCs w:val="20"/>
          <w:rtl w:val="0"/>
        </w:rPr>
        <w:t xml:space="preserve">   La operación del Servicio Nacional de Empleo del Estado de San Luis Potosí corresponde a la Secretaría del Trabajo y Previsión Social, por conducto de la Dirección del Servicio Nacional de Empleo San Luis Potosí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conformidad con lo establecido en el artículo 10, del Reglamento Interior de la Secretaría del Trabajo y Previsión Social.</w:t>
      </w:r>
    </w:p>
    <w:p w:rsidR="00000000" w:rsidDel="00000000" w:rsidP="00000000" w:rsidRDefault="00000000" w:rsidRPr="00000000" w14:paraId="0000002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II.8.</w:t>
      </w:r>
      <w:r w:rsidDel="00000000" w:rsidR="00000000" w:rsidRPr="00000000">
        <w:rPr>
          <w:rFonts w:ascii="Verdana" w:cs="Verdana" w:eastAsia="Verdana" w:hAnsi="Verdana"/>
          <w:color w:val="2f2f2f"/>
          <w:sz w:val="20"/>
          <w:szCs w:val="20"/>
          <w:rtl w:val="0"/>
        </w:rPr>
        <w:t xml:space="preserve">   Para efectos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señala como domicilio el ubicado en Manuel J. Clouthier, Número 263-A, Local Z05, Segundo Piso, Plaza Comercial Tangamanga, del Fraccionamiento Tangamanga, C.P. 78260, en la Ciudad de San Luis Potosí, S.L.P.</w:t>
      </w:r>
    </w:p>
    <w:p w:rsidR="00000000" w:rsidDel="00000000" w:rsidP="00000000" w:rsidRDefault="00000000" w:rsidRPr="00000000" w14:paraId="00000021">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2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 </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20"/>
          <w:szCs w:val="20"/>
          <w:rtl w:val="0"/>
        </w:rPr>
        <w:t xml:space="preserve">cursivas</w:t>
      </w:r>
      <w:r w:rsidDel="00000000" w:rsidR="00000000" w:rsidRPr="00000000">
        <w:rPr>
          <w:rFonts w:ascii="Verdana" w:cs="Verdana" w:eastAsia="Verdana" w:hAnsi="Verdana"/>
          <w:color w:val="2f2f2f"/>
          <w:sz w:val="20"/>
          <w:szCs w:val="20"/>
          <w:rtl w:val="0"/>
        </w:rPr>
        <w:t xml:space="preserve">, para mejor referencia y comprensión de lo que establece el presente instrumento.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San Luis Potosí.</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 </w:t>
      </w:r>
      <w:r w:rsidDel="00000000" w:rsidR="00000000" w:rsidRPr="00000000">
        <w:rPr>
          <w:rFonts w:ascii="Verdana" w:cs="Verdana" w:eastAsia="Verdana" w:hAnsi="Verdana"/>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proporcionar información relativa a su funcionamiento.</w:t>
      </w:r>
    </w:p>
    <w:p w:rsidR="00000000" w:rsidDel="00000000" w:rsidP="00000000" w:rsidRDefault="00000000" w:rsidRPr="00000000" w14:paraId="0000002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los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2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3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3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adscritos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4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4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San Luis Potosí"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4">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 servidor público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5">
      <w:pPr>
        <w:shd w:fill="ffffff" w:val="clear"/>
        <w:spacing w:after="100" w:lineRule="auto"/>
        <w:ind w:left="1680" w:hanging="440"/>
        <w:jc w:val="both"/>
        <w:rPr>
          <w:rFonts w:ascii="Verdana" w:cs="Verdana" w:eastAsia="Verdana" w:hAnsi="Verdana"/>
          <w:color w:val="0000f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del Titular de la dependencia o secretaría estatal a la cual se encuentre adscrita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0000ff"/>
          <w:sz w:val="20"/>
          <w:szCs w:val="20"/>
          <w:rtl w:val="0"/>
        </w:rPr>
        <w:t xml:space="preserve">.</w:t>
      </w:r>
    </w:p>
    <w:p w:rsidR="00000000" w:rsidDel="00000000" w:rsidP="00000000" w:rsidRDefault="00000000" w:rsidRPr="00000000" w14:paraId="0000004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7">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tipo de contrato y condiciones serán establecidos por el "GOBIERNO DEL ESTADO" y las obligaciones que se deriven de esta relación serán responsabilidad de éste.</w:t>
      </w:r>
    </w:p>
    <w:p w:rsidR="00000000" w:rsidDel="00000000" w:rsidP="00000000" w:rsidRDefault="00000000" w:rsidRPr="00000000" w14:paraId="00000048">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9">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A">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B">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1">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5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4">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w:t>
      </w:r>
    </w:p>
    <w:p w:rsidR="00000000" w:rsidDel="00000000" w:rsidP="00000000" w:rsidRDefault="00000000" w:rsidRPr="00000000" w14:paraId="00000055">
      <w:pPr>
        <w:shd w:fill="ffffff" w:val="clear"/>
        <w:spacing w:after="100" w:lineRule="auto"/>
        <w:ind w:left="12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como, atender las acciones de fiscalización que lleven a cabo las instancias facultadas para ello.</w:t>
      </w:r>
    </w:p>
    <w:p w:rsidR="00000000" w:rsidDel="00000000" w:rsidP="00000000" w:rsidRDefault="00000000" w:rsidRPr="00000000" w14:paraId="00000056">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7">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8">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9">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A">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USNE y asegurarse que sea fidedigna.</w:t>
      </w:r>
    </w:p>
    <w:p w:rsidR="00000000" w:rsidDel="00000000" w:rsidP="00000000" w:rsidRDefault="00000000" w:rsidRPr="00000000" w14:paraId="0000005B">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C">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D">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E">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F">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5">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$5'384,280.00 (CINCO MILLONES TRESCIENTOS OCHENTA Y CUATRO MIL DOSCIENTOS OCHENTA PESOS 00/100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2023 por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para la disposición y el ejercicio de los recursos.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consignados en la presente cláusula serán ministrados a la cuenta concentradora,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presenten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características de la estructura de cuentas se detallan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RECURSOS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E">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DURANTE EL EJERCICIO PRESUPUESTARIO</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$45'071,412.00 (CUARENTA Y CINCO MILLONES SETENTA Y UN MIL CUATROCIENTOS DOCE PESOS 00/100 M.N.), para el funcionamiento y administración de la</w:t>
      </w:r>
    </w:p>
    <w:p w:rsidR="00000000" w:rsidDel="00000000" w:rsidP="00000000" w:rsidRDefault="00000000" w:rsidRPr="00000000" w14:paraId="00000073">
      <w:pPr>
        <w:shd w:fill="ffffff" w:val="clear"/>
        <w:spacing w:after="100" w:lineRule="auto"/>
        <w:ind w:left="800" w:firstLine="0"/>
        <w:jc w:val="both"/>
        <w:rPr>
          <w:rFonts w:ascii="Verdana" w:cs="Verdana" w:eastAsia="Verdana" w:hAnsi="Verdana"/>
          <w:color w:val="2f2f2f"/>
          <w:sz w:val="20"/>
          <w:szCs w:val="20"/>
        </w:rPr>
      </w:pP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4">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LOS RECURSOS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6">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COMPROBACIÓN DE EROGACIONES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8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84 y 85, de la Ley de Transparencia y Acceso a la Información Pública del Estado de San Luis Potosí.</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138 a 142, de la Ley de Transparencia y Acceso a la Información Pública del Estado de San Luis Potosí.</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16 de mayo de 2022, que fue publicado en el Diario Oficial de la Federación el 18 de octubre del mismo año y en el Periódico Oficial del Estado de San Luis Potosí el 08 de noviembre de 2022.</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los artículos 4°, 5°, 9° y demás correlativos, de la Ley del Periodico Oficial del Estado de San Luis Potosí, también deberá ser publicado en el Periódico Oficial del "GOBIERNO DEL ESTADO".</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Convenio de Coordinación, lo firman de conformidad en seis tantos, a los 28 días del mes de febrero de 2023.- Por la Secretaría: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Subsecretario de Empleo y Productividad Laboral,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Marco Antonio Hernández Martínez</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Rodrigo Ramírez Quintana</w:t>
      </w:r>
      <w:r w:rsidDel="00000000" w:rsidR="00000000" w:rsidRPr="00000000">
        <w:rPr>
          <w:rFonts w:ascii="Verdana" w:cs="Verdana" w:eastAsia="Verdana" w:hAnsi="Verdana"/>
          <w:color w:val="2f2f2f"/>
          <w:sz w:val="20"/>
          <w:szCs w:val="20"/>
          <w:rtl w:val="0"/>
        </w:rPr>
        <w:t xml:space="preserve">.- Rúbrica.- Por el Gobierno del Estado: Gobernador Constitucional del Estado de San Luis Potosí, </w:t>
      </w:r>
      <w:r w:rsidDel="00000000" w:rsidR="00000000" w:rsidRPr="00000000">
        <w:rPr>
          <w:rFonts w:ascii="Verdana" w:cs="Verdana" w:eastAsia="Verdana" w:hAnsi="Verdana"/>
          <w:b w:val="1"/>
          <w:color w:val="2f2f2f"/>
          <w:sz w:val="20"/>
          <w:szCs w:val="20"/>
          <w:rtl w:val="0"/>
        </w:rPr>
        <w:t xml:space="preserve">José Ricardo Gallardo Cardona</w:t>
      </w:r>
      <w:r w:rsidDel="00000000" w:rsidR="00000000" w:rsidRPr="00000000">
        <w:rPr>
          <w:rFonts w:ascii="Verdana" w:cs="Verdana" w:eastAsia="Verdana" w:hAnsi="Verdana"/>
          <w:color w:val="2f2f2f"/>
          <w:sz w:val="20"/>
          <w:szCs w:val="20"/>
          <w:rtl w:val="0"/>
        </w:rPr>
        <w:t xml:space="preserve">.- Rúbrica.- Secretario General de Gobierno, </w:t>
      </w:r>
      <w:r w:rsidDel="00000000" w:rsidR="00000000" w:rsidRPr="00000000">
        <w:rPr>
          <w:rFonts w:ascii="Verdana" w:cs="Verdana" w:eastAsia="Verdana" w:hAnsi="Verdana"/>
          <w:b w:val="1"/>
          <w:color w:val="2f2f2f"/>
          <w:sz w:val="20"/>
          <w:szCs w:val="20"/>
          <w:rtl w:val="0"/>
        </w:rPr>
        <w:t xml:space="preserve">J. Guadalupe Torres Sánchez</w:t>
      </w:r>
      <w:r w:rsidDel="00000000" w:rsidR="00000000" w:rsidRPr="00000000">
        <w:rPr>
          <w:rFonts w:ascii="Verdana" w:cs="Verdana" w:eastAsia="Verdana" w:hAnsi="Verdana"/>
          <w:color w:val="2f2f2f"/>
          <w:sz w:val="20"/>
          <w:szCs w:val="20"/>
          <w:rtl w:val="0"/>
        </w:rPr>
        <w:t xml:space="preserve">.- Rúbrica.- Secretario del Trabajo y Previsión Social, </w:t>
      </w:r>
      <w:r w:rsidDel="00000000" w:rsidR="00000000" w:rsidRPr="00000000">
        <w:rPr>
          <w:rFonts w:ascii="Verdana" w:cs="Verdana" w:eastAsia="Verdana" w:hAnsi="Verdana"/>
          <w:b w:val="1"/>
          <w:color w:val="2f2f2f"/>
          <w:sz w:val="20"/>
          <w:szCs w:val="20"/>
          <w:rtl w:val="0"/>
        </w:rPr>
        <w:t xml:space="preserve">Néstor Eduardo Garza Alvarez</w:t>
      </w:r>
      <w:r w:rsidDel="00000000" w:rsidR="00000000" w:rsidRPr="00000000">
        <w:rPr>
          <w:rFonts w:ascii="Verdana" w:cs="Verdana" w:eastAsia="Verdana" w:hAnsi="Verdana"/>
          <w:color w:val="2f2f2f"/>
          <w:sz w:val="20"/>
          <w:szCs w:val="20"/>
          <w:rtl w:val="0"/>
        </w:rPr>
        <w:t xml:space="preserve">.- Rúbrica.- Secretario de Finanzas, </w:t>
      </w:r>
      <w:r w:rsidDel="00000000" w:rsidR="00000000" w:rsidRPr="00000000">
        <w:rPr>
          <w:rFonts w:ascii="Verdana" w:cs="Verdana" w:eastAsia="Verdana" w:hAnsi="Verdana"/>
          <w:b w:val="1"/>
          <w:color w:val="2f2f2f"/>
          <w:sz w:val="20"/>
          <w:szCs w:val="20"/>
          <w:rtl w:val="0"/>
        </w:rPr>
        <w:t xml:space="preserve">Jesús Salvador González Martínez</w:t>
      </w:r>
      <w:r w:rsidDel="00000000" w:rsidR="00000000" w:rsidRPr="00000000">
        <w:rPr>
          <w:rFonts w:ascii="Verdana" w:cs="Verdana" w:eastAsia="Verdana" w:hAnsi="Verdana"/>
          <w:color w:val="2f2f2f"/>
          <w:sz w:val="20"/>
          <w:szCs w:val="20"/>
          <w:rtl w:val="0"/>
        </w:rPr>
        <w:t xml:space="preserve">.- Rúbrica.- Contralor General del Estado, </w:t>
      </w:r>
      <w:r w:rsidDel="00000000" w:rsidR="00000000" w:rsidRPr="00000000">
        <w:rPr>
          <w:rFonts w:ascii="Verdana" w:cs="Verdana" w:eastAsia="Verdana" w:hAnsi="Verdana"/>
          <w:b w:val="1"/>
          <w:color w:val="2f2f2f"/>
          <w:sz w:val="20"/>
          <w:szCs w:val="20"/>
          <w:rtl w:val="0"/>
        </w:rPr>
        <w:t xml:space="preserve">Sergio Arturo Aguiñaga Muñiz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1">
      <w:pPr>
        <w:shd w:fill="ffffff" w:val="clear"/>
        <w:spacing w:after="100" w:lineRule="auto"/>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2">
      <w:pPr>
        <w:shd w:fill="ffffff" w:val="clear"/>
        <w:spacing w:after="10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