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63gwvsx2iopk" w:id="0"/>
      <w:bookmarkEnd w:id="0"/>
      <w:r w:rsidDel="00000000" w:rsidR="00000000" w:rsidRPr="00000000">
        <w:rPr>
          <w:rFonts w:ascii="Verdana" w:cs="Verdana" w:eastAsia="Verdana" w:hAnsi="Verdana"/>
          <w:b w:val="1"/>
          <w:color w:val="4a86e8"/>
          <w:sz w:val="20"/>
          <w:szCs w:val="20"/>
          <w:rtl w:val="0"/>
        </w:rPr>
        <w:t xml:space="preserve">Acuerdo por el cual se dan a conocer los montos de los estímulos fiscales aplicables a la enajenación de gasolinas en la región fronteriza con Guatemala, correspondientes al periodo que se especifica</w:t>
        <w:br w:type="textWrapping"/>
        <w:t xml:space="preserve">(DOF 29 de diciembre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d9sbgpl7k52y"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184/2023</w:t>
      </w:r>
    </w:p>
    <w:p w:rsidR="00000000" w:rsidDel="00000000" w:rsidP="00000000" w:rsidRDefault="00000000" w:rsidRPr="00000000" w14:paraId="0000000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cual se dan a conocer los montos de los estímulos fiscales aplicables a la enajenación</w:t>
      </w:r>
    </w:p>
    <w:p w:rsidR="00000000" w:rsidDel="00000000" w:rsidP="00000000" w:rsidRDefault="00000000" w:rsidRPr="00000000" w14:paraId="0000000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gasolinas en la región fronteriza con Guatemala, correspondientes al periodo que se especifica.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01 al 05 de enero de 2024.</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9">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B">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Calakmul y Candelaria del Estado de Campeche</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1.880</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2.105</w:t>
            </w:r>
          </w:p>
        </w:tc>
      </w:tr>
    </w:tbl>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6">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Balancán y Tenosique del Estado de Tabasco</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1.312</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1.379</w:t>
            </w:r>
          </w:p>
        </w:tc>
      </w:tr>
    </w:tbl>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III</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Ocosingo y Palenque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1.716</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1.745</w:t>
            </w:r>
          </w:p>
        </w:tc>
      </w:tr>
    </w:tbl>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IV</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Marqués de Comillas y Benemérito de las Américas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1.836</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1.904</w:t>
            </w:r>
          </w:p>
        </w:tc>
      </w:tr>
    </w:tbl>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w:t>
            </w:r>
          </w:p>
        </w:tc>
      </w:tr>
      <w:tr>
        <w:trPr>
          <w:cantSplit w:val="0"/>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Amatenango de la Frontera, Frontera Comalapa, La Trinitaria, Maravilla Tenejapa y Las Margaritas</w:t>
            </w:r>
          </w:p>
          <w:p w:rsidR="00000000" w:rsidDel="00000000" w:rsidP="00000000" w:rsidRDefault="00000000" w:rsidRPr="00000000" w14:paraId="00000038">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C">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2.549</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2.306</w:t>
            </w:r>
          </w:p>
        </w:tc>
      </w:tr>
    </w:tbl>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VI</w:t>
            </w:r>
          </w:p>
        </w:tc>
      </w:tr>
      <w:tr>
        <w:trPr>
          <w:cantSplit w:val="0"/>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Suchiate, Frontera Hidalgo, Metapa, Tuxtla Chico, Unión Juárez, Cacahoatán, Tapachula, Motozintla</w:t>
            </w:r>
          </w:p>
          <w:p w:rsidR="00000000" w:rsidDel="00000000" w:rsidP="00000000" w:rsidRDefault="00000000" w:rsidRPr="00000000" w14:paraId="00000044">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 Mazapa de Madero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1.504</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1.167</w:t>
            </w:r>
          </w:p>
        </w:tc>
      </w:tr>
    </w:tbl>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1 de enero de 2024.</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28 de diciembre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Del="00000000" w:rsidR="00000000" w:rsidRPr="00000000">
        <w:rPr>
          <w:rFonts w:ascii="Verdana" w:cs="Verdana" w:eastAsia="Verdana" w:hAnsi="Verdana"/>
          <w:b w:val="1"/>
          <w:color w:val="2f2f2f"/>
          <w:sz w:val="20"/>
          <w:szCs w:val="20"/>
          <w:rtl w:val="0"/>
        </w:rPr>
        <w:t xml:space="preserve">Adán Enrique García Ramos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0">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