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y ACT-PUB/19/08/2020.04, en el sentido de ampliar sus efectos al 2 de septiembre del año en curso inclusive.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ACT-PUB/26/08/2020.08</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Y ACT-PUB/19/08/2020.04, EN EL SENTIDO DE AMPLIAR SUS EFECTOS AL 02 DE SEPTIEMBRE DEL AÑO EN CURSO INCLUSIVE.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6o.,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para garantizar los derechos humanos de acceso a la información pública y de protección de los datos personales ante la emergencia sanitaria generada por el COVID-19, el Pleno de este Instituto emitió el Acuerdo ACT-PUB/30/04/2020.02, en el que determinó dejar sin efectos la suspensión de plazos y términos dictada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b w:val="1"/>
          <w:color w:val="2f2f2f"/>
          <w:sz w:val="18"/>
          <w:szCs w:val="18"/>
          <w:rtl w:val="0"/>
        </w:rPr>
        <w:t xml:space="preserve">realizan actividades esenciales en términos de los acuerdos supra indicados</w:t>
      </w:r>
      <w:r w:rsidDel="00000000" w:rsidR="00000000" w:rsidRPr="00000000">
        <w:rPr>
          <w:color w:val="2f2f2f"/>
          <w:sz w:val="18"/>
          <w:szCs w:val="18"/>
          <w:rtl w:val="0"/>
        </w:rPr>
        <w:t xml:space="preserve">, emitidos por la Secretaría de Salud; así como, en los procedimientos que se les instruyen en este Organismo Garante Nacional.</w:t>
      </w:r>
    </w:p>
    <w:p w:rsidR="00000000" w:rsidDel="00000000" w:rsidP="00000000" w:rsidRDefault="00000000" w:rsidRPr="00000000" w14:paraId="0000000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mayo de 2020, se publicó en el Diario Oficial de la Federación, el </w:t>
      </w:r>
      <w:r w:rsidDel="00000000" w:rsidR="00000000" w:rsidRPr="00000000">
        <w:rPr>
          <w:i w:val="1"/>
          <w:color w:val="2f2f2f"/>
          <w:sz w:val="18"/>
          <w:szCs w:val="18"/>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r w:rsidDel="00000000" w:rsidR="00000000" w:rsidRPr="00000000">
        <w:rPr>
          <w:color w:val="2f2f2f"/>
          <w:sz w:val="18"/>
          <w:szCs w:val="18"/>
          <w:rtl w:val="0"/>
        </w:rPr>
        <w:t xml:space="preserve">; emitido por la Secretaría de Salud.</w:t>
      </w:r>
    </w:p>
    <w:p w:rsidR="00000000" w:rsidDel="00000000" w:rsidP="00000000" w:rsidRDefault="00000000" w:rsidRPr="00000000" w14:paraId="000000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20 de mayo del año en curso, la Jefa de Gobierno de la Ciudad de México, dio a conocer el Plan Gradual hacia la Nueva Normalidad, en el que se contempló que dicha entidad se encontraba en semáforo rojo, colorimetría que representa una ocupación hospitalaria mayor al 65% o dos semanas de incremento estable.</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27 de mayo de este año, el Pleno de este Instituto emitió el Acuerdo mediante el cual se modifican y adicionan los diversos ACT-EXT-PUB/20/03/2020.02, ACT-EXT-PUB/20/03/2020.04,</w:t>
      </w:r>
    </w:p>
    <w:p w:rsidR="00000000" w:rsidDel="00000000" w:rsidP="00000000" w:rsidRDefault="00000000" w:rsidRPr="00000000" w14:paraId="0000000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ACT-PUB/15/04/2020.02, ACT-PUB/30/04/2020.02, en el sentido de ampliar sus efectos al 15 de junio del año en curso inclusive.</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29 de mayo de 2020, se publicó en el Diario oficial de la Federación, el </w:t>
      </w:r>
      <w:r w:rsidDel="00000000" w:rsidR="00000000" w:rsidRPr="00000000">
        <w:rPr>
          <w:i w:val="1"/>
          <w:color w:val="2f2f2f"/>
          <w:sz w:val="18"/>
          <w:szCs w:val="18"/>
          <w:rtl w:val="0"/>
        </w:rPr>
        <w:t xml:space="preserve">ACUERDO por el que se establecen los Lineamientos Técnicos Específicos para la Reapertura de las Actividades Económicas</w:t>
      </w:r>
      <w:r w:rsidDel="00000000" w:rsidR="00000000" w:rsidRPr="00000000">
        <w:rPr>
          <w:color w:val="2f2f2f"/>
          <w:sz w:val="18"/>
          <w:szCs w:val="18"/>
          <w:rtl w:val="0"/>
        </w:rPr>
        <w:t xml:space="preserve">, en el que se establece que 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29 de mayo del año en curso también se publicó el </w:t>
      </w:r>
      <w:r w:rsidDel="00000000" w:rsidR="00000000" w:rsidRPr="00000000">
        <w:rPr>
          <w:i w:val="1"/>
          <w:color w:val="2f2f2f"/>
          <w:sz w:val="18"/>
          <w:szCs w:val="18"/>
          <w:rtl w:val="0"/>
        </w:rPr>
        <w:t xml:space="preserve">Sexto Acuerdo por el que se establecen los Lineamientos para la Ejecución del Plan Gradual hacia la Nueva Normalidad en la Ciudad de México y se crea el Comité de Monitoreo,</w:t>
      </w:r>
      <w:r w:rsidDel="00000000" w:rsidR="00000000" w:rsidRPr="00000000">
        <w:rPr>
          <w:color w:val="2f2f2f"/>
          <w:sz w:val="18"/>
          <w:szCs w:val="18"/>
          <w:rtl w:val="0"/>
        </w:rPr>
        <w:t xml:space="preserve"> mismo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10 de junio del año en curso, el Pleno de este Instituto emitió el 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19 de junio de año en curso, se publicó en la Gaceta Oficial de la Ciudad de México el tercer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período comprendido del 22 al 28 de junio del presente año, el color del Semáforo permanecería en ROJO hacia una incorporación gradual y ordenada al color NARANJA.</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26 de junio del año en curso se publicó en la Gaceta Oficial de la Ciudad de México el cuarto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periodo comprendido del 29 de junio al 05 de julio del presente año, el color del Semáforo Epidemiológico de la Ciudad de México sería NARANJA.</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30 de junio de la presente anualidad, el Pleno de este Instituto, aprobó el acuerdo mediante el cual se modifican y adicionan los diversos ACT-EXT-PUB/20/03/2020.02, ACT-EXT-PUB/20/03/2020.04, ACT-PUB/15/04/2020.02, ACT-PUB/30/04/2020.02, ACT-PUB/27/05/2020.04 y ACT-PUB/10/06/2020.04 en el sentido de ampliar sus efectos al 15 de julio del año en curso inclusive.</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03 de julio de este año, se publicó en la Gaceta Oficial de la Ciudad de México, el quinto aviso por el que se da a conocer el color del semáforo epidemiológico de la Ciudad de México, en el que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entre otras cosas, que en el período comprendido del 06 de julio al 12 de julio del presente año el color del Semáforo Epidemiológico de la Ciudad de México permanecería en NARANJA.</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julio del año en curso, el Pleno de este Instituto, aprobó el Acuerdo mediante el cual se modifican y adicionan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28 de julio de este año, el Pleno de este Instituto, aprobó el acuerdo mediante el cual se modifican y adicionan los diversos ACT-EXT-PUB/20/03/2020.02, ACT-EXT-PUB/20/03/2020.04,</w:t>
      </w:r>
    </w:p>
    <w:p w:rsidR="00000000" w:rsidDel="00000000" w:rsidP="00000000" w:rsidRDefault="00000000" w:rsidRPr="00000000" w14:paraId="0000001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07 de agosto de 2020 se publicó en la Gaceta Oficial de la Ciudad de México el Décimo Quinto aviso por el que se da a conocer el color del semáforo epidemiológico de la Ciudad de México, así como las medidas de protección a la salud que deberán observarse, en el cual se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que en el período comprendido del 10 al 16 de agosto del presente año, el color del Semáforo Epidemiológico de la Ciudad de México permanecería en NARANJA.</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11 de agosto de este año, el Pleno de este Instituto, aprobó el Acuerdo mediante el cual se modifican y adicionan los diversos ACT-EXT-PUB/20/03/2020.02, ACT-EXT-PUB/20/03/2020.04, ACT-PUB/15/04/2020.02, ACT-PUB/30/04/2020.02, incluyendo los Acuerdos ACT-PUB/27/05/2020.04, ACT-PUB/10/06/2020.04, ACT-PUB/30/06/2020.05, ACT-PUB/14/07/2020.06 y ACT-PUB/28/07/2020.04, en el sentido de ampliar sus efectos al 20 de agosto del año en curso.</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agosto de 2020 se publicó en la Gaceta Oficial de la Ciudad de México el Décimo Sexto aviso por el que se da a conocer el color del semáforo epidemiológico de la Ciudad de México, así como las medidas de protección a la salud que deberán observarse, en el cual se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que en el período comprendido del 17 al 23 de agosto del presente año, el color del Semáforo Epidemiológico de la Ciudad de México permanece en NARANJA.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19 de agosto de este año, el Pleno de este Instituto, aprobó el Acuerdo mediante el cual se modifican y adicionan los diversos ACT-EXT-PUB/20/03/2020.02, ACT-EXT-PUB/20/03/2020.04, ACT-PUB/15/04/2020.02, ACT-PUB/30/04/2020.02, incluyendo los Acuerdos ACT-PUB/27/05/2020.04, ACT-PUB/10/06/2020.04, ACT-PUB/30/06/2020.05, ACT-PUB/14/07/2020.06, ACT-PUB/28/07/2020.04 y ACT-PUB/11/08/2020.06 en el sentido de ampliar sus efectos al 26 de agosto del año en curso.</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21 de agosto de 2020 se publicó en la Gaceta Oficial de la Ciudad de México el Décimo Séptimo aviso por el que se da a conocer el color del semáforo epidemiológico de la Ciudad de México, así como las medidas de protección a la salud que deberán observarse, en el cual se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que en el período comprendido del 24 de al 30 de agosto del presente año, el color del Semáforo Epidemiológico de la Ciudad de México permanece en NARANJA.</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aprueban las modificaciones y adiciones a los diversos ACT-EXT-PUB/20/03/2020.02, ACT-EXT-PUB/20/03/2020.04, ACT-PUB/15/04/2020.02, ACT-PUB/30/04/2020.02, incluyendo los acuerdos ACT-PUB/27/05/2020.04, ACT-PUB/10/06/2020.04, ACT-PUB/30/06/2020.05, ACT-PUB/14/07/2020.06, ACT-PUB/28/07/2020.04, ACT-PUB/11/08/2020.06 y ACT-PUB/19/08/2020.04 en el sentido de ampliar sus efectos al 02 de septiembre del año en curso inclusive.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 dispuesto en el punto de acuerdo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del Acuerdo ACT-PUB/30/04/2020.02 continuará surtiendo sus efectos en los términos ahí precisados, siendo aplicable para la totalidad de los recursos de revisión, y sus medios de presentación.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b w:val="1"/>
          <w:color w:val="2f2f2f"/>
          <w:sz w:val="18"/>
          <w:szCs w:val="18"/>
          <w:rtl w:val="0"/>
        </w:rPr>
        <w:t xml:space="preserve">independientemente de si su actividad laboral se considera esencial</w:t>
      </w:r>
      <w:r w:rsidDel="00000000" w:rsidR="00000000" w:rsidRPr="00000000">
        <w:rPr>
          <w:color w:val="2f2f2f"/>
          <w:sz w:val="18"/>
          <w:szCs w:val="18"/>
          <w:rtl w:val="0"/>
        </w:rPr>
        <w:t xml:space="preserv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ACT-EXT-PUB/20/03/2020.04, ACT-PUB/15/04/2020.02, ACT-PUB/30/04/2020.02, incluyendo los acuerdos de ampliación ACT-PUB/27/05/2020.04, ACT-PUB/10/06/2020.04, ACT-PUB/30/06/2020.05, ACT-PUB/14/07/2020.06, ACT-PUB/28/07/2020.04, ACT-PUB/11/08/2020.06 y ACT-PUB/19/08/2020.04.</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turno de los recursos de revisión interpuestos se efectuará de conformidad con lo previsto en el Acuerdo ACT-PUB/29/01/2020.06 ACUERDO MEDIANTE EL CUAL SE APRUEBA EL PROCEDIMIENTO DE TURNO TEMPORAL DE LOS MEDIOS DE IMPUGNACIÓN COMPETENCIA DEL INSTITUTO, ESTABLECIDOS EN LA LEY GENERAL DE PROTECCIÓN DE DATOS PERSONALES EN POSESIÓN DE SUJETOS OBLIGADOS, LEY GENERAL DE TRANSPARENCIA Y ACCESO A LA INFORMACIÓN PÚBLICA, EN LA LEY FEDERAL DE TRANSPARENCIA Y ACCESO A LA INFORMACIÓN PÚBLICA Y EN LA LEY FEDERAL DE TRANSPARENCIA Y ACCESO A LA INFORMACIÓN PÚBLICA GUBERNAMENTAL.</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certificación del presente Acuerdo, para agilizar su cumplimiento.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veintiséis de agosto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Comisionado Presidente,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Blanca Lilia Ibarra Cadena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La Directora General de Atención al Pleno, </w:t>
      </w:r>
      <w:r w:rsidDel="00000000" w:rsidR="00000000" w:rsidRPr="00000000">
        <w:rPr>
          <w:b w:val="1"/>
          <w:color w:val="2f2f2f"/>
          <w:sz w:val="18"/>
          <w:szCs w:val="18"/>
          <w:rtl w:val="0"/>
        </w:rPr>
        <w:t xml:space="preserve">Evangelina Sales Sánchez</w:t>
      </w:r>
      <w:r w:rsidDel="00000000" w:rsidR="00000000" w:rsidRPr="00000000">
        <w:rPr>
          <w:color w:val="2f2f2f"/>
          <w:sz w:val="18"/>
          <w:szCs w:val="18"/>
          <w:rtl w:val="0"/>
        </w:rPr>
        <w:t xml:space="preserve">, suscribe en suplencia por ausencia de Hugo Alejandro Córdova Díaz,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35">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EVANGELINA SALES SÁNCHEZ,</w:t>
      </w:r>
      <w:r w:rsidDel="00000000" w:rsidR="00000000" w:rsidRPr="00000000">
        <w:rPr>
          <w:color w:val="2f2f2f"/>
          <w:sz w:val="16"/>
          <w:szCs w:val="16"/>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DÉCIMO TERCERO, DEL ACUERDO </w:t>
      </w:r>
      <w:r w:rsidDel="00000000" w:rsidR="00000000" w:rsidRPr="00000000">
        <w:rPr>
          <w:b w:val="1"/>
          <w:color w:val="2f2f2f"/>
          <w:sz w:val="16"/>
          <w:szCs w:val="16"/>
          <w:rtl w:val="0"/>
        </w:rPr>
        <w:t xml:space="preserve">ACT-PUB/26/08/2020.08</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DEL CITADO ACUERDO</w:t>
      </w:r>
      <w:r w:rsidDel="00000000" w:rsidR="00000000" w:rsidRPr="00000000">
        <w:rPr>
          <w:b w:val="1"/>
          <w:color w:val="2f2f2f"/>
          <w:sz w:val="16"/>
          <w:szCs w:val="16"/>
          <w:rtl w:val="0"/>
        </w:rPr>
        <w:t xml:space="preserve"> ACT-PUB/26/08/2020.08, </w:t>
      </w:r>
      <w:r w:rsidDel="00000000" w:rsidR="00000000" w:rsidRPr="00000000">
        <w:rPr>
          <w:color w:val="2f2f2f"/>
          <w:sz w:val="16"/>
          <w:szCs w:val="16"/>
          <w:rtl w:val="0"/>
        </w:rPr>
        <w:t xml:space="preserve">MISMO QUE SE EXPIDE EN UN TOTAL DE 09 FOJAS ÚTILES, APROBADO EN LA SESIÓN ORDINARIA DEL PLENO DE ESTE INSTITUTO, CELEBRADA EL VEINTISÉIS DE AGOSTO DE DOS MIL VEINTE.- MÉXICO, CIUDAD DE MÉXICO, A VEINTISÉIS DE AGOSTO DE DOS MIL VEINTE.- Rúbrica.</w:t>
      </w:r>
    </w:p>
    <w:p w:rsidR="00000000" w:rsidDel="00000000" w:rsidP="00000000" w:rsidRDefault="00000000" w:rsidRPr="00000000" w14:paraId="00000036">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(R.- 497796)</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9">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A">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