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41C" w:rsidRPr="00841D9A" w:rsidRDefault="00F6041C" w:rsidP="00F6041C">
      <w:pPr>
        <w:jc w:val="center"/>
        <w:rPr>
          <w:rFonts w:ascii="Verdana" w:eastAsia="Verdana" w:hAnsi="Verdana" w:cs="Verdana"/>
          <w:b/>
          <w:color w:val="0000FF"/>
          <w:sz w:val="24"/>
          <w:szCs w:val="24"/>
        </w:rPr>
      </w:pPr>
      <w:r w:rsidRPr="00F6041C">
        <w:rPr>
          <w:rFonts w:ascii="Verdana" w:eastAsia="Verdana" w:hAnsi="Verdana" w:cs="Verdana"/>
          <w:b/>
          <w:color w:val="0000FF"/>
          <w:sz w:val="24"/>
          <w:szCs w:val="24"/>
        </w:rPr>
        <w:t>ACUERDO que modifica el Programa Institucional 2020-2024 del Instituto para la Protección al Ahorro Bancario.</w:t>
      </w:r>
      <w:r>
        <w:rPr>
          <w:rFonts w:ascii="Verdana" w:eastAsia="Verdana" w:hAnsi="Verdana" w:cs="Verdana"/>
          <w:b/>
          <w:color w:val="0000FF"/>
          <w:sz w:val="24"/>
          <w:szCs w:val="24"/>
        </w:rPr>
        <w:br/>
      </w:r>
      <w:bookmarkStart w:id="0" w:name="_GoBack"/>
      <w:r>
        <w:rPr>
          <w:rFonts w:ascii="Verdana" w:eastAsia="Verdana" w:hAnsi="Verdana" w:cs="Verdana"/>
          <w:b/>
          <w:color w:val="0000FF"/>
          <w:sz w:val="24"/>
          <w:szCs w:val="24"/>
        </w:rPr>
        <w:t>(DOF del 15 de septiembre</w:t>
      </w:r>
      <w:r w:rsidRPr="00841D9A">
        <w:rPr>
          <w:rFonts w:ascii="Verdana" w:eastAsia="Verdana" w:hAnsi="Verdana" w:cs="Verdana"/>
          <w:b/>
          <w:color w:val="0000FF"/>
          <w:sz w:val="24"/>
          <w:szCs w:val="24"/>
        </w:rPr>
        <w:t xml:space="preserve"> de 2022)</w:t>
      </w:r>
      <w:bookmarkEnd w:id="0"/>
    </w:p>
    <w:p w:rsidR="007E3619" w:rsidRDefault="00F6041C" w:rsidP="00F6041C">
      <w:pPr>
        <w:jc w:val="both"/>
        <w:rPr>
          <w:rFonts w:ascii="Arial" w:hAnsi="Arial" w:cs="Arial"/>
          <w:b/>
          <w:sz w:val="18"/>
          <w:szCs w:val="18"/>
        </w:rPr>
      </w:pPr>
      <w:r w:rsidRPr="00F6041C">
        <w:rPr>
          <w:rFonts w:ascii="Arial" w:hAnsi="Arial" w:cs="Arial"/>
          <w:b/>
          <w:sz w:val="18"/>
          <w:szCs w:val="18"/>
        </w:rPr>
        <w:t>Al margen un sello con el Escudo Nacional, que dice: Estados Unidos Mexicanos.- HACIENDA.- Secretaría de Hacienda y Crédito Público.- Instituto para la Protección al Ahorro Bancario.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6"/>
          <w:szCs w:val="16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6"/>
          <w:szCs w:val="16"/>
          <w:lang w:eastAsia="es-MX"/>
        </w:rPr>
        <w:t>ACUERDO QUE MODIFICA EL PROGRAMA INSTITUCIONAL 2020-2024 DEL INSTITUTO PARA LA PROTECCIÓN AL AHORRO BANCARIO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 Junta de Gobierno del Instituto para la Protección al Ahorro Bancario, en congruencia con el Plan Nacional de Desarrollo 2019-2024 y el Programa Nacional de Financiamiento del Desarrollo 2020-2024, conforme con los artículos 13, 17, fracción II, 22, primer párrafo, 24, 26 Bis, 29, párrafo tercero, 30, 31, segundo párrafo y 32 de la Ley de Planeación; 2, 11, 47, 48, 49, 58, fracción II, 59, fracción II de la Ley Federal de las Entidades Paraestatales; 22 de su Reglamento; y de conformidad con el acuerdo número IPAB/JG/22/157.6 aprobado en la Sesión Ordinaria número 157, celebrada el 27 de abril de 2022, y</w:t>
      </w:r>
    </w:p>
    <w:p w:rsidR="00F6041C" w:rsidRPr="00F6041C" w:rsidRDefault="00F6041C" w:rsidP="00F6041C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6041C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CONSIDERANDO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Instituto para la Protección al Ahorro Bancario elaboró el Programa Institucional 2020-2024 (PI-IPAB) del Instituto para la Protección al Ahorro Bancario (Instituto o IPAB), conforme al artículo 47 de la Ley Federal de Entidades Paraestatales, la Ley de Planeación, el Plan Nacional de Desarrollo 2020-2024, y el Programa Nacional de Financiamiento del Desarrollo 2020-2024, conforme al Objetivo Prioritario número 5, denominado "Sistema financiero y de pensiones. Impulsar el desarrollo sostenible, la inclusión y la profundización";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 el PI-IPAB fue aprobado mediante el acuerdo número IPAB/JG/20/149.8 en la Sesión Ordinaria número 149 de la Junta de Gobierno del IPAB, celebrada el 11 de diciembre de 2020, y publicado en el Diario Oficial de la Federación el 8 de septiembre de 2021;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Que, conforme al artículo 49 de la Ley Federal de las Entidades Paraestatales, se realizó una revisión de las actividades sustantivas del Instituto, y de las condiciones económicas y operativas que predominarán en 2022, las cuales inciden en los indicadores que integran dicho Programa, determinándose que resulta necesario modificar el PI-IPAB, y con ello, cumplir con el mandato legal del Instituto, con base en la normatividad vigente;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Que, en virtud de lo anterior, la Junta de Gobierno del Instituto para la Protección al Ahorro Bancario aprobó el siguiente:</w:t>
      </w:r>
    </w:p>
    <w:p w:rsidR="00F6041C" w:rsidRPr="00F6041C" w:rsidRDefault="00F6041C" w:rsidP="00F6041C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6041C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ACUERDO QUE MODIFICA EL PROGRAMA INSTITUCIONAL 2020-2024 DEL INSTITUTO PARA LA</w:t>
      </w:r>
      <w:r w:rsidRPr="00F6041C"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  <w:br/>
      </w:r>
      <w:r w:rsidRPr="00F6041C">
        <w:rPr>
          <w:rFonts w:ascii="Times" w:eastAsia="Times New Roman" w:hAnsi="Times" w:cs="Times"/>
          <w:b/>
          <w:bCs/>
          <w:color w:val="2F2F2F"/>
          <w:sz w:val="18"/>
          <w:szCs w:val="18"/>
          <w:lang w:eastAsia="es-MX"/>
        </w:rPr>
        <w:t>PROTECCIÓN AL AHORRO BANCARIO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ARTÍCULO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ÚNICO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 Se </w:t>
      </w: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ADICIONA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 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Estrategia prioritaria 2.2.- Dar seguimiento a las liquidaciones bancarias y recuperación de activos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 del 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Objetivo prioritario 2.- Actuar de manera oportuna y eficiente en resoluciones bancarias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del numeral 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6.- Estrategias prioritarias y acciones puntuales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; y se </w:t>
      </w: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MODIFICA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la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Meta/Parámetro 3 para el bienestar del Objetivo prioritario 1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", del apartado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VALOR DE LÍNEA BASE Y METAS", 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 porcentaje del apartado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Nota sobre la meta 2024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"; de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 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la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 "Meta/Parámetro 1 para el bienestar del Objetivo prioritario 3", 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del apartado de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APLICACIÓN DEL MÉTODO DE CÁLCULO PARA LA OBTENCIÓN DE LA LÍNEA BASE", 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porcentaje del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Valor variable 2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", la variable de la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Sustitución en método de cálculo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 y del apartado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VALOR DE LÍNEA BASE Y METAS", 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el porcentaje del apartado "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Nota sobre la meta 2024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", todos del numeral 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7.-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  <w:r w:rsidRPr="00F6041C">
        <w:rPr>
          <w:rFonts w:ascii="Arial" w:eastAsia="Times New Roman" w:hAnsi="Arial" w:cs="Arial"/>
          <w:i/>
          <w:iCs/>
          <w:color w:val="2F2F2F"/>
          <w:sz w:val="18"/>
          <w:szCs w:val="18"/>
          <w:lang w:eastAsia="es-MX"/>
        </w:rPr>
        <w:t>Metas para el bienestar y Parámetros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, para quedar como sigue: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1.- a 5.</w:t>
      </w:r>
      <w:proofErr w:type="gramStart"/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-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  <w:proofErr w:type="gramEnd"/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6.</w:t>
      </w:r>
      <w:proofErr w:type="gramStart"/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-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  <w:proofErr w:type="gramEnd"/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lastRenderedPageBreak/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2"/>
      </w:tblGrid>
      <w:tr w:rsidR="00F6041C" w:rsidRPr="00F6041C" w:rsidTr="00F6041C">
        <w:trPr>
          <w:trHeight w:val="356"/>
        </w:trPr>
        <w:tc>
          <w:tcPr>
            <w:tcW w:w="8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divId w:val="164709981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bookmarkStart w:id="1" w:name="_Hlk99475197"/>
            <w:bookmarkEnd w:id="1"/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1"/>
        </w:trPr>
        <w:tc>
          <w:tcPr>
            <w:tcW w:w="8712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</w:tbl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Estrategia prioritaria 2.2.- Dar seguimiento a las liquidaciones bancarias y recuperación de activos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12"/>
      </w:tblGrid>
      <w:tr w:rsidR="00F6041C" w:rsidRPr="00F6041C" w:rsidTr="00F6041C">
        <w:trPr>
          <w:trHeight w:val="356"/>
        </w:trPr>
        <w:tc>
          <w:tcPr>
            <w:tcW w:w="8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divId w:val="685904503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8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6"/>
        </w:trPr>
        <w:tc>
          <w:tcPr>
            <w:tcW w:w="8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</w:tbl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7.</w:t>
      </w:r>
      <w:proofErr w:type="gramStart"/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- ...</w:t>
      </w:r>
      <w:proofErr w:type="gramEnd"/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21"/>
        <w:gridCol w:w="146"/>
        <w:gridCol w:w="1077"/>
        <w:gridCol w:w="676"/>
        <w:gridCol w:w="549"/>
        <w:gridCol w:w="1223"/>
        <w:gridCol w:w="1224"/>
        <w:gridCol w:w="1223"/>
        <w:gridCol w:w="1273"/>
      </w:tblGrid>
      <w:tr w:rsidR="00F6041C" w:rsidRPr="00F6041C" w:rsidTr="00F6041C">
        <w:trPr>
          <w:trHeight w:val="356"/>
        </w:trPr>
        <w:tc>
          <w:tcPr>
            <w:tcW w:w="87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divId w:val="15199098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5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5492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146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5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0" w:type="auto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6041C" w:rsidRPr="00F6041C" w:rsidRDefault="00F6041C" w:rsidP="00F6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6041C" w:rsidRPr="00F6041C" w:rsidTr="00F6041C">
        <w:trPr>
          <w:trHeight w:val="341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5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32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54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Llevar a cabo el 92% de las visitas de inspección programadas</w:t>
            </w:r>
          </w:p>
        </w:tc>
      </w:tr>
      <w:tr w:rsidR="00F6041C" w:rsidRPr="00F6041C" w:rsidTr="00F6041C">
        <w:trPr>
          <w:trHeight w:val="1023"/>
        </w:trPr>
        <w:tc>
          <w:tcPr>
            <w:tcW w:w="87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6"/>
        </w:trPr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</w:tbl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</w:pPr>
      <w:r w:rsidRPr="00F6041C">
        <w:rPr>
          <w:rFonts w:ascii="Times New Roman" w:eastAsia="Times New Roman" w:hAnsi="Times New Roman" w:cs="Times New Roman"/>
          <w:color w:val="2F2F2F"/>
          <w:sz w:val="24"/>
          <w:szCs w:val="24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9"/>
        <w:gridCol w:w="648"/>
        <w:gridCol w:w="807"/>
        <w:gridCol w:w="1457"/>
        <w:gridCol w:w="711"/>
        <w:gridCol w:w="741"/>
        <w:gridCol w:w="852"/>
        <w:gridCol w:w="600"/>
        <w:gridCol w:w="1447"/>
      </w:tblGrid>
      <w:tr w:rsidR="00F6041C" w:rsidRPr="00F6041C" w:rsidTr="00F6041C">
        <w:trPr>
          <w:trHeight w:val="356"/>
        </w:trPr>
        <w:tc>
          <w:tcPr>
            <w:tcW w:w="87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divId w:val="1659309466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6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6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41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6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lastRenderedPageBreak/>
              <w:t>...</w:t>
            </w:r>
          </w:p>
        </w:tc>
        <w:tc>
          <w:tcPr>
            <w:tcW w:w="2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97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5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204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6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20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661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MX"/>
              </w:rPr>
            </w:pPr>
          </w:p>
        </w:tc>
      </w:tr>
      <w:tr w:rsidR="00F6041C" w:rsidRPr="00F6041C" w:rsidTr="00F6041C">
        <w:trPr>
          <w:trHeight w:val="714"/>
        </w:trPr>
        <w:tc>
          <w:tcPr>
            <w:tcW w:w="8712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90%</w:t>
            </w:r>
          </w:p>
        </w:tc>
        <w:tc>
          <w:tcPr>
            <w:tcW w:w="14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72"/>
        </w:trPr>
        <w:tc>
          <w:tcPr>
            <w:tcW w:w="14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726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6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(0/90)*100=0</w:t>
            </w:r>
          </w:p>
        </w:tc>
      </w:tr>
    </w:tbl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 </w:t>
      </w:r>
    </w:p>
    <w:tbl>
      <w:tblPr>
        <w:tblW w:w="0" w:type="auto"/>
        <w:tblInd w:w="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44"/>
        <w:gridCol w:w="496"/>
        <w:gridCol w:w="100"/>
        <w:gridCol w:w="648"/>
        <w:gridCol w:w="995"/>
        <w:gridCol w:w="199"/>
        <w:gridCol w:w="50"/>
        <w:gridCol w:w="1245"/>
        <w:gridCol w:w="249"/>
        <w:gridCol w:w="996"/>
        <w:gridCol w:w="747"/>
        <w:gridCol w:w="498"/>
        <w:gridCol w:w="1245"/>
      </w:tblGrid>
      <w:tr w:rsidR="00F6041C" w:rsidRPr="00F6041C" w:rsidTr="00F6041C">
        <w:trPr>
          <w:trHeight w:val="367"/>
        </w:trPr>
        <w:tc>
          <w:tcPr>
            <w:tcW w:w="87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divId w:val="290718252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3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....</w:t>
            </w:r>
          </w:p>
        </w:tc>
        <w:tc>
          <w:tcPr>
            <w:tcW w:w="5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503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18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8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F6041C" w:rsidRPr="00F6041C" w:rsidRDefault="00F6041C" w:rsidP="00F604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</w:p>
        </w:tc>
      </w:tr>
      <w:tr w:rsidR="00F6041C" w:rsidRPr="00F6041C" w:rsidTr="00F6041C">
        <w:trPr>
          <w:trHeight w:val="357"/>
        </w:trPr>
        <w:tc>
          <w:tcPr>
            <w:tcW w:w="3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5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869"/>
        </w:trPr>
        <w:tc>
          <w:tcPr>
            <w:tcW w:w="3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50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Se estima la captación anualmente y derivado de ello los</w:t>
            </w:r>
            <w:r w:rsidRPr="00F6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br/>
            </w:r>
            <w:r w:rsidRPr="00F60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recursos susceptibles a refinanciar. Obtención del 90% de</w:t>
            </w:r>
            <w:r w:rsidRPr="00F6041C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  <w:br/>
            </w:r>
            <w:r w:rsidRPr="00F6041C">
              <w:rPr>
                <w:rFonts w:ascii="Arial" w:eastAsia="Times New Roman" w:hAnsi="Arial" w:cs="Arial"/>
                <w:color w:val="000000"/>
                <w:sz w:val="18"/>
                <w:szCs w:val="18"/>
                <w:lang w:eastAsia="es-MX"/>
              </w:rPr>
              <w:t>los recursos programados</w:t>
            </w:r>
          </w:p>
        </w:tc>
      </w:tr>
      <w:tr w:rsidR="00F6041C" w:rsidRPr="00F6041C" w:rsidTr="00F6041C">
        <w:trPr>
          <w:trHeight w:val="1071"/>
        </w:trPr>
        <w:tc>
          <w:tcPr>
            <w:tcW w:w="8712" w:type="dxa"/>
            <w:gridSpan w:val="1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1071"/>
        </w:trPr>
        <w:tc>
          <w:tcPr>
            <w:tcW w:w="8712" w:type="dxa"/>
            <w:gridSpan w:val="13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vAlign w:val="center"/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57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  <w:tr w:rsidR="00F6041C" w:rsidRPr="00F6041C" w:rsidTr="00F6041C">
        <w:trPr>
          <w:trHeight w:val="372"/>
        </w:trPr>
        <w:tc>
          <w:tcPr>
            <w:tcW w:w="17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  <w:tc>
          <w:tcPr>
            <w:tcW w:w="174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2" w:type="dxa"/>
              <w:bottom w:w="0" w:type="dxa"/>
              <w:right w:w="72" w:type="dxa"/>
            </w:tcMar>
            <w:hideMark/>
          </w:tcPr>
          <w:p w:rsidR="00F6041C" w:rsidRPr="00F6041C" w:rsidRDefault="00F6041C" w:rsidP="00F6041C">
            <w:pPr>
              <w:spacing w:after="10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es-MX"/>
              </w:rPr>
            </w:pPr>
            <w:r w:rsidRPr="00F6041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es-MX"/>
              </w:rPr>
              <w:t>...</w:t>
            </w:r>
          </w:p>
        </w:tc>
      </w:tr>
    </w:tbl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8.</w:t>
      </w:r>
      <w:proofErr w:type="gramStart"/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- </w:t>
      </w: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...</w:t>
      </w:r>
      <w:proofErr w:type="gramEnd"/>
    </w:p>
    <w:p w:rsidR="00F6041C" w:rsidRPr="00F6041C" w:rsidRDefault="00F6041C" w:rsidP="00F6041C">
      <w:pPr>
        <w:shd w:val="clear" w:color="auto" w:fill="FFFFFF"/>
        <w:spacing w:after="101" w:line="240" w:lineRule="auto"/>
        <w:jc w:val="center"/>
        <w:rPr>
          <w:rFonts w:ascii="Times New Roman" w:eastAsia="Times New Roman" w:hAnsi="Times New Roman" w:cs="Times New Roman"/>
          <w:b/>
          <w:bCs/>
          <w:color w:val="2F2F2F"/>
          <w:sz w:val="18"/>
          <w:szCs w:val="18"/>
          <w:lang w:eastAsia="es-MX"/>
        </w:rPr>
      </w:pPr>
      <w:r w:rsidRPr="00F6041C">
        <w:rPr>
          <w:rFonts w:ascii="Times" w:eastAsia="Times New Roman" w:hAnsi="Times" w:cs="Times"/>
          <w:b/>
          <w:bCs/>
          <w:color w:val="000000"/>
          <w:sz w:val="18"/>
          <w:szCs w:val="18"/>
          <w:shd w:val="clear" w:color="auto" w:fill="FFFFFF"/>
          <w:lang w:eastAsia="es-MX"/>
        </w:rPr>
        <w:t>TRANSITORIOS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b/>
          <w:bCs/>
          <w:color w:val="000000"/>
          <w:sz w:val="18"/>
          <w:szCs w:val="18"/>
          <w:shd w:val="clear" w:color="auto" w:fill="FFFFFF"/>
          <w:lang w:eastAsia="es-MX"/>
        </w:rPr>
        <w:t>ÚNICO.-</w:t>
      </w:r>
      <w:r w:rsidRPr="00F6041C">
        <w:rPr>
          <w:rFonts w:ascii="Arial" w:eastAsia="Times New Roman" w:hAnsi="Arial" w:cs="Arial"/>
          <w:color w:val="000000"/>
          <w:sz w:val="18"/>
          <w:szCs w:val="18"/>
          <w:shd w:val="clear" w:color="auto" w:fill="FFFFFF"/>
          <w:lang w:eastAsia="es-MX"/>
        </w:rPr>
        <w:t> El presente Acuerdo entrará en vigor a partir de su publicación en el Diario Oficial de la Federación.</w:t>
      </w:r>
    </w:p>
    <w:p w:rsidR="00F6041C" w:rsidRPr="00F6041C" w:rsidRDefault="00F6041C" w:rsidP="00F6041C">
      <w:pPr>
        <w:shd w:val="clear" w:color="auto" w:fill="FFFFFF"/>
        <w:spacing w:after="101" w:line="240" w:lineRule="auto"/>
        <w:ind w:firstLine="288"/>
        <w:jc w:val="both"/>
        <w:rPr>
          <w:rFonts w:ascii="Arial" w:eastAsia="Times New Roman" w:hAnsi="Arial" w:cs="Arial"/>
          <w:color w:val="2F2F2F"/>
          <w:sz w:val="18"/>
          <w:szCs w:val="18"/>
          <w:lang w:eastAsia="es-MX"/>
        </w:rPr>
      </w:pP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Ciudad de México, a 27 de abril de 2022.- El Secretario Ejecutivo, Mtro.</w:t>
      </w:r>
      <w:r w:rsidRPr="00F6041C">
        <w:rPr>
          <w:rFonts w:ascii="Arial" w:eastAsia="Times New Roman" w:hAnsi="Arial" w:cs="Arial"/>
          <w:b/>
          <w:bCs/>
          <w:color w:val="2F2F2F"/>
          <w:sz w:val="18"/>
          <w:szCs w:val="18"/>
          <w:lang w:eastAsia="es-MX"/>
        </w:rPr>
        <w:t> Gabriel Ángel Limón González</w:t>
      </w:r>
      <w:r w:rsidRPr="00F6041C">
        <w:rPr>
          <w:rFonts w:ascii="Arial" w:eastAsia="Times New Roman" w:hAnsi="Arial" w:cs="Arial"/>
          <w:color w:val="2F2F2F"/>
          <w:sz w:val="18"/>
          <w:szCs w:val="18"/>
          <w:lang w:eastAsia="es-MX"/>
        </w:rPr>
        <w:t>.- Rúbrica.</w:t>
      </w:r>
    </w:p>
    <w:sectPr w:rsidR="00F6041C" w:rsidRPr="00F604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41C"/>
    <w:rsid w:val="007E3619"/>
    <w:rsid w:val="00F60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041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20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72748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05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989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30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012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60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813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68250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3528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69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17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71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880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983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43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4413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48235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230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168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6498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99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16013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3124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9045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842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60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542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360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249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354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304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502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954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769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3264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09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649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3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221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0396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459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536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7267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0039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481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677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71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932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53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806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20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302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37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792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00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12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47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887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892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47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9440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413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26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659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2032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639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83443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094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74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40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491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774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3636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40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5006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174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568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06646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9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7984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96615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7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78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6089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974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60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926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13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6939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3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508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65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41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4181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164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539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7815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47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4726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0505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27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793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295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768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5671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612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75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871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119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451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06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378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71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478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1825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497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064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671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6715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07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107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0250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233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6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90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86877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998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816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17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71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367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84157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5197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672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43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65360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5485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08634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928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8498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748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26161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2073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8042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02930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67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23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91492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01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541558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0113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456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9421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12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8344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16967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8482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90870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5787">
          <w:marLeft w:val="0"/>
          <w:marRight w:val="0"/>
          <w:marTop w:val="101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98299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2646">
          <w:marLeft w:val="0"/>
          <w:marRight w:val="0"/>
          <w:marTop w:val="0"/>
          <w:marBottom w:val="1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713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Escutia</dc:creator>
  <cp:lastModifiedBy>Nancy Escutia</cp:lastModifiedBy>
  <cp:revision>1</cp:revision>
  <dcterms:created xsi:type="dcterms:W3CDTF">2022-09-15T13:51:00Z</dcterms:created>
  <dcterms:modified xsi:type="dcterms:W3CDTF">2022-09-15T13:54:00Z</dcterms:modified>
</cp:coreProperties>
</file>