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ACUERDO SS/10/2020 por el que se determina la suspensión de actividades jurisdiccionales del 18 de marzo al 19 de abril de 2020.</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23 de marzo de 2020)</w:t>
      </w:r>
    </w:p>
    <w:p w:rsidR="00000000" w:rsidDel="00000000" w:rsidP="00000000" w:rsidRDefault="00000000" w:rsidRPr="00000000" w14:paraId="00000004">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SS/10/2020</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DETERMINA LA SUSPENSIÓN DE ACTIVIDADES JURISDICCIONALES DEL 18 DE MARZO AL 19 DE ABRIL DE 2020.</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los artículos 9, 16, fracciones IX y XII, 65, segundo párrafo, de la Ley Orgánica del Tribunal Federal de Justicia Administrativa, 6º,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Que en términos del artículo 65, segundo párrafo, de la Ley Orgánica de este Tribunal, el Pleno General de la Sala Superior podrá determinar los días de suspensión de los plazos procesales.</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Que en diciembre de 2019, en la República Popular de China, inició un brote de neumonía denominado con la enfermedad por coronavirus COVID-19, que se ha expandido y consecuentemente está afectando diversas regiones de otros países, entre los que se encuentra México. La enfermedad infecciosa pone en riesgo la salud de la población en general, en razón de su fácil propagación. Ante los niveles alarmantes tanto en la transmisión y gravedad, como de inacción, el once de marzo de dos mil veinte, la Organización Mundial de la Salud (OMS) declaró que la COVID-19 pasa de ser una epidemia a una pandemia. A fin de procurar la seguridad en la salud de sus habitantes y eventualmente de sus visitantes, algunos países, entre ellos México, han adoptado diversas acciones para contener la COVID-19, entre las que se encuentran medidas de higiene, suspensión de actos y eventos masivos en centros de trabajo.</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Que en razón de la fuerza mayor de la situación sanitaria del país por coronavirus COVID-19 y en consistencia con las recomendaciones del Gobierno Federal en materia de sana distancia y con la finalidad de prevenir una mayor propagación del virus en lugares concurridos, el Pleno General de la Sala Superior se encuentra obligado a adoptar las medidas que resulten necesarias para proteger la salud de todas las personas, ante el grave riesgo que implica la referida enfermedad.</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Que en razón del "ACUERDO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 y del "ACUERDO GENERAL DEL PLENO DEL CONSEJO DE LA JUDICATURA FEDERAL, RELATIVO A LAS MEDIDAS DE CONTINGENCIA EN LOS ÓRGANOS JURISDICCIONALES POR EL FENÓMENO DE SALUD PÚBLICA DERIVADO DEL VIRUS COVID-2019", con número 4/2020, y toda vez que este Órgano Jurisdiccional en términos de su Ley Orgánica debe ajustar su calendario de labores para el año 2020 a los plazos procesales que establece el Poder Judicial de la Federación; el Pleno General de la Sala Superior de este Órgano Jurisdiccional, emite el siguiente:</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suspende toda actividad jurisdiccional en el Tribunal Federal de Justicia Administrativa del primer minuto del día dieciocho de marzo al diecinueve de abril de dos mil veinte, por tanto esos días se considerarán como inhábiles, en la inteligencia de que no correrán plazos ni términos procesales.</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El presente Acuerdo entrará en vigor el día de su aprobación.</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Publíquese el presente Acuerdo en el Diario Oficial de la Federación y en la página de internet del Tribunal.</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Así lo acordó el Pleno General de la Sala Superior del Tribunal Federal de Justicia Administrativa, en sesión de diecisiete de marzo de dos mil veinte, por unanimidad de votos.- Firman el Magistrado Rafael Anzures Uribe, Presidente del Tribunal Federal de Justicia Administrativa y el Licenciado Tomás Enrique Sánchez Silva, Secretario General de Acuerdos, quien da fe.- Rúbricas.</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