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Resolución por la que se declara el inicio del procedimiento administrativo de examen de vigencia de la cuota compensatoria impuesta a las importaciones de sosa cáustica líquida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7 de julio de 2020)</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SOSA CÁUSTICA LÍQUIDA ORIGINARIAS DE LOS ESTADOS UNIDOS DE AMÉRICA, INDEPENDIENTEMENTE DEL PAÍS DE PROCEDENCIA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16/20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12 de julio de 1995 se publicó en el Diario Oficial de la Federación (DOF) la Resolución final de la investigación antidumping sobre las importaciones de sosa cáustica líquida originarias de los Estados Unidos de América (los "Estados Unidos"), independientemente del país de procedencia.</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Mediante esta Resolución, la Secretaría determinó imponer una cuota compensatoria definitiva a las importaciones cuyos precios fueran inferiores al precio de referencia de $147.43 dólares de los Estados Unidos ("dólares") por tonelada métrica, equivalente a la diferencia entre el precio de exportación de la mercancía y el precio de referencia. El monto de la cuota compensatoria no podía rebasar el margen de discriminación de precios de 38.89 dólares por tonelada métrica, equivalente a 35.83%.</w:t>
      </w:r>
    </w:p>
    <w:p w:rsidR="00000000" w:rsidDel="00000000" w:rsidP="00000000" w:rsidRDefault="00000000" w:rsidRPr="00000000" w14:paraId="0000000C">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Exámenes de vigencia previos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6 de junio de 2003 se publicó en el DOF la Resolución final del primer examen de vigencia. Se determinó continuar la vigencia de la cuota compensatoria por cinco años más.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6 de junio de 2006 se publicó en el DOF la Resolución final del segundo examen de vigencia. Se determinó continuar la vigencia de la cuota compensatoria por cinco años más a las importaciones de sosa cáustica líquida originarias de los Estados Unidos cuyos precios fueran inferiores al precio de referencia de $192.67 dólares por tonelada métrica, equivalente a la diferencia entre el precio de exportación de la mercancía y el precio de referencia. El monto de la cuota compensatoria no podía rebasar el margen de discriminación de precios de 44.09%.</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3 de enero de 2012 se publicó en el DOF la Resolución final del tercer examen de vigencia y de la revisión de la cuota compensatoria. Se determinó continuar la vigencia de la cuota compensatoria por cinco años más a las importaciones cuyos precios fueran inferiores al precio de referencia de $288.71 dólares por tonelada métrica, equivalente a la diferencia entre el precio de exportación de la mercancía y el precio de referencia. El monto de la cuota compensatoria no podía rebasar el margen de discriminación de precios de 54.79%.</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29 de julio de 2016 se publicó en el DOF la Resolución final del cuarto examen de vigencia. Se determinó continuar la vigencia de la cuota compensatoria por cinco años más.</w:t>
      </w:r>
    </w:p>
    <w:p w:rsidR="00000000" w:rsidDel="00000000" w:rsidP="00000000" w:rsidRDefault="00000000" w:rsidRPr="00000000" w14:paraId="00000011">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Aclaración de resoluciones</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2 de julio de 2013 se publicó en el DOF la Resolución por la que se aclararon las resoluciones relativas a la cuota compensatoria impuesta a las importaciones de sosa cáustica líquida, originarias de los Estados Unidos, concluyendo lo siguiente:</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cuota compensatoria corresponde únicamente a las importaciones de sosa cáustica líquida que ingresan por la fracción arancelaria 2815.12.01 de la TIGIE.</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referencia utilizado en la determinación del pago de la cuota compensatoria corresponde al precio de la sosa cáustica en estado seco o al 100% de concentración.</w:t>
      </w:r>
    </w:p>
    <w:p w:rsidR="00000000" w:rsidDel="00000000" w:rsidP="00000000" w:rsidRDefault="00000000" w:rsidRPr="00000000" w14:paraId="000000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para el establecimiento de la cuota compensatoria consideró a la sosa cáustica sobre una base seca (al 100% de concentración).</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determinación y el cobro de la cuota compensatoria debe considerarse el precio de exportación ex-works de la mercancía importada, en dólares y por tonelada métrica en estado seco o al 100% de concentración.</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precio de exportación de la mercancía en cuestión excede el precio de referencia aplicable, dichas importaciones no estarán sujetas al pago de la cuota compensatoria.</w:t>
      </w:r>
    </w:p>
    <w:p w:rsidR="00000000" w:rsidDel="00000000" w:rsidP="00000000" w:rsidRDefault="00000000" w:rsidRPr="00000000" w14:paraId="00000018">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sosa cáustica líquida originaria de los Estados Unidos, objeto de este examen.</w:t>
      </w:r>
    </w:p>
    <w:p w:rsidR="00000000" w:rsidDel="00000000" w:rsidP="00000000" w:rsidRDefault="00000000" w:rsidRPr="00000000" w14:paraId="0000001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28 de mayo de 2020 Industria Química del Istmo, S.A. de C.V. ("Iquisa"), Mexichem Derivados, S.A. de C.V. ("Mexichem") y Petroquímica Mexicana de Vinilo, S.A. de C.V. ("PMV"), manifestaron su interés en que la Secretaría inicie el examen de vigencia de la cuota compensatoria definitiva impuesta a las importaciones de sosa cáustica líquida originarias de los Estados Unidos. Iquisa, Mexichem y PMV propusieron como periodo de examen el comprendido del 1 de abril de 2019 al 31 de marzo de 2020.</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Iquisa, Mexichem y PMV son empresas constituidas conforme a las leyes mexicanas. Su principal actividad consiste en la fabricación del producto objeto de examen. Para acreditar su calidad de productores nacionales de sosa cáustica líquida, presentaron una carta de la Asociación Nacional de la Industria Química, A.C., del 6 de mayo de 2020.</w:t>
      </w:r>
    </w:p>
    <w:p w:rsidR="00000000" w:rsidDel="00000000" w:rsidP="00000000" w:rsidRDefault="00000000" w:rsidRPr="00000000" w14:paraId="0000001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1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examen se denomina comercialmente sosa cáustica líquida (hidróxido de sodio en disolución acuosa). Es un producto de uso genérico ampliamente utilizado en el medio químico. Se presenta como una solución de tacto jabonoso, sumamente corrosiva, poco soluble en alcohol, la cual forma sales con todos los ácidos y reacciona con las soluciones de sales metálicas precipitando el hidróxido de metal. Dicho producto se identifica por las siguientes propiedades: su punto de ebullición es de 145 grados Celsius (°C), la presión de vapor es de 6.3 milímetros Hg a 40 °C, tiene una densidad de vapor de 2.12 a 4 °C, es soluble en agua al 100% y su gravedad específica es de 1.53 kilogramos por litro.</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sosa cáustica y el cloro son coproductos que se obtienen mediante la conversión electroquímica de una solución de sal industrial (cloruro de sodio). No puede producirse uno sin que se obtenga el otro, en virtud de que están ligados indisolublemente tanto en la materia prima como en el proceso productivo.</w:t>
      </w:r>
    </w:p>
    <w:p w:rsidR="00000000" w:rsidDel="00000000" w:rsidP="00000000" w:rsidRDefault="00000000" w:rsidRPr="00000000" w14:paraId="0000002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El producto objeto de examen ingresa al mercado nacional a través de la fracción arancelaria 2815.12.01 de la Tarifa de la Ley de los Impuestos Generales de Importación y de Exportación (TIGIE), cuya descripción es la siguiente:</w:t>
      </w:r>
    </w:p>
    <w:tbl>
      <w:tblPr>
        <w:tblStyle w:val="Table1"/>
        <w:tblW w:w="77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5310"/>
        <w:tblGridChange w:id="0">
          <w:tblGrid>
            <w:gridCol w:w="2400"/>
            <w:gridCol w:w="53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sz w:val="18"/>
                <w:szCs w:val="18"/>
              </w:rPr>
            </w:pPr>
            <w:r w:rsidDel="00000000" w:rsidR="00000000" w:rsidRPr="00000000">
              <w:rPr>
                <w:sz w:val="18"/>
                <w:szCs w:val="18"/>
                <w:rtl w:val="0"/>
              </w:rPr>
              <w:t xml:space="preserve">Capítulo 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8"/>
                <w:szCs w:val="18"/>
              </w:rPr>
            </w:pPr>
            <w:r w:rsidDel="00000000" w:rsidR="00000000" w:rsidRPr="00000000">
              <w:rPr>
                <w:sz w:val="18"/>
                <w:szCs w:val="18"/>
                <w:rtl w:val="0"/>
              </w:rPr>
              <w:t xml:space="preserve">Productos químicos inorgánicos; compuestos inorgánicos u orgánicos de metal precioso, de elementos radiactivos, de metales de las tierras raras o de isótopos.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sz w:val="18"/>
                <w:szCs w:val="18"/>
              </w:rPr>
            </w:pPr>
            <w:r w:rsidDel="00000000" w:rsidR="00000000" w:rsidRPr="00000000">
              <w:rPr>
                <w:sz w:val="18"/>
                <w:szCs w:val="18"/>
                <w:rtl w:val="0"/>
              </w:rPr>
              <w:t xml:space="preserve">Partida 2815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sz w:val="18"/>
                <w:szCs w:val="18"/>
              </w:rPr>
            </w:pPr>
            <w:r w:rsidDel="00000000" w:rsidR="00000000" w:rsidRPr="00000000">
              <w:rPr>
                <w:sz w:val="18"/>
                <w:szCs w:val="18"/>
                <w:rtl w:val="0"/>
              </w:rPr>
              <w:t xml:space="preserve">Hidróxido de sodio (sosa o soda cáustica); hidróxido de potasio (potasa cáustica); peróxidos de sodio o de potasio.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8"/>
                <w:szCs w:val="18"/>
              </w:rPr>
            </w:pPr>
            <w:r w:rsidDel="00000000" w:rsidR="00000000" w:rsidRPr="00000000">
              <w:rPr>
                <w:sz w:val="18"/>
                <w:szCs w:val="18"/>
                <w:rtl w:val="0"/>
              </w:rPr>
              <w:t xml:space="preserve">- Hidróxido de sodio (sosa o soda cáustica):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both"/>
              <w:rPr>
                <w:sz w:val="18"/>
                <w:szCs w:val="18"/>
              </w:rPr>
            </w:pPr>
            <w:r w:rsidDel="00000000" w:rsidR="00000000" w:rsidRPr="00000000">
              <w:rPr>
                <w:sz w:val="18"/>
                <w:szCs w:val="18"/>
                <w:rtl w:val="0"/>
              </w:rPr>
              <w:t xml:space="preserve">Subpartida 2815.12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sz w:val="18"/>
                <w:szCs w:val="18"/>
              </w:rPr>
            </w:pPr>
            <w:r w:rsidDel="00000000" w:rsidR="00000000" w:rsidRPr="00000000">
              <w:rPr>
                <w:sz w:val="18"/>
                <w:szCs w:val="18"/>
                <w:rtl w:val="0"/>
              </w:rPr>
              <w:t xml:space="preserve">-- En disolución acuosa (lejía de sosa o soda cáustica).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both"/>
              <w:rPr>
                <w:sz w:val="18"/>
                <w:szCs w:val="18"/>
              </w:rPr>
            </w:pPr>
            <w:r w:rsidDel="00000000" w:rsidR="00000000" w:rsidRPr="00000000">
              <w:rPr>
                <w:sz w:val="18"/>
                <w:szCs w:val="18"/>
                <w:rtl w:val="0"/>
              </w:rPr>
              <w:t xml:space="preserve">Fracción 2815.12.01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sz w:val="18"/>
                <w:szCs w:val="18"/>
              </w:rPr>
            </w:pPr>
            <w:r w:rsidDel="00000000" w:rsidR="00000000" w:rsidRPr="00000000">
              <w:rPr>
                <w:sz w:val="18"/>
                <w:szCs w:val="18"/>
                <w:rtl w:val="0"/>
              </w:rPr>
              <w:t xml:space="preserve">En disolución acuosa (lejía de sosa o soda cáustica).</w:t>
            </w:r>
          </w:p>
        </w:tc>
      </w:tr>
    </w:tbl>
    <w:p w:rsidR="00000000" w:rsidDel="00000000" w:rsidP="00000000" w:rsidRDefault="00000000" w:rsidRPr="00000000" w14:paraId="00000030">
      <w:pPr>
        <w:shd w:fill="ffffff" w:val="clear"/>
        <w:spacing w:after="80" w:before="20" w:lineRule="auto"/>
        <w:ind w:left="72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La unidad de medida que utiliza la TIGIE es el kilogramo.</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De acuerdo con el SIAVI, las importaciones del producto objeto de examen están exentas de arancel. No obstante, de conformidad con el Acuerdo de Integración Comercial con Perú, las mercancías originarias de dicho país, que ingresen a territorio mexicano a través de la fracción arancelaria 2815.12.01, durante el año 2020 están sujetas al pago de un arancel de 0.5%.</w:t>
      </w:r>
    </w:p>
    <w:p w:rsidR="00000000" w:rsidDel="00000000" w:rsidP="00000000" w:rsidRDefault="00000000" w:rsidRPr="00000000" w14:paraId="0000003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proceso productivo de la sosa cáustica líquida comienza cuando la sal industrial se disuelve en agua hasta formar una solución (salmuera) con una concentración de 300 a 320 gramos por litro. Dicha solución es tratada químicamente con el fin de eliminar impurezas y posteriormente se envía a celdas electrolíticas en donde se produce la disociación de la molécula de cloruro de sodio por medio del paso de corriente eléctrica directa, de tal forma que los productos resultantes se dirigen al ánodo o al cátodo. El resultado del proceso químico descrito se conoce como "unidad electrolítica", que está constituida por 53% de sosa cáustica y 47% de cloro.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 naturaleza de la reacción catódica depende del proceso específico que se utilice. Para la producción electrolítica de cloro-sosa cáustica existen los procesos denominados celda de mercurio, celda de diafragma y celda de membrana, cuyas diferencias consisten básicamente en la forma de separar la molécula de cloro de la del sodio. El proceso de celda de mercurio es el más antiguo de estos métodos. Actualmente la mayor parte de las plantas que se construyen utilizan el proceso de membrana, por ser el menos contaminante, no necesariamente porque implique una disminución de costos.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En el proceso de celda de mercurio, este actúa como cátodo en el cual se produce una amalgama con sodio y en el ánodo se depositan iones de cloro. Además, se desprende cloro en estado gaseoso. Posteriormente, en un reactor separado llamado descompositor o desgregador, la amalgama de sodio reacciona con agua y se produce hidrógeno en estado gaseoso y solución de sosa cáustica al 50% con poco contenido de cloruro de sodio. Dicha solución se enfría y filtra para remover el grafito y mercurio, para luego enviarse a los tanques de almacenamiento. La solución de cloruro de sodio se recircula después de concentrarse con sal sódica adicional, hasta alcanzar la concentración necesaria, y entonces se declorina y purifica mediante un proceso de precipitación y filtración.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En el proceso de celda de diafragma, el área de la celda electrolítica en donde se encuentra el ánodo está separada de la del cátodo mediante un diafragma de asbesto permeable. La solución de cloruro de sodio se introduce al compartimiento donde está el ánodo, desde el cual fluyen iones de sodio, de cloruro de sodio y poca agua hacia el cátodo a través del diafragma, mientras que en el ánodo se depositan iones de cloro, a la vez que se producen cloro e hidrógeno en estado gaseoso.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Una vez obtenida la solución de sosa cáustica y cloruro de sodio, se retiran de la celda y, posteriormente la sal que contiene se elimina mediante evaporación, para obtener sosa cáustica líquida al 50% con un peso máximo de cloruro de sodio de 1%. La sal que se separa de la solución de sosa cáustica se utiliza para saturar la solución diluida de cloruro de sodio o para preparar nueva solución de este producto.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En el proceso de celda de membrana, el ánodo y el cátodo están separados por una membrana renovable de catión-ion permeable, por la cual solamente pasan iones de sodio y un poco de agua hacia el cátodo, depositándose en el ánodo iones de cloro y se liberan cloro e hidrógeno en estado gaseoso. La sosa cáustica que se obtiene por este proceso tiene una concentración de 30% a 35%, con un contenido de cloruro tan bajo como el que se obtiene en el proceso de mercurio, en razón de lo cual debe concentrarse una vez que se retira de la celda electrolítica. La solución de cloruro de sodio gastada se recircula una vez que se le agregó sal sódica para alcanzar la concentración necesaria, se declorina y se purifica.</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El resultado de los procesos de producción descritos es una solución de sosa cáustica al 50% y agua en la misma proporción, que es lo que se conoce como sosa cáustica líquida y de la cual, mediante evaporación, se obtiene la sosa cáustica sólida, misma que se enfría y solidifica para obtenerla en forma de escama, perla o bloque.</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Usos y funciones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 sosa cáustica líquida se utiliza en la fabricación de productos químicos para controlar el pH (el número de iones de hidrógeno libres en una solución para determinar su grado de acidez o alcalinidad), neutralizar ácidos y como catalizador y limpiador de gas, así como en la producción de pulpa y papel, jabón, detergentes, productos de limpieza, celulósicos, tales como rayón, celofán y éteres de celulosa; en la mercerización y limpieza del algodón; en la industria del petróleo y gas natural como removedor de contaminantes ácidos del proceso de aceite y gas; en el procesamiento de alimentos, textiles, metales y aluminio; en la elaboración de cristal; en la refinación de aceites vegetales; en la recuperación de hule; para desengrasado de metales; en preparaciones de adhesivos; como removedor de pintura; como desinfectante; en el lavado de botellas de vidrio, y como estabilizador de hule látex e hipoclorito de sodio.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Es una práctica común cotizar la sosa cáustica líquida sobre una base del 100% de concentración y entregarla en una mezcla diluida al 50% para su aplicación como insumo en usos finales, ya que así es más fácil de almacenar y transportar, por lo que se comercializa ampliamente por todo el mundo, principalmente en estado líquido.</w:t>
      </w:r>
    </w:p>
    <w:p w:rsidR="00000000" w:rsidDel="00000000" w:rsidP="00000000" w:rsidRDefault="00000000" w:rsidRPr="00000000" w14:paraId="0000003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Posibles partes interesadas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Industria Química del Istmo, S.A. de C.V.</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Mexichem Derivados, S.A. de C.V.</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Petroquímica Mexicana de Vinilo, S.A. de C.V.</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Río Duero No. 31</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Iquisa Noreste, S.A. de C.V.</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Kilómetro 5.4 Carretera Santa Catarina-García</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Puerto Durazno lote 1</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Parque industrial</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66000. García, Nuevo León</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Iquisa Santa Clara, S.A. de C.V.</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Kilómetro 16.5 antigua Carretera México-Laredo</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Col. Santa Clara Coatitla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55540, Ecatepec de Morelos, Estado de México</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Rot Química, S.A. de C.V.</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Bruselas No. 805</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Col. Mirador</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64910, Monterrey, Nuevo León</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Petrocel, S.A. de C.V.</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Kilómetro 17.5 Carretera Tampico-Mante Altamira</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Col. Puerto Industrial</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89600, Altamira, Tamaulipas</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Procter &amp; Gamble International Operations, S.A.</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Loma Florida No. 32</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Col. Lomas de Vista Hermosa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05100, Ciudad de México</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Productora de Tereftalatos de Altamira, S.A. de C.V.</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Blvd. Petrocel Km 1</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Corredor Industrial de Altamira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89603, Altamira, Tamaulipas</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Transmerquim de México, S.A. de C.V.</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Kilómetro 10.5 Carretera Cuautitlán Teoloyucan lote 2</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Parque industrial Xhala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54714, Cuautitlán Izcalli, Estado de México</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Otros</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Cámara Nacional de las Industrias de la Celulosa y del Papel</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Jaime Balmes No. 11, Torre B, piso 6, local 601</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Col. Los Morales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11510, Ciudad de México</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Cámara Nacional de la Industria de Aceites, Grasas, Jabones y Detergentes</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Córdoba No. 10</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Col. Roma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06700, Ciudad de México</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7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 su Reglamento.</w:t>
      </w:r>
    </w:p>
    <w:p w:rsidR="00000000" w:rsidDel="00000000" w:rsidP="00000000" w:rsidRDefault="00000000" w:rsidRPr="00000000" w14:paraId="0000007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Para efectos de este procedimiento son aplicables el Acuerdo Antidumping, la Ley de Comercio Exterior, su Reglamento,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79">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7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para el inicio del examen de vigencia de cuota</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En el presente caso, Iquisa, Mexichem y PMV, en su calidad de productoras nacionales del producto objeto de examen, manifestaron en tiempo y forma, su interés en que se inicie el examen de vigencia de la cuota compensatoria definitiva impuesta a las importaciones de sosa cáustica líquida originarias de los Estados Unidos, por lo que se actualizan los supuestos previstos en la legislación de la materia y, en consecuencia, procede iniciarlo.</w:t>
      </w:r>
    </w:p>
    <w:p w:rsidR="00000000" w:rsidDel="00000000" w:rsidP="00000000" w:rsidRDefault="00000000" w:rsidRPr="00000000" w14:paraId="0000007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de examen y de análisis</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La Secretaría determina fijar como periodo de examen el propuesto por Iquisa, Mexichem y PMV, comprendido del 1 de abril de 2019 al 31 de marzo de 2020 y como periodo de análisis el comprendido del 1 de abril de 2015 al 31 de marzo de 2020, toda vez que estos se apegan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Por lo expuesto, con fundamento en los artículos 11.1 y 11.3 del Acuerdo Antidumping, y 67, 70 fracción II, 70 B y 89 F de la Ley de Comercio Exterior, se emite la siguiente</w:t>
      </w:r>
    </w:p>
    <w:p w:rsidR="00000000" w:rsidDel="00000000" w:rsidP="00000000" w:rsidRDefault="00000000" w:rsidRPr="00000000" w14:paraId="0000008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Se declara el inicio del procedimiento administrativo de examen de vigencia de la cuota compensatoria definitiva impuesta a las importaciones de sosa cáustica líquida originarias de los Estados Unidos, independientemente del país de procedencia, que ingresan a través de la fracción arancelaria 2815.12.01 de la TIGIE, o por cualquier otra.</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Se fija como periodo de examen el comprendido del 1 de abril de 2019 al 31 de marzo de 2020 y como periodo de análisis del 1 de abril de 2015 al 31 de marzo de 2020.</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Conforme a lo establecido en los artículos 11.3 del Acuerdo Antidumping y 70 fracción II y 89 F de la Ley de Comercio Exterior y 94 de su Reglamento, la cuota compensatoria definitiva a que se refiere el punto 5 de la presente Resolución, continuará vigente mientras se tramita el presente procedimiento de examen de vigencia.</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De conformidad con los artículos 6.1 y 11.4 del Acuerdo Antidumping y 3 último párrafo y 89 F de la Ley de Comercio Exterior, los productores nacionales, importadores, exportadores, personas morales extranjeras o cualquiera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El formulario oficial a que se refiere el punto anterior, se podrá obtener en la página de Internet de la Secretaría o solicitarlo al correo upci@economia.gob.mx.</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Notifíquese la presente Resolución a las partes interesadas de que se tenga conocimiento.</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8C">
      <w:pPr>
        <w:shd w:fill="ffffff" w:val="clear"/>
        <w:spacing w:after="100" w:lineRule="auto"/>
        <w:ind w:firstLine="280"/>
        <w:jc w:val="both"/>
        <w:rPr/>
      </w:pPr>
      <w:r w:rsidDel="00000000" w:rsidR="00000000" w:rsidRPr="00000000">
        <w:rPr>
          <w:rtl w:val="0"/>
        </w:rPr>
      </w:r>
    </w:p>
    <w:p w:rsidR="00000000" w:rsidDel="00000000" w:rsidP="00000000" w:rsidRDefault="00000000" w:rsidRPr="00000000" w14:paraId="0000008D">
      <w:pPr>
        <w:shd w:fill="ffffff" w:val="clear"/>
        <w:spacing w:after="100" w:lineRule="auto"/>
        <w:ind w:firstLine="280"/>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