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0F" w:rsidRDefault="00CB470F" w:rsidP="00CB470F">
      <w:pPr>
        <w:jc w:val="center"/>
        <w:rPr>
          <w:rFonts w:ascii="Verdana" w:hAnsi="Verdana"/>
          <w:b/>
          <w:bCs/>
          <w:color w:val="0070C0"/>
          <w:sz w:val="24"/>
        </w:rPr>
      </w:pPr>
      <w:r w:rsidRPr="00CB470F">
        <w:rPr>
          <w:rFonts w:ascii="Verdana" w:hAnsi="Verdana"/>
          <w:b/>
          <w:bCs/>
          <w:color w:val="0070C0"/>
          <w:sz w:val="24"/>
        </w:rPr>
        <w:t>Decreto por el que se reforman, adicionan y derogan diversas disposiciones de la Ley del Impuesto sobre la Renta, de la Ley del Impuesto al Valor Agregado, de la Ley del Impuesto Especial sobre Producción y Servicios y del</w:t>
      </w:r>
      <w:r>
        <w:rPr>
          <w:rFonts w:ascii="Verdana" w:hAnsi="Verdana"/>
          <w:b/>
          <w:bCs/>
          <w:color w:val="0070C0"/>
          <w:sz w:val="24"/>
        </w:rPr>
        <w:t xml:space="preserve"> Código Fiscal de la Federación</w:t>
      </w:r>
    </w:p>
    <w:p w:rsidR="00CB470F" w:rsidRPr="00CB470F" w:rsidRDefault="00CB470F" w:rsidP="00CB470F">
      <w:pPr>
        <w:jc w:val="center"/>
        <w:rPr>
          <w:rFonts w:ascii="Verdana" w:hAnsi="Verdana"/>
          <w:b/>
          <w:bCs/>
          <w:color w:val="0070C0"/>
          <w:sz w:val="24"/>
        </w:rPr>
      </w:pPr>
      <w:r>
        <w:rPr>
          <w:rFonts w:ascii="Verdana" w:hAnsi="Verdana"/>
          <w:b/>
          <w:bCs/>
          <w:color w:val="0070C0"/>
          <w:sz w:val="24"/>
        </w:rPr>
        <w:t>(DOF del 9 de diciembre de 2019)</w:t>
      </w:r>
    </w:p>
    <w:p w:rsidR="00CB470F" w:rsidRPr="00CB470F" w:rsidRDefault="00CB470F" w:rsidP="00CB470F">
      <w:pPr>
        <w:rPr>
          <w:rFonts w:ascii="Verdana" w:hAnsi="Verdana"/>
          <w:b/>
          <w:bCs/>
          <w:sz w:val="20"/>
        </w:rPr>
      </w:pPr>
      <w:r w:rsidRPr="00CB470F">
        <w:rPr>
          <w:rFonts w:ascii="Verdana" w:hAnsi="Verdana"/>
          <w:b/>
          <w:bCs/>
          <w:sz w:val="20"/>
        </w:rPr>
        <w:t>Al margen un sello con el Escudo Nacional, que dice: Estados Unidos Mexicanos.- Presidencia de la República.</w:t>
      </w:r>
    </w:p>
    <w:p w:rsidR="00CB470F" w:rsidRPr="00CB470F" w:rsidRDefault="00CB470F" w:rsidP="00CB470F">
      <w:pPr>
        <w:rPr>
          <w:rFonts w:ascii="Verdana" w:hAnsi="Verdana"/>
          <w:sz w:val="20"/>
        </w:rPr>
      </w:pPr>
      <w:r w:rsidRPr="00CB470F">
        <w:rPr>
          <w:rFonts w:ascii="Verdana" w:hAnsi="Verdana"/>
          <w:b/>
          <w:bCs/>
          <w:sz w:val="20"/>
        </w:rPr>
        <w:t>ANDRÉS MANUEL LÓPEZ OBRADOR</w:t>
      </w:r>
      <w:r w:rsidRPr="00CB470F">
        <w:rPr>
          <w:rFonts w:ascii="Verdana" w:hAnsi="Verdana"/>
          <w:sz w:val="20"/>
        </w:rPr>
        <w:t>, Presidente de los Estados Unidos Mexicanos, a sus habitantes sabed:</w:t>
      </w:r>
    </w:p>
    <w:p w:rsidR="00CB470F" w:rsidRPr="00CB470F" w:rsidRDefault="00CB470F" w:rsidP="00CB470F">
      <w:pPr>
        <w:rPr>
          <w:rFonts w:ascii="Verdana" w:hAnsi="Verdana"/>
          <w:sz w:val="20"/>
        </w:rPr>
      </w:pPr>
      <w:r w:rsidRPr="00CB470F">
        <w:rPr>
          <w:rFonts w:ascii="Verdana" w:hAnsi="Verdana"/>
          <w:sz w:val="20"/>
        </w:rPr>
        <w:t>Que el Honorable Congreso de la Unión, se ha servido dirigirme el siguiente</w:t>
      </w:r>
    </w:p>
    <w:p w:rsidR="00CB470F" w:rsidRPr="00CB470F" w:rsidRDefault="00CB470F" w:rsidP="00CB470F">
      <w:pPr>
        <w:rPr>
          <w:rFonts w:ascii="Verdana" w:hAnsi="Verdana"/>
          <w:b/>
          <w:bCs/>
          <w:sz w:val="20"/>
        </w:rPr>
      </w:pPr>
      <w:r w:rsidRPr="00CB470F">
        <w:rPr>
          <w:rFonts w:ascii="Verdana" w:hAnsi="Verdana"/>
          <w:b/>
          <w:bCs/>
          <w:sz w:val="20"/>
        </w:rPr>
        <w:t>DECRETO</w:t>
      </w:r>
    </w:p>
    <w:p w:rsidR="00CB470F" w:rsidRPr="00CB470F" w:rsidRDefault="00CB470F" w:rsidP="00CB470F">
      <w:pPr>
        <w:rPr>
          <w:rFonts w:ascii="Verdana" w:hAnsi="Verdana"/>
          <w:sz w:val="20"/>
        </w:rPr>
      </w:pPr>
      <w:r w:rsidRPr="00CB470F">
        <w:rPr>
          <w:rFonts w:ascii="Verdana" w:hAnsi="Verdana"/>
          <w:b/>
          <w:bCs/>
          <w:sz w:val="20"/>
        </w:rPr>
        <w:t>"</w:t>
      </w:r>
      <w:r w:rsidRPr="00CB470F">
        <w:rPr>
          <w:rFonts w:ascii="Verdana" w:hAnsi="Verdana"/>
          <w:sz w:val="20"/>
        </w:rPr>
        <w:t>EL CONGRESO GENERAL DE LOS ESTADOS UNIDOS MEXICANOS, D E C R E T A :</w:t>
      </w:r>
    </w:p>
    <w:p w:rsidR="00CB470F" w:rsidRPr="00CB470F" w:rsidRDefault="00CB470F" w:rsidP="00CB470F">
      <w:pPr>
        <w:rPr>
          <w:rFonts w:ascii="Verdana" w:hAnsi="Verdana"/>
          <w:sz w:val="20"/>
        </w:rPr>
      </w:pPr>
      <w:r w:rsidRPr="00CB470F">
        <w:rPr>
          <w:rFonts w:ascii="Verdana" w:hAnsi="Verdana"/>
          <w:b/>
          <w:bCs/>
          <w:sz w:val="20"/>
        </w:rPr>
        <w:t>SE REFORMAN, ADICIONAN Y DEROGAN DIVERSAS DISPOSICIONES DE LA LEY DEL IMPUESTO SOBRE LA RENTA, DE LA LEY DEL IMPUESTO AL VALOR AGREGADO, DE LA LEY DEL IMPUESTO ESPECIAL SOBRE PRODUCCIÓN Y SERVICIOS Y DEL CÓDIGO FISCAL DE LA FEDERACIÓN</w:t>
      </w:r>
    </w:p>
    <w:p w:rsidR="00CB470F" w:rsidRPr="00CB470F" w:rsidRDefault="00CB470F" w:rsidP="00CB470F">
      <w:pPr>
        <w:rPr>
          <w:rFonts w:ascii="Verdana" w:hAnsi="Verdana"/>
          <w:b/>
          <w:bCs/>
          <w:sz w:val="20"/>
        </w:rPr>
      </w:pPr>
      <w:r w:rsidRPr="00CB470F">
        <w:rPr>
          <w:rFonts w:ascii="Verdana" w:hAnsi="Verdana"/>
          <w:b/>
          <w:bCs/>
          <w:sz w:val="20"/>
        </w:rPr>
        <w:t>LEY DEL IMPUESTO SOBRE LA RENTA</w:t>
      </w:r>
    </w:p>
    <w:p w:rsidR="00CB470F" w:rsidRPr="00CB470F" w:rsidRDefault="00CB470F" w:rsidP="00CB470F">
      <w:pPr>
        <w:rPr>
          <w:rFonts w:ascii="Verdana" w:hAnsi="Verdana"/>
          <w:sz w:val="20"/>
        </w:rPr>
      </w:pPr>
      <w:r w:rsidRPr="00CB470F">
        <w:rPr>
          <w:rFonts w:ascii="Verdana" w:hAnsi="Verdana"/>
          <w:b/>
          <w:bCs/>
          <w:sz w:val="20"/>
        </w:rPr>
        <w:t>Artículo Primero.- </w:t>
      </w:r>
      <w:r w:rsidRPr="00CB470F">
        <w:rPr>
          <w:rFonts w:ascii="Verdana" w:hAnsi="Verdana"/>
          <w:sz w:val="20"/>
        </w:rPr>
        <w:t>Se </w:t>
      </w:r>
      <w:r w:rsidRPr="00CB470F">
        <w:rPr>
          <w:rFonts w:ascii="Verdana" w:hAnsi="Verdana"/>
          <w:b/>
          <w:bCs/>
          <w:sz w:val="20"/>
        </w:rPr>
        <w:t>reforman</w:t>
      </w:r>
      <w:r w:rsidRPr="00CB470F">
        <w:rPr>
          <w:rFonts w:ascii="Verdana" w:hAnsi="Verdana"/>
          <w:sz w:val="20"/>
        </w:rPr>
        <w:t> los artículos 2, segundo y quinto párrafos; 3, primer párrafo, y fracción IV; 14, fracción II; 27, fracciones V, primer párrafo y VI, primer párrafo; 28, fracciones XXIII y XXIX; 46, tercer párrafo; 106, actual último párrafo; 116, actual último párrafo; 158, quinto, sexto, séptimo y octavo párrafos; 167, fracción I; la denominación del Título VI y la denominación de su Capítulo I; 176; 177; 178, segundo párrafo; 183; 186; 187, fracción V; 189, primer párrafo y fracción I; 190, primer y tercer párrafos y fracciones I y II; 202, fracción I; 203, primer párrafo; se </w:t>
      </w:r>
      <w:r w:rsidRPr="00CB470F">
        <w:rPr>
          <w:rFonts w:ascii="Verdana" w:hAnsi="Verdana"/>
          <w:b/>
          <w:bCs/>
          <w:sz w:val="20"/>
        </w:rPr>
        <w:t>adicionan</w:t>
      </w:r>
      <w:r w:rsidRPr="00CB470F">
        <w:rPr>
          <w:rFonts w:ascii="Verdana" w:hAnsi="Verdana"/>
          <w:sz w:val="20"/>
        </w:rPr>
        <w:t> los artículos 2, con un tercer y séptimo párrafos, pasando los actuales tercero a quinto párrafos a ser cuarto a sexto párrafos y los actuales sexto a noveno párrafos a ser octavo a décimo primer párrafos; 3, con un segundo y tercer párrafos; 4-A; 4-B; 5, con un último párrafo; 28 con una fracción XXXII; 74-B; 96-Bis; 106, con un último párrafo; 111, con una fracción VI; el Título IV, Capítulo II, con una Sección III denominada "De los ingresos por la enajenación de bienes o la prestación de servicios a través de Internet, mediante plataformas tecnológicas, aplicaciones informáticas y similares", comprendiendo los artículos 113-A, 113-B y 113-C; 116, con un último párrafo; 118, fracción III, con un segundo y tercer párrafos; 167, con una fracción III; 183-Bis; 187, con una fracción IX; 189, con un último párrafo; 190, fracción II, con un segundo y tercer párrafos; 205 y se </w:t>
      </w:r>
      <w:r w:rsidRPr="00CB470F">
        <w:rPr>
          <w:rFonts w:ascii="Verdana" w:hAnsi="Verdana"/>
          <w:b/>
          <w:bCs/>
          <w:sz w:val="20"/>
        </w:rPr>
        <w:t>derogan </w:t>
      </w:r>
      <w:r w:rsidRPr="00CB470F">
        <w:rPr>
          <w:rFonts w:ascii="Verdana" w:hAnsi="Verdana"/>
          <w:sz w:val="20"/>
        </w:rPr>
        <w:t>los artículos 27, fracción V, tercer párrafo; 28, fracción XXXI; 202, sexto párrafo y 203, quinto párrafo, de la Ley del Impuesto sobre la Renta, para quedar como sigue:</w:t>
      </w:r>
    </w:p>
    <w:p w:rsidR="00CB470F" w:rsidRPr="00CB470F" w:rsidRDefault="00CB470F" w:rsidP="00CB470F">
      <w:pPr>
        <w:rPr>
          <w:rFonts w:ascii="Verdana" w:hAnsi="Verdana"/>
          <w:sz w:val="20"/>
        </w:rPr>
      </w:pPr>
      <w:r w:rsidRPr="00CB470F">
        <w:rPr>
          <w:rFonts w:ascii="Verdana" w:hAnsi="Verdana"/>
          <w:b/>
          <w:bCs/>
          <w:sz w:val="20"/>
        </w:rPr>
        <w:lastRenderedPageBreak/>
        <w:t>Artículo 2. ...</w:t>
      </w:r>
    </w:p>
    <w:p w:rsidR="00CB470F" w:rsidRPr="00CB470F" w:rsidRDefault="00CB470F" w:rsidP="00CB470F">
      <w:pPr>
        <w:rPr>
          <w:rFonts w:ascii="Verdana" w:hAnsi="Verdana"/>
          <w:sz w:val="20"/>
        </w:rPr>
      </w:pPr>
      <w:r w:rsidRPr="00CB470F">
        <w:rPr>
          <w:rFonts w:ascii="Verdana" w:hAnsi="Verdana"/>
          <w:sz w:val="20"/>
        </w:rPr>
        <w:t>No obstante lo dispuesto en el párrafo anterior, cuando un residente en el extranjero actúe en el país a través de una persona física o moral, distinta de un agente independiente, se considerará que el residente en el extranjero tiene un establecimiento permanente en el país, en relación con todas las actividades que dicha persona física o moral realice para el residente en el extranjero, aun cuando no tenga en territorio nacional un lugar de negocios, si dicha persona concluye habitualmente contratos o desempeña habitualmente el rol principal que lleve a la conclusión de contratos celebrados por el residente en el extranjero y estos: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Se celebran a nombre o por cuenta del mismo;</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Prevén la enajenación de los derechos de propiedad, o el otorgamiento del uso o goce temporal de un bien que posea el residente en el extranjero o sobre el cual tenga el derecho del uso o goce temporal, u</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Obligan al residente en el extranjero a prestar un servicio.</w:t>
      </w:r>
    </w:p>
    <w:p w:rsidR="00CB470F" w:rsidRPr="00CB470F" w:rsidRDefault="00CB470F" w:rsidP="00CB470F">
      <w:pPr>
        <w:rPr>
          <w:rFonts w:ascii="Verdana" w:hAnsi="Verdana"/>
          <w:sz w:val="20"/>
        </w:rPr>
      </w:pPr>
      <w:r w:rsidRPr="00CB470F">
        <w:rPr>
          <w:rFonts w:ascii="Verdana" w:hAnsi="Verdana"/>
          <w:sz w:val="20"/>
        </w:rPr>
        <w:t>Para efectos del párrafo anterior, no se considerará que existe un establecimiento permanente en territorio nacional cuando las actividades realizadas por dichas personas físicas o morales</w:t>
      </w:r>
      <w:r w:rsidRPr="00CB470F">
        <w:rPr>
          <w:rFonts w:ascii="Verdana" w:hAnsi="Verdana"/>
          <w:b/>
          <w:bCs/>
          <w:sz w:val="20"/>
        </w:rPr>
        <w:t> </w:t>
      </w:r>
      <w:r w:rsidRPr="00CB470F">
        <w:rPr>
          <w:rFonts w:ascii="Verdana" w:hAnsi="Verdana"/>
          <w:sz w:val="20"/>
        </w:rPr>
        <w:t>sean las mencionadas en el artículo 3 de esta Ley.</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De igual forma, se considerará que un residente en el extranjero tiene un establecimiento permanente en el país, cuando actúe en el territorio nacional a través de una persona física o moral que sea un agente independiente, si éste no actúa en el marco ordinario de su actividad. Para estos efectos, se considera que un agente independiente no actúa en el marco ordinario de sus actividades, entre otros, cuando se ubique en cualquiera de los siguientes supuestos:</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 </w:t>
      </w:r>
      <w:r w:rsidRPr="00CB470F">
        <w:rPr>
          <w:rFonts w:ascii="Verdana" w:hAnsi="Verdana"/>
          <w:b/>
          <w:bCs/>
          <w:sz w:val="20"/>
        </w:rPr>
        <w:t>VI. ...</w:t>
      </w:r>
    </w:p>
    <w:p w:rsidR="00CB470F" w:rsidRPr="00CB470F" w:rsidRDefault="00CB470F" w:rsidP="00CB470F">
      <w:pPr>
        <w:rPr>
          <w:rFonts w:ascii="Verdana" w:hAnsi="Verdana"/>
          <w:sz w:val="20"/>
        </w:rPr>
      </w:pPr>
      <w:r w:rsidRPr="00CB470F">
        <w:rPr>
          <w:rFonts w:ascii="Verdana" w:hAnsi="Verdana"/>
          <w:sz w:val="20"/>
        </w:rPr>
        <w:t>Se presume que una persona física o moral no es un agente independiente, cuando actúe exclusiva o casi exclusivamente por cuenta de residentes en el extranjero que sean sus partes relacionadas.</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Artículo 3.</w:t>
      </w:r>
      <w:r w:rsidRPr="00CB470F">
        <w:rPr>
          <w:rFonts w:ascii="Verdana" w:hAnsi="Verdana"/>
          <w:sz w:val="20"/>
        </w:rPr>
        <w:t> No se considerará que constituye establecimiento permanente un lugar de negocios cuyo único fin sea la realización de actividades de carácter preparatorio o auxiliar respecto a la actividad empresarial del residente en el extranjero. Se considera que no se constituye un establecimiento permanente cuando se realicen las siguientes actividades, siempre que tengan el carácter de preparatorio o auxiliar:</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 </w:t>
      </w:r>
      <w:r w:rsidRPr="00CB470F">
        <w:rPr>
          <w:rFonts w:ascii="Verdana" w:hAnsi="Verdana"/>
          <w:b/>
          <w:bCs/>
          <w:sz w:val="20"/>
        </w:rPr>
        <w:t>III. ...</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La utilización de un lugar de negocios con el único fin de desarrollar actividades de propaganda, de suministro de información, de investigación científica, de preparación para la colocación de préstamos, o de otras actividades similares.</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El párrafo anterior no será aplicable cuando el residente en el extranjero realice funciones en uno o más lugares de negocios en territorio nacional que sean complementarias como parte de una operación de negocios cohesiva, a las que realice un establecimiento permanente que tenga en territorio nacional, o a las que realice en uno o más lugares de negocios en territorio nacional una parte relacionada que sea residente en México o residente en el extranjero con establecimiento permanente en el país. Tampoco será aplicable el párrafo anterior cuando el residente en el extranjero o una parte relacionada, tenga en territorio nacional algún lugar de negocios en donde se desarrollen funciones complementarias que sean parte de una operación de negocios cohesiva, pero cuya combinación de actividades dé como resultado que no tengan el carácter preparatorio o auxiliar.</w:t>
      </w:r>
    </w:p>
    <w:p w:rsidR="00CB470F" w:rsidRPr="00CB470F" w:rsidRDefault="00CB470F" w:rsidP="00CB470F">
      <w:pPr>
        <w:rPr>
          <w:rFonts w:ascii="Verdana" w:hAnsi="Verdana"/>
          <w:sz w:val="20"/>
        </w:rPr>
      </w:pPr>
      <w:r w:rsidRPr="00CB470F">
        <w:rPr>
          <w:rFonts w:ascii="Verdana" w:hAnsi="Verdana"/>
          <w:sz w:val="20"/>
        </w:rPr>
        <w:t>Lo dispuesto en este artículo también será aplicable en el caso de actividades realizadas a través de una persona física o moral, distinta de un agente independiente.</w:t>
      </w:r>
    </w:p>
    <w:p w:rsidR="00CB470F" w:rsidRPr="00CB470F" w:rsidRDefault="00CB470F" w:rsidP="00CB470F">
      <w:pPr>
        <w:rPr>
          <w:rFonts w:ascii="Verdana" w:hAnsi="Verdana"/>
          <w:sz w:val="20"/>
        </w:rPr>
      </w:pPr>
      <w:r w:rsidRPr="00CB470F">
        <w:rPr>
          <w:rFonts w:ascii="Verdana" w:hAnsi="Verdana"/>
          <w:b/>
          <w:bCs/>
          <w:sz w:val="20"/>
        </w:rPr>
        <w:t>Artículo 4-A. </w:t>
      </w:r>
      <w:r w:rsidRPr="00CB470F">
        <w:rPr>
          <w:rFonts w:ascii="Verdana" w:hAnsi="Verdana"/>
          <w:sz w:val="20"/>
        </w:rPr>
        <w:t>Para efectos de esta Ley, las entidades extranjeras transparentes fiscales y las figuras jurídicas extranjeras sin importar que la totalidad o parte de sus miembros, socios, accionistas o beneficiarios acumulen los ingresos en su país o jurisdicción de residencia, tributarán como personas morales y estarán obligadas al pago del impuesto sobre la renta de conformidad con el Título II, III, V o VI de esta Ley, en caso que les sea aplicable. Para efectos de lo anterior, cuando actualicen lo dispuesto por la fracción II del artículo 9 del Código Fiscal de la Federación se considerarán residentes en México.</w:t>
      </w:r>
    </w:p>
    <w:p w:rsidR="00CB470F" w:rsidRPr="00CB470F" w:rsidRDefault="00CB470F" w:rsidP="00CB470F">
      <w:pPr>
        <w:rPr>
          <w:rFonts w:ascii="Verdana" w:hAnsi="Verdana"/>
          <w:sz w:val="20"/>
        </w:rPr>
      </w:pPr>
      <w:r w:rsidRPr="00CB470F">
        <w:rPr>
          <w:rFonts w:ascii="Verdana" w:hAnsi="Verdana"/>
          <w:sz w:val="20"/>
        </w:rPr>
        <w:t>Se consideran entidades extranjeras, las sociedades y demás entes creados o constituidos conforme al derecho extranjero, a condición de que tengan personalidad jurídica propia, así como las personas morales constituidas conforme a derecho mexicano que sean residentes en el extranjero, y se consideran figuras jurídicas extranjeras, los fideicomisos, las asociaciones, los fondos de inversión y cualquier otra figura jurídica similar del derecho extranjero, siempre que no tengan personalidad jurídica propia.</w:t>
      </w:r>
    </w:p>
    <w:p w:rsidR="00CB470F" w:rsidRPr="00CB470F" w:rsidRDefault="00CB470F" w:rsidP="00CB470F">
      <w:pPr>
        <w:rPr>
          <w:rFonts w:ascii="Verdana" w:hAnsi="Verdana"/>
          <w:sz w:val="20"/>
        </w:rPr>
      </w:pPr>
      <w:r w:rsidRPr="00CB470F">
        <w:rPr>
          <w:rFonts w:ascii="Verdana" w:hAnsi="Verdana"/>
          <w:sz w:val="20"/>
        </w:rPr>
        <w:t xml:space="preserve">Se considera que las entidades extranjeras y las figuras jurídicas extranjeras son transparentes fiscales, cuando no sean residentes fiscales para efectos del impuesto </w:t>
      </w:r>
      <w:r w:rsidRPr="00CB470F">
        <w:rPr>
          <w:rFonts w:ascii="Verdana" w:hAnsi="Verdana"/>
          <w:sz w:val="20"/>
        </w:rPr>
        <w:lastRenderedPageBreak/>
        <w:t>sobre la renta, en el país o jurisdicción donde estén constituidas ni donde tengan su administración principal de negocios o sede de dirección efectiva, y sus ingresos sean atribuidos a sus miembros, socios, accionistas o beneficiarios. Cuando se consideren residentes fiscales en México, dejarán de considerarse transparentes fiscales para efectos de esta Ley.</w:t>
      </w:r>
    </w:p>
    <w:p w:rsidR="00CB470F" w:rsidRPr="00CB470F" w:rsidRDefault="00CB470F" w:rsidP="00CB470F">
      <w:pPr>
        <w:rPr>
          <w:rFonts w:ascii="Verdana" w:hAnsi="Verdana"/>
          <w:sz w:val="20"/>
        </w:rPr>
      </w:pPr>
      <w:r w:rsidRPr="00CB470F">
        <w:rPr>
          <w:rFonts w:ascii="Verdana" w:hAnsi="Verdana"/>
          <w:sz w:val="20"/>
        </w:rPr>
        <w:t>Lo dispuesto en este artículo no será aplicable a los tratados para evitar la doble imposición, en cuyo caso, serán aplicables las disposiciones contenidas en los mismos.</w:t>
      </w:r>
    </w:p>
    <w:p w:rsidR="00CB470F" w:rsidRPr="00CB470F" w:rsidRDefault="00CB470F" w:rsidP="00CB470F">
      <w:pPr>
        <w:rPr>
          <w:rFonts w:ascii="Verdana" w:hAnsi="Verdana"/>
          <w:sz w:val="20"/>
        </w:rPr>
      </w:pPr>
      <w:r w:rsidRPr="00CB470F">
        <w:rPr>
          <w:rFonts w:ascii="Verdana" w:hAnsi="Verdana"/>
          <w:b/>
          <w:bCs/>
          <w:sz w:val="20"/>
        </w:rPr>
        <w:t>Artículo 4-B. </w:t>
      </w:r>
      <w:r w:rsidRPr="00CB470F">
        <w:rPr>
          <w:rFonts w:ascii="Verdana" w:hAnsi="Verdana"/>
          <w:sz w:val="20"/>
        </w:rPr>
        <w:t>Los residentes en México y los residentes en el extranjero con establecimiento permanente en el país por los ingresos atribuibles al mismo, están obligados a pagar el impuesto de conformidad con esta Ley, por los ingresos que obtengan a través de entidades extranjeras transparentes fiscales en la proporción que les corresponda por su participación en ellas. En los casos que la entidad extranjera sea parcialmente transparente, los contribuyentes sólo acumularán el ingreso que se les atribuya. Para determinar el monto de los ingresos señalados en este párrafo, se considerará la utilidad fiscal del año de calendario de la entidad extranjera calculada en los términos del Título II de esta Ley.</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Los residentes en México y los residentes en el extranjero con establecimiento permanente en el país por los ingresos atribuibles al mismo, también se encuentran obligados a pagar el impuesto de conformidad con esta Ley, por los ingresos que obtengan a través de figuras jurídicas extranjeras en la proporción que les corresponda, sin importar su tratamiento fiscal en el extranjero. En caso que las figuras jurídicas extranjeras sean transparentes fiscales, los ingresos se acumularán en los términos del Título de esta Ley que le corresponda al contribuyente y serán gravables en el mismo año de calendario en que se generen. En estos casos, los contribuyentes podrán efectuar la deducción por los gastos e inversiones que realizó la figura jurídica siempre que sean deducibles de conformidad con el Título de esta Ley que les corresponda, siempre que se realice en la misma proporción que acumularon los ingresos y se cumpla con las reglas de carácter general que emita el Servicio de Administración Tributaria.</w:t>
      </w:r>
    </w:p>
    <w:p w:rsidR="00CB470F" w:rsidRPr="00CB470F" w:rsidRDefault="00CB470F" w:rsidP="00CB470F">
      <w:pPr>
        <w:rPr>
          <w:rFonts w:ascii="Verdana" w:hAnsi="Verdana"/>
          <w:sz w:val="20"/>
        </w:rPr>
      </w:pPr>
      <w:r w:rsidRPr="00CB470F">
        <w:rPr>
          <w:rFonts w:ascii="Verdana" w:hAnsi="Verdana"/>
          <w:sz w:val="20"/>
        </w:rPr>
        <w:t>En caso que las figuras jurídicas extranjeras sean consideradas residentes fiscales en un país o jurisdicción en el extranjero o en México, el monto de los ingresos será la utilidad fiscal del año de calendario de dicha figura jurídica calculada en los términos del Título II de esta Ley y se deberán de acumular por el contribuyente al 31 de diciembre del año de calendario que se generaron.</w:t>
      </w:r>
    </w:p>
    <w:p w:rsidR="00CB470F" w:rsidRPr="00CB470F" w:rsidRDefault="00CB470F" w:rsidP="00CB470F">
      <w:pPr>
        <w:rPr>
          <w:rFonts w:ascii="Verdana" w:hAnsi="Verdana"/>
          <w:sz w:val="20"/>
        </w:rPr>
      </w:pPr>
      <w:r w:rsidRPr="00CB470F">
        <w:rPr>
          <w:rFonts w:ascii="Verdana" w:hAnsi="Verdana"/>
          <w:sz w:val="20"/>
        </w:rPr>
        <w:t xml:space="preserve">Lo dispuesto en este artículo sólo será aplicable cuando el residente en México tenga una participación directa sobre la entidad extranjera transparente fiscal o figura jurídica extranjera, o cuando tengan una participación indirecta que involucre otras entidades extranjeras transparentes fiscales o figuras jurídicas extranjeras. En caso que su participación indirecta involucre por lo menos una entidad extranjera que no sea transparente fiscal, los ingresos que se obtengan a través de la entidad extranjera transparente fiscal o la figura jurídica extranjera sobre la cual tiene participación la </w:t>
      </w:r>
      <w:r w:rsidRPr="00CB470F">
        <w:rPr>
          <w:rFonts w:ascii="Verdana" w:hAnsi="Verdana"/>
          <w:sz w:val="20"/>
        </w:rPr>
        <w:lastRenderedPageBreak/>
        <w:t>entidad extranjera que no sea transparente fiscal, estarán sujetos a lo dispuesto por el Capítulo I del Título VI de esta Ley en caso de ser aplicable.</w:t>
      </w:r>
    </w:p>
    <w:p w:rsidR="00CB470F" w:rsidRPr="00CB470F" w:rsidRDefault="00CB470F" w:rsidP="00CB470F">
      <w:pPr>
        <w:rPr>
          <w:rFonts w:ascii="Verdana" w:hAnsi="Verdana"/>
          <w:sz w:val="20"/>
        </w:rPr>
      </w:pPr>
      <w:r w:rsidRPr="00CB470F">
        <w:rPr>
          <w:rFonts w:ascii="Verdana" w:hAnsi="Verdana"/>
          <w:sz w:val="20"/>
        </w:rPr>
        <w:t>Los ingresos obtenidos de conformidad con este artículo se considerarán generados directamente por el contribuyente. Los impuestos pagados por o a través de entidades extranjeras transparentes o figuras jurídicas extranjeras a las que se refiere este artículo, se considerarán pagados directamente por el contribuyente, en la misma proporción en que hayan acumulado el ingreso de dicha entidad o figura.</w:t>
      </w:r>
    </w:p>
    <w:p w:rsidR="00CB470F" w:rsidRPr="00CB470F" w:rsidRDefault="00CB470F" w:rsidP="00CB470F">
      <w:pPr>
        <w:rPr>
          <w:rFonts w:ascii="Verdana" w:hAnsi="Verdana"/>
          <w:sz w:val="20"/>
        </w:rPr>
      </w:pPr>
      <w:r w:rsidRPr="00CB470F">
        <w:rPr>
          <w:rFonts w:ascii="Verdana" w:hAnsi="Verdana"/>
          <w:sz w:val="20"/>
        </w:rPr>
        <w:t>Si los ingresos de la entidad extranjera transparente fiscal o figura jurídica extranjera están sujetos a un impuesto establecido en esta Ley y éste ha sido efectivamente pagado, el mismo podrá ser acreditado por el contribuyente en los términos del artículo 5 de esta Ley y demás disposiciones fiscales aplicables. En estos casos, el mismo será acreditable en su totalidad considerando la misma proporción en que se haya acumulado el ingreso de dicha entidad o figura.</w:t>
      </w:r>
    </w:p>
    <w:p w:rsidR="00CB470F" w:rsidRPr="00CB470F" w:rsidRDefault="00CB470F" w:rsidP="00CB470F">
      <w:pPr>
        <w:rPr>
          <w:rFonts w:ascii="Verdana" w:hAnsi="Verdana"/>
          <w:sz w:val="20"/>
        </w:rPr>
      </w:pPr>
      <w:r w:rsidRPr="00CB470F">
        <w:rPr>
          <w:rFonts w:ascii="Verdana" w:hAnsi="Verdana"/>
          <w:sz w:val="20"/>
        </w:rPr>
        <w:t>Los contribuyentes señalados en este artículo deberán llevar una cuenta por cada una de las entidades extranjeras transparentes fiscales y figuras jurídicas extranjeras en los mismos términos del artículo 177 de esta Ley, para efectos de no duplicar la acumulación del ingreso cuando dicha entidad distribuya efectivamente un dividendo o utilidad, o cuando la figura jurídica entregue dichos ingresos o los ponga a disposición del contribuyente.</w:t>
      </w:r>
    </w:p>
    <w:p w:rsidR="00CB470F" w:rsidRPr="00CB470F" w:rsidRDefault="00CB470F" w:rsidP="00CB470F">
      <w:pPr>
        <w:rPr>
          <w:rFonts w:ascii="Verdana" w:hAnsi="Verdana"/>
          <w:sz w:val="20"/>
        </w:rPr>
      </w:pPr>
      <w:r w:rsidRPr="00CB470F">
        <w:rPr>
          <w:rFonts w:ascii="Verdana" w:hAnsi="Verdana"/>
          <w:sz w:val="20"/>
        </w:rPr>
        <w:t>Se considera que las entidades extranjeras son parcialmente transparentes, cuando la legislación fiscal extranjera de que se trate atribuya una parte de sus ingresos a sus socios o accionistas, mientras que la parte restante se atribuya a dicha entidad.</w:t>
      </w:r>
    </w:p>
    <w:p w:rsidR="00CB470F" w:rsidRPr="00CB470F" w:rsidRDefault="00CB470F" w:rsidP="00CB470F">
      <w:pPr>
        <w:rPr>
          <w:rFonts w:ascii="Verdana" w:hAnsi="Verdana"/>
          <w:sz w:val="20"/>
        </w:rPr>
      </w:pPr>
      <w:r w:rsidRPr="00CB470F">
        <w:rPr>
          <w:rFonts w:ascii="Verdana" w:hAnsi="Verdana"/>
          <w:sz w:val="20"/>
        </w:rPr>
        <w:t>Lo dispuesto en los párrafos anteriores será aplicable aun cuando la entidad extranjera transparente fiscal o figura jurídica extranjera no distribuya o entregue los ingresos regulados por este artículo. Para determinar la proporción de los ingresos que le corresponda a los contribuyentes, sobre las entidades extranjeras transparentes fiscales y las figuras jurídicas extranjeras, se considerará lo dispuesto por los párrafos cuarto y quinto del artículo 177 de esta Ley sin importar que las personas obligadas de conformidad con este artículo no tengan control sobre dichas entidades o figuras.</w:t>
      </w:r>
    </w:p>
    <w:p w:rsidR="00CB470F" w:rsidRPr="00CB470F" w:rsidRDefault="00CB470F" w:rsidP="00CB470F">
      <w:pPr>
        <w:rPr>
          <w:rFonts w:ascii="Verdana" w:hAnsi="Verdana"/>
          <w:sz w:val="20"/>
        </w:rPr>
      </w:pPr>
      <w:r w:rsidRPr="00CB470F">
        <w:rPr>
          <w:rFonts w:ascii="Verdana" w:hAnsi="Verdana"/>
          <w:sz w:val="20"/>
        </w:rPr>
        <w:t>Adicionalmente, la contabilidad de la entidad extranjera transparente fiscal o figura jurídica extranjera, o la documentación que permita comprobar sus gastos e inversiones, deberá estar a disposición de las autoridades fiscales. En caso de no cumplir con esta obligación, no se permitirá la deducción de los gastos e inversiones realizados por dicha entidad o figura jurídica.</w:t>
      </w:r>
    </w:p>
    <w:p w:rsidR="00CB470F" w:rsidRPr="00CB470F" w:rsidRDefault="00CB470F" w:rsidP="00CB470F">
      <w:pPr>
        <w:rPr>
          <w:rFonts w:ascii="Verdana" w:hAnsi="Verdana"/>
          <w:sz w:val="20"/>
        </w:rPr>
      </w:pPr>
      <w:r w:rsidRPr="00CB470F">
        <w:rPr>
          <w:rFonts w:ascii="Verdana" w:hAnsi="Verdana"/>
          <w:b/>
          <w:bCs/>
          <w:sz w:val="20"/>
        </w:rPr>
        <w:t>Artículo 5.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No se otorgará el acreditamiento previsto en el primer párrafo de este artículo, cuando el impuesto también haya sido acreditado en otro país o jurisdicción por motivo distinto de un acreditamiento similar al señalado en los párrafos segundo y cuarto de este artículo, salvo que el ingreso por el cual se pagó dicho impuesto también se haya acumulado en el otro país o jurisdicción donde se haya acreditado el mismo. No se otorgará el acreditamiento previsto en los párrafos segundo y cuarto de este artículo, cuando el dividendo o utilidad distribuida represente una deducción o una reducción equivalente para la persona moral residente en el extranjero que realiza dicho pago o distribución.</w:t>
      </w:r>
    </w:p>
    <w:p w:rsidR="00CB470F" w:rsidRPr="00CB470F" w:rsidRDefault="00CB470F" w:rsidP="00CB470F">
      <w:pPr>
        <w:rPr>
          <w:rFonts w:ascii="Verdana" w:hAnsi="Verdana"/>
          <w:sz w:val="20"/>
        </w:rPr>
      </w:pPr>
      <w:r w:rsidRPr="00CB470F">
        <w:rPr>
          <w:rFonts w:ascii="Verdana" w:hAnsi="Verdana"/>
          <w:b/>
          <w:bCs/>
          <w:sz w:val="20"/>
        </w:rPr>
        <w:t>Artículo 14.</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xml:space="preserve">       La utilidad fiscal para el pago provisional se determinará multiplicando el coeficiente de utilidad que corresponda conforme a la fracción anterior, por los ingresos nominales correspondientes al periodo comprendido desde el inicio del </w:t>
      </w:r>
      <w:r w:rsidRPr="00CB470F">
        <w:rPr>
          <w:rFonts w:ascii="Verdana" w:hAnsi="Verdana"/>
          <w:sz w:val="20"/>
        </w:rPr>
        <w:lastRenderedPageBreak/>
        <w:t>ejercicio y hasta el último día del mes al que se refiere el pago y, en su caso, se disminuirán los siguientes conceptos:</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El monto de la participación de los trabajadores en las utilidades de las empresas pagada en el mismo ejercicio, en los términos del artículo 123 de la Constitución Política de los Estados Unidos Mexicanos. El citado monto de la participación de los trabajadores en las utilidades de las empresas se deberá disminuir, por partes iguales, en los pagos provisionales correspondientes a los meses de mayo a diciembre del ejercicio fiscal. La disminución a que se refiere este inciso se realizará en los pagos provisionales del ejercicio de manera acumulativa y el monto que se disminuya en términos de este párrafo en ningún caso será deducible de los ingresos acumulables del contribuyente, de conformidad con lo previsto en la fracción XXVI del artículo 28 de esta Ley.</w:t>
      </w:r>
    </w:p>
    <w:p w:rsidR="00CB470F" w:rsidRPr="00CB470F" w:rsidRDefault="00CB470F" w:rsidP="00CB470F">
      <w:pPr>
        <w:rPr>
          <w:rFonts w:ascii="Verdana" w:hAnsi="Verdana"/>
          <w:sz w:val="20"/>
        </w:rPr>
      </w:pPr>
      <w:r w:rsidRPr="00CB470F">
        <w:rPr>
          <w:rFonts w:ascii="Verdana" w:hAnsi="Verdana"/>
          <w:sz w:val="20"/>
        </w:rPr>
        <w:t>       Para los efectos del párrafo anterior, la disminución de la participación de los trabajadores en las utilidades de las empresas se realizará hasta por el monto de la utilidad fiscal determinada para el pago provisional que corresponda y en ningún caso se deberá recalcular el coeficiente de utilidad determinado en los términos de la fracción I de este artículo.</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Las personas morales que distribuyan anticipos o rendimientos en los términos de la fracción II del artículo 94 de esta Ley, disminuirán la utilidad fiscal con el importe de los anticipos y rendimientos que las mismas distribuyan a sus miembros en los términos de la fracción mencionada, en el periodo comprendido desde el inicio del ejercicio y hasta el último día del mes al que se refiere el pago. Se deberá expedir comprobante fiscal en el que conste el monto de los anticipos y rendimientos distribuidos, así como el impuesto retenido.</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La pérdida fiscal de ejercicios anteriores pendiente de aplicar contra las utilidades fiscales, sin perjuicio de disminuir dicha pérdida de la utilidad fiscal del ejercicio.</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III. </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27. ...</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w:t>
      </w:r>
      <w:r w:rsidRPr="00CB470F">
        <w:rPr>
          <w:rFonts w:ascii="Verdana" w:hAnsi="Verdana"/>
          <w:b/>
          <w:bCs/>
          <w:sz w:val="20"/>
        </w:rPr>
        <w:t> IV. ...</w:t>
      </w:r>
    </w:p>
    <w:p w:rsidR="00CB470F" w:rsidRPr="00CB470F" w:rsidRDefault="00CB470F" w:rsidP="00CB470F">
      <w:pPr>
        <w:rPr>
          <w:rFonts w:ascii="Verdana" w:hAnsi="Verdana"/>
          <w:sz w:val="20"/>
        </w:rPr>
      </w:pPr>
      <w:r w:rsidRPr="00CB470F">
        <w:rPr>
          <w:rFonts w:ascii="Verdana" w:hAnsi="Verdana"/>
          <w:b/>
          <w:bCs/>
          <w:sz w:val="20"/>
        </w:rPr>
        <w:lastRenderedPageBreak/>
        <w:t>V.</w:t>
      </w:r>
      <w:r w:rsidRPr="00CB470F">
        <w:rPr>
          <w:rFonts w:ascii="Verdana" w:hAnsi="Verdana"/>
          <w:sz w:val="20"/>
        </w:rPr>
        <w:t>       Cumplir con las obligaciones establecidas en esta Ley y las demás disposiciones fiscales 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Tercer párrafo. </w:t>
      </w:r>
      <w:r w:rsidRPr="00CB470F">
        <w:rPr>
          <w:rFonts w:ascii="Verdana" w:hAnsi="Verdana"/>
          <w:sz w:val="20"/>
        </w:rPr>
        <w:t>(Se deroga).</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Que cuando los pagos cuya deducción se pretenda realizar se hagan a contribuyentes que causen el impuesto al valor agregado, dicho impuesto se traslade en forma expresa y por separado en el comprobante fiscal correspondiente. Asimismo, deberán cumplir con la obligación de retención y entero del impuesto al valor agregado que, en su caso, se establezca en la Ley de la materia.</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VII. </w:t>
      </w:r>
      <w:r w:rsidRPr="00CB470F">
        <w:rPr>
          <w:rFonts w:ascii="Verdana" w:hAnsi="Verdana"/>
          <w:sz w:val="20"/>
        </w:rPr>
        <w:t>a </w:t>
      </w:r>
      <w:r w:rsidRPr="00CB470F">
        <w:rPr>
          <w:rFonts w:ascii="Verdana" w:hAnsi="Verdana"/>
          <w:b/>
          <w:bCs/>
          <w:sz w:val="20"/>
        </w:rPr>
        <w:t>XXII. ...</w:t>
      </w:r>
    </w:p>
    <w:p w:rsidR="00CB470F" w:rsidRPr="00CB470F" w:rsidRDefault="00CB470F" w:rsidP="00CB470F">
      <w:pPr>
        <w:rPr>
          <w:rFonts w:ascii="Verdana" w:hAnsi="Verdana"/>
          <w:sz w:val="20"/>
        </w:rPr>
      </w:pPr>
      <w:r w:rsidRPr="00CB470F">
        <w:rPr>
          <w:rFonts w:ascii="Verdana" w:hAnsi="Verdana"/>
          <w:b/>
          <w:bCs/>
          <w:sz w:val="20"/>
        </w:rPr>
        <w:t>Artículo 28. ...</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 </w:t>
      </w:r>
      <w:r w:rsidRPr="00CB470F">
        <w:rPr>
          <w:rFonts w:ascii="Verdana" w:hAnsi="Verdana"/>
          <w:b/>
          <w:bCs/>
          <w:sz w:val="20"/>
        </w:rPr>
        <w:t>XXII. ...</w:t>
      </w:r>
    </w:p>
    <w:p w:rsidR="00CB470F" w:rsidRPr="00CB470F" w:rsidRDefault="00CB470F" w:rsidP="00CB470F">
      <w:pPr>
        <w:rPr>
          <w:rFonts w:ascii="Verdana" w:hAnsi="Verdana"/>
          <w:sz w:val="20"/>
        </w:rPr>
      </w:pPr>
      <w:r w:rsidRPr="00CB470F">
        <w:rPr>
          <w:rFonts w:ascii="Verdana" w:hAnsi="Verdana"/>
          <w:b/>
          <w:bCs/>
          <w:sz w:val="20"/>
        </w:rPr>
        <w:t>XXIII.</w:t>
      </w:r>
      <w:r w:rsidRPr="00CB470F">
        <w:rPr>
          <w:rFonts w:ascii="Verdana" w:hAnsi="Verdana"/>
          <w:sz w:val="20"/>
        </w:rPr>
        <w:t>  Los pagos realizados a partes relacionadas o a través de un acuerdo estructurado, cuando los ingresos de su contraparte</w:t>
      </w:r>
      <w:r w:rsidRPr="00CB470F">
        <w:rPr>
          <w:rFonts w:ascii="Verdana" w:hAnsi="Verdana"/>
          <w:b/>
          <w:bCs/>
          <w:sz w:val="20"/>
        </w:rPr>
        <w:t> </w:t>
      </w:r>
      <w:r w:rsidRPr="00CB470F">
        <w:rPr>
          <w:rFonts w:ascii="Verdana" w:hAnsi="Verdana"/>
          <w:sz w:val="20"/>
        </w:rPr>
        <w:t>estén sujetos a regímenes fiscales preferentes.</w:t>
      </w:r>
    </w:p>
    <w:p w:rsidR="00CB470F" w:rsidRPr="00CB470F" w:rsidRDefault="00CB470F" w:rsidP="00CB470F">
      <w:pPr>
        <w:rPr>
          <w:rFonts w:ascii="Verdana" w:hAnsi="Verdana"/>
          <w:sz w:val="20"/>
        </w:rPr>
      </w:pPr>
      <w:r w:rsidRPr="00CB470F">
        <w:rPr>
          <w:rFonts w:ascii="Verdana" w:hAnsi="Verdana"/>
          <w:sz w:val="20"/>
        </w:rPr>
        <w:t>         Esta fracción también será aplicable cuando el pago no se considere un ingreso sujeto a un régimen fiscal preferente, si el receptor directo o indirecto del mismo, utiliza su importe para realizar otros pagos deducibles a otro miembro del grupo o en virtud de un acuerdo estructurado, que se consideren ingresos sujetos a regímenes fiscales preferentes. Lo dispuesto anteriormente será aplicable sin importar que el pago que realice el receptor se efectúe con anterioridad al pago que realice el contribuyente.</w:t>
      </w:r>
      <w:r w:rsidRPr="00CB470F">
        <w:rPr>
          <w:rFonts w:ascii="Verdana" w:hAnsi="Verdana"/>
          <w:b/>
          <w:bCs/>
          <w:sz w:val="20"/>
        </w:rPr>
        <w:t> </w:t>
      </w:r>
      <w:r w:rsidRPr="00CB470F">
        <w:rPr>
          <w:rFonts w:ascii="Verdana" w:hAnsi="Verdana"/>
          <w:sz w:val="20"/>
        </w:rPr>
        <w:t>Se presume lo anterior,</w:t>
      </w:r>
      <w:r w:rsidRPr="00CB470F">
        <w:rPr>
          <w:rFonts w:ascii="Verdana" w:hAnsi="Verdana"/>
          <w:b/>
          <w:bCs/>
          <w:sz w:val="20"/>
        </w:rPr>
        <w:t> </w:t>
      </w:r>
      <w:r w:rsidRPr="00CB470F">
        <w:rPr>
          <w:rFonts w:ascii="Verdana" w:hAnsi="Verdana"/>
          <w:sz w:val="20"/>
        </w:rPr>
        <w:t>salvo prueba en contrario, cuando dicho receptor realice pagos deducibles que se consideren para su contraparte</w:t>
      </w:r>
      <w:r w:rsidRPr="00CB470F">
        <w:rPr>
          <w:rFonts w:ascii="Verdana" w:hAnsi="Verdana"/>
          <w:b/>
          <w:bCs/>
          <w:sz w:val="20"/>
        </w:rPr>
        <w:t> </w:t>
      </w:r>
      <w:r w:rsidRPr="00CB470F">
        <w:rPr>
          <w:rFonts w:ascii="Verdana" w:hAnsi="Verdana"/>
          <w:sz w:val="20"/>
        </w:rPr>
        <w:t>ingresos sujetos a regímenes fiscales preferentes, si el monto de los mismos es igual o mayor al 20% del pago realizado por el contribuyente. En este caso, no será deducible el monto equivalente al pago deducible realizado por el receptor que se considere un ingreso sujeto a un régimen fiscal preferente. Lo dispuesto anteriormente, se calculará independientemente del número de transacciones involucradas, y será aplicable solo por operaciones realizadas entre miembros del mismo grupo o en virtud de un acuerdo estructurado. El Servicio de Administración Tributaria emitirá reglas de carácter general para regular la interacción de la aplicación de este párrafo, con reglas similares contenidas en la legislación extranjera</w:t>
      </w:r>
      <w:r w:rsidRPr="00CB470F">
        <w:rPr>
          <w:rFonts w:ascii="Verdana" w:hAnsi="Verdana"/>
          <w:b/>
          <w:bCs/>
          <w:sz w:val="20"/>
        </w:rPr>
        <w:t> </w:t>
      </w:r>
      <w:r w:rsidRPr="00CB470F">
        <w:rPr>
          <w:rFonts w:ascii="Verdana" w:hAnsi="Verdana"/>
          <w:sz w:val="20"/>
        </w:rPr>
        <w:t>que nieguen la deducción de pagos realizados a regímenes fiscales preferentes o en virtud de que se encuentren sujetos a mecanismos híbridos.</w:t>
      </w:r>
    </w:p>
    <w:p w:rsidR="00CB470F" w:rsidRPr="00CB470F" w:rsidRDefault="00CB470F" w:rsidP="00CB470F">
      <w:pPr>
        <w:rPr>
          <w:rFonts w:ascii="Verdana" w:hAnsi="Verdana"/>
          <w:sz w:val="20"/>
        </w:rPr>
      </w:pPr>
      <w:r w:rsidRPr="00CB470F">
        <w:rPr>
          <w:rFonts w:ascii="Verdana" w:hAnsi="Verdana"/>
          <w:sz w:val="20"/>
        </w:rPr>
        <w:lastRenderedPageBreak/>
        <w:t>         Esta fracción no será aplicable cuando el pago que se considere un ingreso sujeto a un régimen fiscal preferente, derive del ejercicio de la actividad empresarial del receptor del mismo, siempre que se demuestre que éste cuenta con el personal y los activos necesarios para la realización de dicha actividad. Este párrafo solo será aplicable cuando el receptor del pago tenga su sede de dirección efectiva y esté constituido en un país o jurisdicción con el que México tenga un acuerdo amplio de intercambio de información.</w:t>
      </w:r>
    </w:p>
    <w:p w:rsidR="00CB470F" w:rsidRPr="00CB470F" w:rsidRDefault="00CB470F" w:rsidP="00CB470F">
      <w:pPr>
        <w:rPr>
          <w:rFonts w:ascii="Verdana" w:hAnsi="Verdana"/>
          <w:sz w:val="20"/>
        </w:rPr>
      </w:pPr>
      <w:r w:rsidRPr="00CB470F">
        <w:rPr>
          <w:rFonts w:ascii="Verdana" w:hAnsi="Verdana"/>
          <w:sz w:val="20"/>
        </w:rPr>
        <w:t>Lo dispuesto en el párrafo anterior no será aplicable, cuando el pago se considere un ingreso sujeto a un régimen fiscal preferente por motivo de un mecanismo híbrido. Para efectos de esta fracción, se considera que existe un mecanismo híbrido, cuando la legislación fiscal nacional y extranjera caractericen de forma distinta a una persona moral, figura jurídica, ingreso o el propietario de los activos o un pago, y que dé como resultado una deducción en México y que la totalidad o una parte del pago no se encuentre gravado en el extranjero. Tampoco será aplicable lo dispuesto en el</w:t>
      </w:r>
    </w:p>
    <w:p w:rsidR="00CB470F" w:rsidRPr="00CB470F" w:rsidRDefault="00CB470F" w:rsidP="00CB470F">
      <w:pPr>
        <w:rPr>
          <w:rFonts w:ascii="Verdana" w:hAnsi="Verdana"/>
          <w:sz w:val="20"/>
        </w:rPr>
      </w:pPr>
      <w:r w:rsidRPr="00CB470F">
        <w:rPr>
          <w:rFonts w:ascii="Verdana" w:hAnsi="Verdana"/>
          <w:sz w:val="20"/>
        </w:rPr>
        <w:t>párrafo anterior, cuando el pago sea atribuido a un establecimiento permanente o a una sucursal de un miembro del grupo o por virtud de un acuerdo estructurado, siempre que dicho pago no se encuentre gravado en el país o jurisdicción de residencia fiscal del receptor del mismo, ni en donde se encuentre ubicado dicho establecimiento permanente o sucursal.</w:t>
      </w:r>
    </w:p>
    <w:p w:rsidR="00CB470F" w:rsidRPr="00CB470F" w:rsidRDefault="00CB470F" w:rsidP="00CB470F">
      <w:pPr>
        <w:rPr>
          <w:rFonts w:ascii="Verdana" w:hAnsi="Verdana"/>
          <w:sz w:val="20"/>
        </w:rPr>
      </w:pPr>
      <w:r w:rsidRPr="00CB470F">
        <w:rPr>
          <w:rFonts w:ascii="Verdana" w:hAnsi="Verdana"/>
          <w:sz w:val="20"/>
        </w:rPr>
        <w:t>Lo dispuesto en el párrafo anterior no será aplicable a los pagos efectuados por el contribuyente a uno de sus socios o accionistas, cuando la legislación fiscal del país o jurisdicción en donde residen estos últimos considere dichos ingresos inexistentes o no gravables en virtud de que al contribuyente se le considere como transparente fiscal para efectos de dicha legislación. Este párrafo solo será aplicable cuando el receptor del pago acumule los ingresos generados por el contribuyente en la parte proporcional a su participación y siempre que estos no se consideren como ingresos sujetos a regímenes fiscales preferentes. No obstante lo anterior, si el monto total de los pagos realizados a que se refiere este párrafo, excede del monto total de los referidos ingresos del contribuyente que hayan sido acumulados por el receptor del pago, la diferencia será no deducible. Si se genera un importe no deducible en el ejercicio por motivo de momentos distintos en la acumulación de ingresos entre el contribuyente y sus socios o accionistas, dicho importe podrá deducirse en los términos que dispongan las reglas de carácter general que al efecto expida el Servicio de Administración Tributaria.</w:t>
      </w:r>
    </w:p>
    <w:p w:rsidR="00CB470F" w:rsidRPr="00CB470F" w:rsidRDefault="00CB470F" w:rsidP="00CB470F">
      <w:pPr>
        <w:rPr>
          <w:rFonts w:ascii="Verdana" w:hAnsi="Verdana"/>
          <w:sz w:val="20"/>
        </w:rPr>
      </w:pPr>
      <w:r w:rsidRPr="00CB470F">
        <w:rPr>
          <w:rFonts w:ascii="Verdana" w:hAnsi="Verdana"/>
          <w:sz w:val="20"/>
        </w:rPr>
        <w:t>No se aplicará lo señalado en esta fracción en la proporción que el pago esté gravado de forma indirecta por motivo de la aplicación del artículo 4-B o el Capítulo I del Título VI de esta Ley, o disposiciones similares contenidas en la legislación fiscal extranjera en los términos que dispongan las reglas de carácter general que expida el Servicio de Administración Tributaria. Tampoco será aplicable lo señalado en esta fracción, cuando el pago se encuentre sujeto a la tasa de retención establecida en el artículo 171 de esta Ley. Lo señalado en este párrafo no será aplicable en el supuesto establecido en el párrafo quinto de esta fracción.</w:t>
      </w:r>
    </w:p>
    <w:p w:rsidR="00CB470F" w:rsidRPr="00CB470F" w:rsidRDefault="00CB470F" w:rsidP="00CB470F">
      <w:pPr>
        <w:rPr>
          <w:rFonts w:ascii="Verdana" w:hAnsi="Verdana"/>
          <w:sz w:val="20"/>
        </w:rPr>
      </w:pPr>
      <w:r w:rsidRPr="00CB470F">
        <w:rPr>
          <w:rFonts w:ascii="Verdana" w:hAnsi="Verdana"/>
          <w:sz w:val="20"/>
        </w:rPr>
        <w:lastRenderedPageBreak/>
        <w:t>Para efectos de esta fracción, se considera un acuerdo estructurado, cualquier acuerdo en el que participe el contribuyente o una de sus partes relacionadas, y cuya contraprestación se encuentre en función de pagos realizados a regímenes fiscales preferentes que favorezcan al contribuyente o a una de sus partes relacionadas, o cuando con base en los hechos o circunstancias se pueda concluir que el acuerdo fue realizado para este propósito.</w:t>
      </w:r>
    </w:p>
    <w:p w:rsidR="00CB470F" w:rsidRPr="00CB470F" w:rsidRDefault="00CB470F" w:rsidP="00CB470F">
      <w:pPr>
        <w:rPr>
          <w:rFonts w:ascii="Verdana" w:hAnsi="Verdana"/>
          <w:sz w:val="20"/>
        </w:rPr>
      </w:pPr>
      <w:r w:rsidRPr="00CB470F">
        <w:rPr>
          <w:rFonts w:ascii="Verdana" w:hAnsi="Verdana"/>
          <w:sz w:val="20"/>
        </w:rPr>
        <w:t>Para efectos de esta fracción, se considera que dos miembros se encuentran en un mismo grupo cuando uno de ellos tenga el control efectivo del otro, o bien, cuando un tercero tenga el control efectivo de ambos. Se considerará control efectivo lo señalado en el artículo 176 de esta Ley, sin importar la residencia fiscal de las partes involucradas.</w:t>
      </w:r>
    </w:p>
    <w:p w:rsidR="00CB470F" w:rsidRPr="00CB470F" w:rsidRDefault="00CB470F" w:rsidP="00CB470F">
      <w:pPr>
        <w:rPr>
          <w:rFonts w:ascii="Verdana" w:hAnsi="Verdana"/>
          <w:sz w:val="20"/>
        </w:rPr>
      </w:pPr>
      <w:r w:rsidRPr="00CB470F">
        <w:rPr>
          <w:rFonts w:ascii="Verdana" w:hAnsi="Verdana"/>
          <w:b/>
          <w:bCs/>
          <w:sz w:val="20"/>
        </w:rPr>
        <w:t>XXIV. </w:t>
      </w:r>
      <w:r w:rsidRPr="00CB470F">
        <w:rPr>
          <w:rFonts w:ascii="Verdana" w:hAnsi="Verdana"/>
          <w:sz w:val="20"/>
        </w:rPr>
        <w:t>a </w:t>
      </w:r>
      <w:r w:rsidRPr="00CB470F">
        <w:rPr>
          <w:rFonts w:ascii="Verdana" w:hAnsi="Verdana"/>
          <w:b/>
          <w:bCs/>
          <w:sz w:val="20"/>
        </w:rPr>
        <w:t>XXVIII. ...</w:t>
      </w:r>
    </w:p>
    <w:p w:rsidR="00CB470F" w:rsidRPr="00CB470F" w:rsidRDefault="00CB470F" w:rsidP="00CB470F">
      <w:pPr>
        <w:rPr>
          <w:rFonts w:ascii="Verdana" w:hAnsi="Verdana"/>
          <w:sz w:val="20"/>
        </w:rPr>
      </w:pPr>
      <w:r w:rsidRPr="00CB470F">
        <w:rPr>
          <w:rFonts w:ascii="Verdana" w:hAnsi="Verdana"/>
          <w:b/>
          <w:bCs/>
          <w:sz w:val="20"/>
        </w:rPr>
        <w:t>XXIX.</w:t>
      </w:r>
      <w:r w:rsidRPr="00CB470F">
        <w:rPr>
          <w:rFonts w:ascii="Verdana" w:hAnsi="Verdana"/>
          <w:sz w:val="20"/>
        </w:rPr>
        <w:t>  Los pagos que efectúe el contribuyente que también sean deducibles para un miembro del mismo grupo, o para el mismo contribuyente en un país o jurisdicción en donde también sea considerado residente fiscal. Si el contribuyente es un residente en el extranjero con establecimiento permanente en territorio nacional, esta fracción también será aplicable cuando el pago sea deducible para el residente en el extranjero en su país o jurisdicción de residencia fiscal.</w:t>
      </w:r>
    </w:p>
    <w:p w:rsidR="00CB470F" w:rsidRPr="00CB470F" w:rsidRDefault="00CB470F" w:rsidP="00CB470F">
      <w:pPr>
        <w:rPr>
          <w:rFonts w:ascii="Verdana" w:hAnsi="Verdana"/>
          <w:sz w:val="20"/>
        </w:rPr>
      </w:pPr>
      <w:r w:rsidRPr="00CB470F">
        <w:rPr>
          <w:rFonts w:ascii="Verdana" w:hAnsi="Verdana"/>
          <w:sz w:val="20"/>
        </w:rPr>
        <w:t>Lo dispuesto en esta fracción no será aplicable cuando el miembro del mismo grupo o el residente en el extranjero, referidos en el párrafo anterior, acumulen los ingresos generados por el contribuyente en la parte proporcional a su participación. En el caso que el contribuyente también sea considerado residente fiscal en otro país o jurisdicción, lo dispuesto en esta fracción no será aplicable siempre que los ingresos gravados en México también se acumulen en el otro país o jurisdicción. No obstante lo anterior, si el monto total de los pagos realizados a que se refiere esta fracción, excede del monto total de los ingresos del contribuyente que hayan sido acumulados por los referidos sujetos, el importe que corresponda a dicha diferencia será no deducible en proporción a su participación. Si se genera un importe no deducible en el ejercicio por motivo de momentos distintos en la acumulación de ingresos entre el contribuyente y el miembro del mismo grupo o residente en el extranjero, dicho importe podrá deducirse en los términos que dispongan las reglas de carácter general que al efecto expida el Servicio de Administración Tributaria.</w:t>
      </w:r>
    </w:p>
    <w:p w:rsidR="00CB470F" w:rsidRPr="00CB470F" w:rsidRDefault="00CB470F" w:rsidP="00CB470F">
      <w:pPr>
        <w:rPr>
          <w:rFonts w:ascii="Verdana" w:hAnsi="Verdana"/>
          <w:sz w:val="20"/>
        </w:rPr>
      </w:pPr>
      <w:r w:rsidRPr="00CB470F">
        <w:rPr>
          <w:rFonts w:ascii="Verdana" w:hAnsi="Verdana"/>
          <w:sz w:val="20"/>
        </w:rPr>
        <w:t>Lo señalado en la fracción XXIII de este artículo será aplicable para efecto de determinar si dos miembros se encuentran en un mismo grupo.</w:t>
      </w:r>
    </w:p>
    <w:p w:rsidR="00CB470F" w:rsidRPr="00CB470F" w:rsidRDefault="00CB470F" w:rsidP="00CB470F">
      <w:pPr>
        <w:rPr>
          <w:rFonts w:ascii="Verdana" w:hAnsi="Verdana"/>
          <w:sz w:val="20"/>
        </w:rPr>
      </w:pPr>
      <w:r w:rsidRPr="00CB470F">
        <w:rPr>
          <w:rFonts w:ascii="Verdana" w:hAnsi="Verdana"/>
          <w:b/>
          <w:bCs/>
          <w:sz w:val="20"/>
        </w:rPr>
        <w:t>XXX.</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XXXI.</w:t>
      </w:r>
      <w:r w:rsidRPr="00CB470F">
        <w:rPr>
          <w:rFonts w:ascii="Verdana" w:hAnsi="Verdana"/>
          <w:sz w:val="20"/>
        </w:rPr>
        <w:t>  (Se deroga).</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XXXII.</w:t>
      </w:r>
      <w:r w:rsidRPr="00CB470F">
        <w:rPr>
          <w:rFonts w:ascii="Verdana" w:hAnsi="Verdana"/>
          <w:sz w:val="20"/>
        </w:rPr>
        <w:t> Los intereses netos del ejercicio que excedan del monto que resulte de multiplicar la utilidad fiscal ajustada por el 30%.</w:t>
      </w:r>
    </w:p>
    <w:p w:rsidR="00CB470F" w:rsidRPr="00CB470F" w:rsidRDefault="00CB470F" w:rsidP="00CB470F">
      <w:pPr>
        <w:rPr>
          <w:rFonts w:ascii="Verdana" w:hAnsi="Verdana"/>
          <w:sz w:val="20"/>
        </w:rPr>
      </w:pPr>
      <w:r w:rsidRPr="00CB470F">
        <w:rPr>
          <w:rFonts w:ascii="Verdana" w:hAnsi="Verdana"/>
          <w:sz w:val="20"/>
        </w:rPr>
        <w:lastRenderedPageBreak/>
        <w:t>Esta fracción solo será aplicable a los contribuyentes cuyos intereses devengados durante el ejercicio que deriven de sus deudas excedan de $20,000,000.00. Esta cantidad aplicará conjuntamente a todas las personas morales sujetas a este Título y establecimientos permanentes de residentes en el extranjero que pertenezcan a un mismo grupo o que sean partes relacionadas. Se considerará como grupo lo establecido por el último párrafo del artículo 24 de esta Ley. Esta cantidad se repartirá entre las personas miembros del grupo o partes relacionadas, en la proporción de los ingresos acumulables generados durante el ejercicio anterior por los contribuyentes a los que les aplica esta fracción.</w:t>
      </w:r>
    </w:p>
    <w:p w:rsidR="00CB470F" w:rsidRPr="00CB470F" w:rsidRDefault="00CB470F" w:rsidP="00CB470F">
      <w:pPr>
        <w:rPr>
          <w:rFonts w:ascii="Verdana" w:hAnsi="Verdana"/>
          <w:sz w:val="20"/>
        </w:rPr>
      </w:pPr>
      <w:r w:rsidRPr="00CB470F">
        <w:rPr>
          <w:rFonts w:ascii="Verdana" w:hAnsi="Verdana"/>
          <w:sz w:val="20"/>
        </w:rPr>
        <w:t>         Los intereses netos del ejercicio corresponderán a la cantidad que resulte de restar al total de los intereses devengados durante el ejercicio que deriven de deudas del contribuyente, el total de los ingresos por intereses acumulados durante el mismo periodo y la cantidad señalada en el párrafo anterior. Esta fracción no será aplicable cuando el monto de los intereses acumulados sea igual o superior al monto de los intereses devengados.</w:t>
      </w:r>
    </w:p>
    <w:p w:rsidR="00CB470F" w:rsidRPr="00CB470F" w:rsidRDefault="00CB470F" w:rsidP="00CB470F">
      <w:pPr>
        <w:rPr>
          <w:rFonts w:ascii="Verdana" w:hAnsi="Verdana"/>
          <w:sz w:val="20"/>
        </w:rPr>
      </w:pPr>
      <w:r w:rsidRPr="00CB470F">
        <w:rPr>
          <w:rFonts w:ascii="Verdana" w:hAnsi="Verdana"/>
          <w:sz w:val="20"/>
        </w:rPr>
        <w:t>         La utilidad fiscal ajustada será la cantidad que resulte de sumar a la utilidad fiscal señalada en la fracción I del artículo 9 de esta Ley, el total de los intereses devengados durante el ejercicio que deriven de deudas del contribuyente, así como el monto total deducido en el ejercicio por concepto de activos fijos, gastos diferidos, cargos diferidos y erogaciones realizadas en periodos preoperativos de conformidad con esta Ley y demás disposiciones fiscales.</w:t>
      </w:r>
    </w:p>
    <w:p w:rsidR="00CB470F" w:rsidRPr="00CB470F" w:rsidRDefault="00CB470F" w:rsidP="00CB470F">
      <w:pPr>
        <w:rPr>
          <w:rFonts w:ascii="Verdana" w:hAnsi="Verdana"/>
          <w:sz w:val="20"/>
        </w:rPr>
      </w:pPr>
      <w:r w:rsidRPr="00CB470F">
        <w:rPr>
          <w:rFonts w:ascii="Verdana" w:hAnsi="Verdana"/>
          <w:sz w:val="20"/>
        </w:rPr>
        <w:t>La utilidad fiscal ajustada será determinada aun cuando no se obtenga una utilidad fiscal de conformidad con la fracción I del artículo 9 de esta Ley o se genere una pérdida fiscal durante el ejercicio de conformidad con el párrafo primero del artículo 57 del mismo ordenamiento. En el caso que se genere una pérdida fiscal, se restará el monto de la misma de los conceptos señalados en el párrafo anterior. Cuando el monto de la utilidad fiscal ajustada resulte en cero o en un número negativo, se negará la deducción de la totalidad de los intereses a cargo del contribuyente, salvo por el monto que no se encuentre sujeto a esta fracción.</w:t>
      </w:r>
    </w:p>
    <w:p w:rsidR="00CB470F" w:rsidRPr="00CB470F" w:rsidRDefault="00CB470F" w:rsidP="00CB470F">
      <w:pPr>
        <w:rPr>
          <w:rFonts w:ascii="Verdana" w:hAnsi="Verdana"/>
          <w:sz w:val="20"/>
        </w:rPr>
      </w:pPr>
      <w:r w:rsidRPr="00CB470F">
        <w:rPr>
          <w:rFonts w:ascii="Verdana" w:hAnsi="Verdana"/>
          <w:sz w:val="20"/>
        </w:rPr>
        <w:t>         Para efectos de los párrafos anteriores, el total de los intereses devengados durante el ejercicio que deriven de deudas del contribuyente, sólo incluye los montos deducibles de conformidad con esta Ley. Asimismo, el total de ingresos por intereses solo incluye los montos que se encuentren gravados durante el mismo ejercicio en términos de esta Ley.</w:t>
      </w:r>
    </w:p>
    <w:p w:rsidR="00CB470F" w:rsidRPr="00CB470F" w:rsidRDefault="00CB470F" w:rsidP="00CB470F">
      <w:pPr>
        <w:rPr>
          <w:rFonts w:ascii="Verdana" w:hAnsi="Verdana"/>
          <w:sz w:val="20"/>
        </w:rPr>
      </w:pPr>
      <w:r w:rsidRPr="00CB470F">
        <w:rPr>
          <w:rFonts w:ascii="Verdana" w:hAnsi="Verdana"/>
          <w:sz w:val="20"/>
        </w:rPr>
        <w:t>         Para efectos del cálculo señalado en esta fracción, el monto de la utilidad fiscal ajustada y los ingresos por intereses que tengan fuente extranjera, sólo se incluirán en estos conceptos por la misma proporción que deba pagarse el impuesto establecido por esta Ley, después de disminuir los impuestos sobre la renta extranjeros acreditados en términos del artículo 5 de esta Ley. Los ingresos acumulados y erogaciones deducibles para efectos de determinar el impuesto establecido en los artículos 176 y 177 de esta Ley, no se encuentran comprendidos dentro de los cálculos establecidos en esta fracción.</w:t>
      </w:r>
    </w:p>
    <w:p w:rsidR="00CB470F" w:rsidRPr="00CB470F" w:rsidRDefault="00CB470F" w:rsidP="00CB470F">
      <w:pPr>
        <w:rPr>
          <w:rFonts w:ascii="Verdana" w:hAnsi="Verdana"/>
          <w:sz w:val="20"/>
        </w:rPr>
      </w:pPr>
      <w:r w:rsidRPr="00CB470F">
        <w:rPr>
          <w:rFonts w:ascii="Verdana" w:hAnsi="Verdana"/>
          <w:sz w:val="20"/>
        </w:rPr>
        <w:lastRenderedPageBreak/>
        <w:t>         Para efectos de esta fracción, las ganancias o pérdidas cambiarias devengadas por la fluctuación de moneda extranjera no tendrán el tratamiento de intereses, salvo que deriven de un instrumento cuyo rendimiento sea considerado interés. Tampoco será considerado interés para efectos de esta fracción, las contraprestaciones por aceptación de un aval, salvo que se relacionen con un instrumento cuyo rendimiento sea considerado interés.</w:t>
      </w:r>
    </w:p>
    <w:p w:rsidR="00CB470F" w:rsidRPr="00CB470F" w:rsidRDefault="00CB470F" w:rsidP="00CB470F">
      <w:pPr>
        <w:rPr>
          <w:rFonts w:ascii="Verdana" w:hAnsi="Verdana"/>
          <w:sz w:val="20"/>
        </w:rPr>
      </w:pPr>
      <w:r w:rsidRPr="00CB470F">
        <w:rPr>
          <w:rFonts w:ascii="Verdana" w:hAnsi="Verdana"/>
          <w:sz w:val="20"/>
        </w:rPr>
        <w:t>         El monto de los intereses no deducibles se determinará restando a los intereses netos del ejercicio, el límite determinado conforme a esta fracción. Si el resultado de este cálculo es cero o negativo, se permitirá la deducción de la totalidad de los intereses devengados a cargo del contribuyente de conformidad con esta fracción.</w:t>
      </w:r>
    </w:p>
    <w:p w:rsidR="00CB470F" w:rsidRPr="00CB470F" w:rsidRDefault="00CB470F" w:rsidP="00CB470F">
      <w:pPr>
        <w:rPr>
          <w:rFonts w:ascii="Verdana" w:hAnsi="Verdana"/>
          <w:sz w:val="20"/>
        </w:rPr>
      </w:pPr>
      <w:r w:rsidRPr="00CB470F">
        <w:rPr>
          <w:rFonts w:ascii="Verdana" w:hAnsi="Verdana"/>
          <w:sz w:val="20"/>
        </w:rPr>
        <w:t>         El monto de los intereses netos del ejercicio que no sean deducibles de conformidad con esta fracción, podrán deducirse durante los diez ejercicios siguientes hasta agotarlo. El monto no deducido en los diez ejercicios siguientes, será no deducible. Dichos intereses netos pendientes por deducir, tendrán que sumarse a los intereses netos del siguiente ejercicio y la cantidad resultante deberá cumplir con lo dispuesto por esta misma fracción. Se considera que los primeros intereses por deducir, son los correspondientes a los ejercicios anteriores. Para efectos de este párrafo, se aplicarán las mismas reglas señaladas en el artículo 57 de esta Ley, salvo que algo distinto se señale expresamente en esta fracción. Lo dispuesto en este párrafo solo será aplicable si el contribuyente lleva un registro de los intereses netos pendientes por deducir, que esté a disposición de la autoridad fiscal.</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Lo dispuesto en esta fracción no será aplicable a los intereses que deriven de deudas contratadas para financiar obras de infraestructura pública, así como para financiar construcciones, incluyendo para la adquisición de terrenos donde se vayan a realizar las mismas, ubicados en territorio nacional; para financiar proyectos para la exploración, extracción, transporte, almacenamiento o distribución del petróleo y de los hidrocarburos sólidos, líquidos o gaseosos, así como para otros proyectos de la industria extractiva y para la generación, transmisión o almacenamiento de electricidad o agua. Esta fracción tampoco será aplicable a los rendimientos de deuda pública. Los ingresos que deriven de las actividades señaladas en este párrafo se tendrán que disminuir de la utilidad fiscal ajustada calculada de conformidad con esta fracción.</w:t>
      </w:r>
    </w:p>
    <w:p w:rsidR="00CB470F" w:rsidRPr="00CB470F" w:rsidRDefault="00CB470F" w:rsidP="00CB470F">
      <w:pPr>
        <w:rPr>
          <w:rFonts w:ascii="Verdana" w:hAnsi="Verdana"/>
          <w:sz w:val="20"/>
        </w:rPr>
      </w:pPr>
      <w:r w:rsidRPr="00CB470F">
        <w:rPr>
          <w:rFonts w:ascii="Verdana" w:hAnsi="Verdana"/>
          <w:sz w:val="20"/>
        </w:rPr>
        <w:t>Lo señalado en esta fracción no será aplicable a las empresas productivas del Estado, ni a los integrantes del sistema financiero en la realización de las operaciones propias de su objeto.</w:t>
      </w:r>
    </w:p>
    <w:p w:rsidR="00CB470F" w:rsidRPr="00CB470F" w:rsidRDefault="00CB470F" w:rsidP="00CB470F">
      <w:pPr>
        <w:rPr>
          <w:rFonts w:ascii="Verdana" w:hAnsi="Verdana"/>
          <w:sz w:val="20"/>
        </w:rPr>
      </w:pPr>
      <w:r w:rsidRPr="00CB470F">
        <w:rPr>
          <w:rFonts w:ascii="Verdana" w:hAnsi="Verdana"/>
          <w:sz w:val="20"/>
        </w:rPr>
        <w:t>         Lo dispuesto en esta fracción solo será aplicable cuando el monto de los intereses no deducibles determinado de conformidad con los párrafos anteriores sea superior al determinado de conformidad con la fracción XXVII de este artículo, en cuyo caso, dicha fracción no será aplicable.</w:t>
      </w:r>
    </w:p>
    <w:p w:rsidR="00CB470F" w:rsidRPr="00CB470F" w:rsidRDefault="00CB470F" w:rsidP="00CB470F">
      <w:pPr>
        <w:rPr>
          <w:rFonts w:ascii="Verdana" w:hAnsi="Verdana"/>
          <w:sz w:val="20"/>
        </w:rPr>
      </w:pPr>
      <w:r w:rsidRPr="00CB470F">
        <w:rPr>
          <w:rFonts w:ascii="Verdana" w:hAnsi="Verdana"/>
          <w:sz w:val="20"/>
        </w:rPr>
        <w:t xml:space="preserve">         Lo señalado en esta fracción podrá determinarse, en el caso de sociedades pertenecientes a un mismo grupo de forma consolidada en los términos que dispongan </w:t>
      </w:r>
      <w:r w:rsidRPr="00CB470F">
        <w:rPr>
          <w:rFonts w:ascii="Verdana" w:hAnsi="Verdana"/>
          <w:sz w:val="20"/>
        </w:rPr>
        <w:lastRenderedPageBreak/>
        <w:t>las reglas de carácter general que al efecto emita el Servicio de Administración Tributaria.</w:t>
      </w:r>
    </w:p>
    <w:p w:rsidR="00CB470F" w:rsidRPr="00CB470F" w:rsidRDefault="00CB470F" w:rsidP="00CB470F">
      <w:pPr>
        <w:rPr>
          <w:rFonts w:ascii="Verdana" w:hAnsi="Verdana"/>
          <w:sz w:val="20"/>
        </w:rPr>
      </w:pPr>
      <w:r w:rsidRPr="00CB470F">
        <w:rPr>
          <w:rFonts w:ascii="Verdana" w:hAnsi="Verdana"/>
          <w:sz w:val="20"/>
        </w:rPr>
        <w:t>El cálculo señalado en esta fracción se realizará al finalizar el ejercicio fiscal de que se trate y se reflejará en la declaración anual correspondiente.</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46.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En ningún caso se considerarán deudas las originadas por partidas no deducibles, en los términos de las fracciones I, VIII y IX del artículo 28 de esta Ley, así como el monto de las deudas que excedan el límite a que se refiere el primer párrafo de la fracción XXVII y el monto de las deudas de las cuales deriven intereses no deducibles de conformidad con la fracción XXXII del mismo artículo, según sean aplicables durante el ejercicio. Sin embargo, en el caso de la fracción XXXII del artículo 28 de esta Ley, cuando el monto de los intereses no deducibles, sea deducido en un ejercicio posterior de conformidad con dicha fracción, el monto de la deuda de la cual deriven dichos intereses sí se considerará para el cálculo señalado en el artículo 44 de esta Ley en dicho ejercicio.</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74-B. </w:t>
      </w:r>
      <w:r w:rsidRPr="00CB470F">
        <w:rPr>
          <w:rFonts w:ascii="Verdana" w:hAnsi="Verdana"/>
          <w:sz w:val="20"/>
        </w:rPr>
        <w:t>Las personas morales de derecho agrario que obtengan al menos el 80% de sus ingresos totales por la industrialización y comercialización de productos derivados de actividades agrícolas, ganaderas, silvícolas o pesqueras, constituidas únicamente por socios o asociados personas físicas que estén reconocidos como ejidatarios o comuneros de acuerdo con la Ley Agraria, o por ejidos o comunidades constituidos en términos de la referida Ley, que hubieran tenido ingresos totales en el ejercicio inmediato anterior, sin incluir los ingresos por las enajenaciones de activos fijos o activos fijos y terrenos de su propiedad que hubiesen estado afectos a su actividad, que no hubieran excedido de la cantidad de cinco millones de pesos, cumplirán con las obligaciones establecidas en esta Ley conforme a lo dispuesto en la Sección I del Capítulo II del Título IV de la misma y determinarán el impuesto sobre la renta que corresponda aplicando la tasa establecida en el artículo 9 de esta Ley. El impuesto determinado se reducirá en un 30%.</w:t>
      </w:r>
    </w:p>
    <w:p w:rsidR="00CB470F" w:rsidRPr="00CB470F" w:rsidRDefault="00CB470F" w:rsidP="00CB470F">
      <w:pPr>
        <w:rPr>
          <w:rFonts w:ascii="Verdana" w:hAnsi="Verdana"/>
          <w:sz w:val="20"/>
        </w:rPr>
      </w:pPr>
      <w:r w:rsidRPr="00CB470F">
        <w:rPr>
          <w:rFonts w:ascii="Verdana" w:hAnsi="Verdana"/>
          <w:sz w:val="20"/>
        </w:rPr>
        <w:t xml:space="preserve">Las personas morales a que refiere este artículo que inicien actividades, podrán optar por aplicar lo dispuesto en el presente artículo, cuando estimen que sus ingresos totales del ejercicio, en los que al menos un 80% sean obtenidos por la industrialización y comercialización de productos derivados de actividades agrícolas, ganaderas, silvícolas o pesqueras, no excederán de la cantidad de cinco millones de pesos. Cuando en el ejercicio citado realicen operaciones por un periodo menor de doce meses, para determinar el citado monto, dividirán los ingresos manifestados </w:t>
      </w:r>
      <w:r w:rsidRPr="00CB470F">
        <w:rPr>
          <w:rFonts w:ascii="Verdana" w:hAnsi="Verdana"/>
          <w:sz w:val="20"/>
        </w:rPr>
        <w:lastRenderedPageBreak/>
        <w:t>entre el número de días que comprende el periodo y el resultado se multiplicará por 365 días.</w:t>
      </w:r>
    </w:p>
    <w:p w:rsidR="00CB470F" w:rsidRPr="00CB470F" w:rsidRDefault="00CB470F" w:rsidP="00CB470F">
      <w:pPr>
        <w:rPr>
          <w:rFonts w:ascii="Verdana" w:hAnsi="Verdana"/>
          <w:sz w:val="20"/>
        </w:rPr>
      </w:pPr>
      <w:r w:rsidRPr="00CB470F">
        <w:rPr>
          <w:rFonts w:ascii="Verdana" w:hAnsi="Verdana"/>
          <w:sz w:val="20"/>
        </w:rPr>
        <w:t>Los contribuyentes que opten por aplicar lo dispuesto en el presente artículo deberán presentar en enero del año de que se trate, un aviso ante las autoridades fiscales en los términos que para tales efectos establezca el Servicio de Administración Tributaria mediante reglas de carácter general, en el que manifiesten que aplicarán lo dispuesto en este artículo.</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Cuando los contribuyentes dejen de cumplir con los requisitos a que se refiere este artículo o cuando sus ingresos en el periodo transcurrido desde el inicio del ejercicio y hasta el mes de que se trate, excedan de la cantidad señalada en el primer párrafo de este artículo, dejarán de aplicar lo dispuesto en este artículo y deberán pagar el impuesto sobre la renta en los términos de la presente Ley en el régimen correspondiente, a partir del ejercicio siguiente a aquél en que ocurra el incumplimiento de dichos requisitos. En el caso de que los contribuyentes obtengan ingresos que excedan de la cantidad de cinco millones de pesos, dicho excedente no tendrá el beneficio de la reducción del impuesto a que se refiere este artículo. Cuando los contribuyentes dejen de aplicar lo dispuesto en este artículo, en ningún caso podrán volver a aplicarlo en los términos del mismo.</w:t>
      </w:r>
    </w:p>
    <w:p w:rsidR="00CB470F" w:rsidRPr="00CB470F" w:rsidRDefault="00CB470F" w:rsidP="00CB470F">
      <w:pPr>
        <w:rPr>
          <w:rFonts w:ascii="Verdana" w:hAnsi="Verdana"/>
          <w:sz w:val="20"/>
        </w:rPr>
      </w:pPr>
      <w:r w:rsidRPr="00CB470F">
        <w:rPr>
          <w:rFonts w:ascii="Verdana" w:hAnsi="Verdana"/>
          <w:sz w:val="20"/>
        </w:rPr>
        <w:t>Las declaraciones de pagos provisionales y del ejercicio, así como el registro de operaciones se podrán realizar a través de los medios y formatos que señale el Servicio de Administración Tributaria mediante reglas de carácter general.</w:t>
      </w:r>
    </w:p>
    <w:p w:rsidR="00CB470F" w:rsidRPr="00CB470F" w:rsidRDefault="00CB470F" w:rsidP="00CB470F">
      <w:pPr>
        <w:rPr>
          <w:rFonts w:ascii="Verdana" w:hAnsi="Verdana"/>
          <w:sz w:val="20"/>
        </w:rPr>
      </w:pPr>
      <w:r w:rsidRPr="00CB470F">
        <w:rPr>
          <w:rFonts w:ascii="Verdana" w:hAnsi="Verdana"/>
          <w:b/>
          <w:bCs/>
          <w:sz w:val="20"/>
        </w:rPr>
        <w:t>Artículo 96-Bis. </w:t>
      </w:r>
      <w:r w:rsidRPr="00CB470F">
        <w:rPr>
          <w:rFonts w:ascii="Verdana" w:hAnsi="Verdana"/>
          <w:sz w:val="20"/>
        </w:rPr>
        <w:t>Las personas morales que hagan pagos en una sola exhibición a personas físicas con cargo a la subcuenta del seguro de retiro o a la subcuenta de retiro, cesantía en edad avanzada y vejez, previstas en la Ley del Seguro Social y los que obtengan los trabajadores al servicio del Estado con cargo a la cuenta individual del sistema de ahorro para el retiro, prevista en la Ley del Instituto de Seguridad y Servicios Sociales de los Trabajadores del Estado, distintos de los conceptos señalados en el artículo 93, fracción IV de esta Ley, deberán retener y enterar el impuesto conforme a lo siguiente:</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Se dividirá el monto total del ingreso recibido entre el número total de años en que los trabajadores contribuyeron a las subcuentas del seguro de retiro o a la subcuenta de retiro, cesantía en edad avanzada y vejez, previstas en la Ley del Seguro Social o a las subcuentas de ahorro para el retiro y de retiro, cesantía en edad avanzada y vejez, previstas en la Ley del Instituto de Seguridad y Servicios Sociales de los Trabajadores del Estado.</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Al resultado obtenido conforme a la fracción anterior, se le aplicará la tarifa que corresponda conforme al artículo 152 de esta Ley.</w:t>
      </w:r>
    </w:p>
    <w:p w:rsidR="00CB470F" w:rsidRPr="00CB470F" w:rsidRDefault="00CB470F" w:rsidP="00CB470F">
      <w:pPr>
        <w:rPr>
          <w:rFonts w:ascii="Verdana" w:hAnsi="Verdana"/>
          <w:sz w:val="20"/>
        </w:rPr>
      </w:pPr>
      <w:r w:rsidRPr="00CB470F">
        <w:rPr>
          <w:rFonts w:ascii="Verdana" w:hAnsi="Verdana"/>
          <w:b/>
          <w:bCs/>
          <w:sz w:val="20"/>
        </w:rPr>
        <w:lastRenderedPageBreak/>
        <w:t>III.</w:t>
      </w:r>
      <w:r w:rsidRPr="00CB470F">
        <w:rPr>
          <w:rFonts w:ascii="Verdana" w:hAnsi="Verdana"/>
          <w:sz w:val="20"/>
        </w:rPr>
        <w:t>      La cantidad que resulte conforme a la fracción anterior, se dividirá entre el resultado obtenido conforme a la fracción I de este artículo, el cociente así obtenido se multiplicará por cien y el producto se expresará en por ciento.</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El porcentaje que resulte conforme a la fracción anterior, será el que se aplique sobre el excedente del monto exento del total de los recursos que se entregarán, de conformidad con lo previsto en el artículo 93, fracción XIII de esta Ley, y el resultado será la retención que deba realizarse a cada contribuyente.</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La retención se enterará ante las oficinas autorizadas, a más tardar el día 17 del mes inmediato siguiente a aquél al que corresponda el pago, y se deberá expedir el comprobante fiscal en el que conste el monto del pago, así como el impuesto retenido.</w:t>
      </w:r>
    </w:p>
    <w:p w:rsidR="00CB470F" w:rsidRPr="00CB470F" w:rsidRDefault="00CB470F" w:rsidP="00CB470F">
      <w:pPr>
        <w:rPr>
          <w:rFonts w:ascii="Verdana" w:hAnsi="Verdana"/>
          <w:sz w:val="20"/>
        </w:rPr>
      </w:pPr>
      <w:r w:rsidRPr="00CB470F">
        <w:rPr>
          <w:rFonts w:ascii="Verdana" w:hAnsi="Verdana"/>
          <w:sz w:val="20"/>
        </w:rPr>
        <w:t>El impuesto retenido en términos de este artículo se podrá considerar como pago definitivo cuando las personas físicas únicamente obtengan ingresos en el mismo ejercicio por los pagos a que se refiere el primer párrafo de este artículo.</w:t>
      </w:r>
    </w:p>
    <w:p w:rsidR="00CB470F" w:rsidRPr="00CB470F" w:rsidRDefault="00CB470F" w:rsidP="00CB470F">
      <w:pPr>
        <w:rPr>
          <w:rFonts w:ascii="Verdana" w:hAnsi="Verdana"/>
          <w:sz w:val="20"/>
        </w:rPr>
      </w:pPr>
      <w:r w:rsidRPr="00CB470F">
        <w:rPr>
          <w:rFonts w:ascii="Verdana" w:hAnsi="Verdana"/>
          <w:b/>
          <w:bCs/>
          <w:sz w:val="20"/>
        </w:rPr>
        <w:t>Artículo 106.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Cuando los contribuyentes presten servicios profesionales a las personas morales, éstas deberán retener, como pago provisional, el monto que resulte de aplicar la tasa del 10% sobre el monto de los pagos que les efectúen, sin deducción alguna, debiendo proporcionar a los contribuyentes comprobante fiscal en el que conste el monto del impuesto retenido, el cual deberá enterarse, en su caso, conjuntamente con las retenciones señaladas en el artículo 96 de esta Ley. El impuesto retenido en los términos de este párrafo será acreditable contra el impuesto a pagar que resulte en los pagos provisionales de conformidad con este artículo.</w:t>
      </w:r>
    </w:p>
    <w:p w:rsidR="00CB470F" w:rsidRPr="00CB470F" w:rsidRDefault="00CB470F" w:rsidP="00CB470F">
      <w:pPr>
        <w:rPr>
          <w:rFonts w:ascii="Verdana" w:hAnsi="Verdana"/>
          <w:sz w:val="20"/>
        </w:rPr>
      </w:pPr>
      <w:r w:rsidRPr="00CB470F">
        <w:rPr>
          <w:rFonts w:ascii="Verdana" w:hAnsi="Verdana"/>
          <w:sz w:val="20"/>
        </w:rPr>
        <w:t>Las personas morales obligadas a efectuar la retención podrán optar por no proporcionar el comprobante fiscal a que se refiere el párrafo anterior, siempre que la persona física que preste los servicios profesionales les expida un comprobante fiscal que cumpla con los requisitos a que se refieren los artículos 29 y 29-A del Código Fiscal de la Federación y en el comprobante se señale expresamente el monto del impuesto retenido. En este caso, las personas físicas que expidan el comprobante fiscal podrán considerarlo como comprobante de retención del impuesto y efectuar el acreditamiento del mismo en los términos de las disposiciones fiscales. Lo previsto en este párrafo en ningún caso libera a las personas morales de las obligaciones de efectuar, en tiempo y forma, la retención y entero del impuesto y la presentación de las declaraciones informativas correspondientes, en los términos de las disposiciones fiscales respecto de las personas a las que les hubieran efectuado dichas retenciones.</w:t>
      </w:r>
    </w:p>
    <w:p w:rsidR="00CB470F" w:rsidRPr="00CB470F" w:rsidRDefault="00CB470F" w:rsidP="00CB470F">
      <w:pPr>
        <w:rPr>
          <w:rFonts w:ascii="Verdana" w:hAnsi="Verdana"/>
          <w:sz w:val="20"/>
        </w:rPr>
      </w:pPr>
      <w:r w:rsidRPr="00CB470F">
        <w:rPr>
          <w:rFonts w:ascii="Verdana" w:hAnsi="Verdana"/>
          <w:b/>
          <w:bCs/>
          <w:sz w:val="20"/>
        </w:rPr>
        <w:t>Artículo 111. ...</w:t>
      </w:r>
    </w:p>
    <w:p w:rsidR="00CB470F" w:rsidRPr="00CB470F" w:rsidRDefault="00CB470F" w:rsidP="00CB470F">
      <w:pPr>
        <w:rPr>
          <w:rFonts w:ascii="Verdana" w:hAnsi="Verdana"/>
          <w:sz w:val="20"/>
        </w:rPr>
      </w:pPr>
      <w:r w:rsidRPr="00CB470F">
        <w:rPr>
          <w:rFonts w:ascii="Verdana" w:hAnsi="Verdana"/>
          <w:b/>
          <w:bCs/>
          <w:sz w:val="20"/>
        </w:rPr>
        <w:lastRenderedPageBreak/>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 </w:t>
      </w:r>
      <w:r w:rsidRPr="00CB470F">
        <w:rPr>
          <w:rFonts w:ascii="Verdana" w:hAnsi="Verdana"/>
          <w:b/>
          <w:bCs/>
          <w:sz w:val="20"/>
        </w:rPr>
        <w:t>V. ...</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Las personas físicas que presten servicios o enajenen bienes por Internet, a través de las plataformas tecnológicas, aplicaciones informáticas y similares a que se refiere la Sección III de este Capítulo, únicamente por los ingresos que perciban por la utilización de dichos medios.</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Sección III</w:t>
      </w:r>
    </w:p>
    <w:p w:rsidR="00CB470F" w:rsidRPr="00CB470F" w:rsidRDefault="00CB470F" w:rsidP="00CB470F">
      <w:pPr>
        <w:rPr>
          <w:rFonts w:ascii="Verdana" w:hAnsi="Verdana"/>
          <w:sz w:val="20"/>
        </w:rPr>
      </w:pPr>
      <w:r w:rsidRPr="00CB470F">
        <w:rPr>
          <w:rFonts w:ascii="Verdana" w:hAnsi="Verdana"/>
          <w:b/>
          <w:bCs/>
          <w:sz w:val="20"/>
        </w:rPr>
        <w:t>De los ingresos por la enajenación de bienes o la prestación de servicios a través de Internet,</w:t>
      </w:r>
      <w:r w:rsidRPr="00CB470F">
        <w:rPr>
          <w:rFonts w:ascii="Verdana" w:hAnsi="Verdana"/>
          <w:sz w:val="20"/>
        </w:rPr>
        <w:br/>
      </w:r>
      <w:r w:rsidRPr="00CB470F">
        <w:rPr>
          <w:rFonts w:ascii="Verdana" w:hAnsi="Verdana"/>
          <w:b/>
          <w:bCs/>
          <w:sz w:val="20"/>
        </w:rPr>
        <w:t>mediante plataformas tecnológicas, aplicaciones informáticas y similares</w:t>
      </w:r>
    </w:p>
    <w:p w:rsidR="00CB470F" w:rsidRPr="00CB470F" w:rsidRDefault="00CB470F" w:rsidP="00CB470F">
      <w:pPr>
        <w:rPr>
          <w:rFonts w:ascii="Verdana" w:hAnsi="Verdana"/>
          <w:sz w:val="20"/>
        </w:rPr>
      </w:pPr>
      <w:r w:rsidRPr="00CB470F">
        <w:rPr>
          <w:rFonts w:ascii="Verdana" w:hAnsi="Verdana"/>
          <w:b/>
          <w:bCs/>
          <w:sz w:val="20"/>
        </w:rPr>
        <w:t>Artículo 113-A. </w:t>
      </w:r>
      <w:r w:rsidRPr="00CB470F">
        <w:rPr>
          <w:rFonts w:ascii="Verdana" w:hAnsi="Verdana"/>
          <w:sz w:val="20"/>
        </w:rPr>
        <w:t>Están obligados al pago del impuesto establecido en esta Sección, los contribuyentes personas físicas con actividades empresariales que enajenen bienes o presten servicios a través de Internet, mediante plataformas tecnológicas, aplicaciones informáticas y similares que presten los servicios a que se refiere la fracción II del artículo 18-B de la Ley del Impuesto al Valor Agregado, por los ingresos que generen a través de los citados medios por la realización de las actividades mencionadas, incluidos aquellos pagos que reciban por cualquier concepto adicional a través de los mismos.</w:t>
      </w:r>
    </w:p>
    <w:p w:rsidR="00CB470F" w:rsidRPr="00CB470F" w:rsidRDefault="00CB470F" w:rsidP="00CB470F">
      <w:pPr>
        <w:rPr>
          <w:rFonts w:ascii="Verdana" w:hAnsi="Verdana"/>
          <w:sz w:val="20"/>
        </w:rPr>
      </w:pPr>
      <w:r w:rsidRPr="00CB470F">
        <w:rPr>
          <w:rFonts w:ascii="Verdana" w:hAnsi="Verdana"/>
          <w:sz w:val="20"/>
        </w:rPr>
        <w:lastRenderedPageBreak/>
        <w:t>El impuesto a que se refiere el párrafo anterior, se pagará mediante retención que efectuarán las personas morales residentes en México o residentes en el extranjero con o sin establecimiento permanente en el país, así como las entidades o figuras jurídicas extranjeras que proporcionen, de manera directa o indirecta, el uso de las citadas plataformas tecnológicas, aplicaciones informáticas y similares.</w:t>
      </w:r>
    </w:p>
    <w:p w:rsidR="00CB470F" w:rsidRPr="00CB470F" w:rsidRDefault="00CB470F" w:rsidP="00CB470F">
      <w:pPr>
        <w:rPr>
          <w:rFonts w:ascii="Verdana" w:hAnsi="Verdana"/>
          <w:sz w:val="20"/>
        </w:rPr>
      </w:pPr>
      <w:r w:rsidRPr="00CB470F">
        <w:rPr>
          <w:rFonts w:ascii="Verdana" w:hAnsi="Verdana"/>
          <w:sz w:val="20"/>
        </w:rPr>
        <w:t>La retención se deberá efectuar sobre el total de los ingresos que efectivamente perciban las personas físicas por conducto de los citados medios a que se refiere el primer párrafo de este artículo, sin incluir el impuesto al valor agregado. Esta retención tendrá el carácter de pago provisional. Al monto total de los ingresos mencionados se le aplicarán las tasas de retención previstas en las siguientes tablas: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Tratándose de prestación de servicios de transporte terrestre de pasajeros y de entrega de bienes.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3"/>
        <w:gridCol w:w="1530"/>
      </w:tblGrid>
      <w:tr w:rsidR="00CB470F" w:rsidRPr="00CB470F" w:rsidTr="00CB470F">
        <w:trPr>
          <w:trHeight w:val="548"/>
        </w:trPr>
        <w:tc>
          <w:tcPr>
            <w:tcW w:w="233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b/>
                <w:bCs/>
                <w:sz w:val="20"/>
              </w:rPr>
              <w:t>Monto del ingreso</w:t>
            </w:r>
            <w:r w:rsidRPr="00CB470F">
              <w:rPr>
                <w:rFonts w:ascii="Verdana" w:hAnsi="Verdana"/>
                <w:sz w:val="20"/>
              </w:rPr>
              <w:br/>
            </w:r>
            <w:r w:rsidRPr="00CB470F">
              <w:rPr>
                <w:rFonts w:ascii="Verdana" w:hAnsi="Verdana"/>
                <w:b/>
                <w:bCs/>
                <w:sz w:val="20"/>
              </w:rPr>
              <w:t>mensual</w:t>
            </w:r>
          </w:p>
        </w:tc>
        <w:tc>
          <w:tcPr>
            <w:tcW w:w="153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b/>
                <w:bCs/>
                <w:sz w:val="20"/>
              </w:rPr>
              <w:t>Tasa de</w:t>
            </w:r>
            <w:r w:rsidRPr="00CB470F">
              <w:rPr>
                <w:rFonts w:ascii="Verdana" w:hAnsi="Verdana"/>
                <w:sz w:val="20"/>
              </w:rPr>
              <w:br/>
            </w:r>
            <w:r w:rsidRPr="00CB470F">
              <w:rPr>
                <w:rFonts w:ascii="Verdana" w:hAnsi="Verdana"/>
                <w:b/>
                <w:bCs/>
                <w:sz w:val="20"/>
              </w:rPr>
              <w:t>retención</w:t>
            </w:r>
          </w:p>
        </w:tc>
      </w:tr>
      <w:tr w:rsidR="00CB470F" w:rsidRPr="00CB470F" w:rsidTr="00CB470F">
        <w:trPr>
          <w:trHeight w:val="317"/>
        </w:trPr>
        <w:tc>
          <w:tcPr>
            <w:tcW w:w="2333" w:type="dxa"/>
            <w:tcBorders>
              <w:top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Hasta $5,500</w:t>
            </w:r>
          </w:p>
        </w:tc>
        <w:tc>
          <w:tcPr>
            <w:tcW w:w="1530" w:type="dxa"/>
            <w:tcBorders>
              <w:top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2</w:t>
            </w:r>
          </w:p>
        </w:tc>
      </w:tr>
      <w:tr w:rsidR="00CB470F" w:rsidRPr="00CB470F" w:rsidTr="00CB470F">
        <w:trPr>
          <w:trHeight w:val="317"/>
        </w:trPr>
        <w:tc>
          <w:tcPr>
            <w:tcW w:w="2333"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Hasta $15,000</w:t>
            </w:r>
          </w:p>
        </w:tc>
        <w:tc>
          <w:tcPr>
            <w:tcW w:w="1530"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3</w:t>
            </w:r>
          </w:p>
        </w:tc>
      </w:tr>
      <w:tr w:rsidR="00CB470F" w:rsidRPr="00CB470F" w:rsidTr="00CB470F">
        <w:trPr>
          <w:trHeight w:val="317"/>
        </w:trPr>
        <w:tc>
          <w:tcPr>
            <w:tcW w:w="2333"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Hasta $21,000</w:t>
            </w:r>
          </w:p>
        </w:tc>
        <w:tc>
          <w:tcPr>
            <w:tcW w:w="1530"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4</w:t>
            </w:r>
          </w:p>
        </w:tc>
      </w:tr>
      <w:tr w:rsidR="00CB470F" w:rsidRPr="00CB470F" w:rsidTr="00CB470F">
        <w:trPr>
          <w:trHeight w:val="332"/>
        </w:trPr>
        <w:tc>
          <w:tcPr>
            <w:tcW w:w="2333" w:type="dxa"/>
            <w:tcBorders>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Más de $21,000</w:t>
            </w:r>
          </w:p>
        </w:tc>
        <w:tc>
          <w:tcPr>
            <w:tcW w:w="1530" w:type="dxa"/>
            <w:tcBorders>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8</w:t>
            </w:r>
          </w:p>
        </w:tc>
      </w:tr>
    </w:tbl>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Tratándose de prestación de servicios de hospedaje.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06"/>
        <w:gridCol w:w="1638"/>
      </w:tblGrid>
      <w:tr w:rsidR="00CB470F" w:rsidRPr="00CB470F" w:rsidTr="00CB470F">
        <w:trPr>
          <w:trHeight w:val="527"/>
        </w:trPr>
        <w:tc>
          <w:tcPr>
            <w:tcW w:w="220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b/>
                <w:bCs/>
                <w:sz w:val="20"/>
              </w:rPr>
              <w:t>Monto del ingreso</w:t>
            </w:r>
            <w:r w:rsidRPr="00CB470F">
              <w:rPr>
                <w:rFonts w:ascii="Verdana" w:hAnsi="Verdana"/>
                <w:sz w:val="20"/>
              </w:rPr>
              <w:br/>
            </w:r>
            <w:r w:rsidRPr="00CB470F">
              <w:rPr>
                <w:rFonts w:ascii="Verdana" w:hAnsi="Verdana"/>
                <w:b/>
                <w:bCs/>
                <w:sz w:val="20"/>
              </w:rPr>
              <w:t>mensual</w:t>
            </w:r>
          </w:p>
        </w:tc>
        <w:tc>
          <w:tcPr>
            <w:tcW w:w="163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b/>
                <w:bCs/>
                <w:sz w:val="20"/>
              </w:rPr>
              <w:t>Tasa de</w:t>
            </w:r>
            <w:r w:rsidRPr="00CB470F">
              <w:rPr>
                <w:rFonts w:ascii="Verdana" w:hAnsi="Verdana"/>
                <w:sz w:val="20"/>
              </w:rPr>
              <w:br/>
            </w:r>
            <w:r w:rsidRPr="00CB470F">
              <w:rPr>
                <w:rFonts w:ascii="Verdana" w:hAnsi="Verdana"/>
                <w:b/>
                <w:bCs/>
                <w:sz w:val="20"/>
              </w:rPr>
              <w:t>retención</w:t>
            </w:r>
          </w:p>
        </w:tc>
      </w:tr>
      <w:tr w:rsidR="00CB470F" w:rsidRPr="00CB470F" w:rsidTr="00CB470F">
        <w:trPr>
          <w:trHeight w:val="296"/>
        </w:trPr>
        <w:tc>
          <w:tcPr>
            <w:tcW w:w="2206" w:type="dxa"/>
            <w:tcBorders>
              <w:top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Hasta $5,000</w:t>
            </w:r>
          </w:p>
        </w:tc>
        <w:tc>
          <w:tcPr>
            <w:tcW w:w="1638" w:type="dxa"/>
            <w:tcBorders>
              <w:top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2</w:t>
            </w:r>
          </w:p>
        </w:tc>
      </w:tr>
      <w:tr w:rsidR="00CB470F" w:rsidRPr="00CB470F" w:rsidTr="00CB470F">
        <w:trPr>
          <w:trHeight w:val="296"/>
        </w:trPr>
        <w:tc>
          <w:tcPr>
            <w:tcW w:w="2206"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Hasta $15,000</w:t>
            </w:r>
          </w:p>
        </w:tc>
        <w:tc>
          <w:tcPr>
            <w:tcW w:w="1638"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3</w:t>
            </w:r>
          </w:p>
        </w:tc>
      </w:tr>
      <w:tr w:rsidR="00CB470F" w:rsidRPr="00CB470F" w:rsidTr="00CB470F">
        <w:trPr>
          <w:trHeight w:val="296"/>
        </w:trPr>
        <w:tc>
          <w:tcPr>
            <w:tcW w:w="2206"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Hasta $35,000</w:t>
            </w:r>
          </w:p>
        </w:tc>
        <w:tc>
          <w:tcPr>
            <w:tcW w:w="1638"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5</w:t>
            </w:r>
          </w:p>
        </w:tc>
      </w:tr>
      <w:tr w:rsidR="00CB470F" w:rsidRPr="00CB470F" w:rsidTr="00CB470F">
        <w:trPr>
          <w:trHeight w:val="311"/>
        </w:trPr>
        <w:tc>
          <w:tcPr>
            <w:tcW w:w="2206" w:type="dxa"/>
            <w:tcBorders>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Más de $35,000</w:t>
            </w:r>
          </w:p>
        </w:tc>
        <w:tc>
          <w:tcPr>
            <w:tcW w:w="1638" w:type="dxa"/>
            <w:tcBorders>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10</w:t>
            </w:r>
          </w:p>
        </w:tc>
      </w:tr>
    </w:tbl>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Tratándose de enajenación de bienes y prestación de servicios.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18"/>
        <w:gridCol w:w="1635"/>
      </w:tblGrid>
      <w:tr w:rsidR="00CB470F" w:rsidRPr="00CB470F" w:rsidTr="00CB470F">
        <w:trPr>
          <w:trHeight w:val="527"/>
        </w:trPr>
        <w:tc>
          <w:tcPr>
            <w:tcW w:w="21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b/>
                <w:bCs/>
                <w:sz w:val="20"/>
              </w:rPr>
              <w:t>Monto del ingreso</w:t>
            </w:r>
            <w:r w:rsidRPr="00CB470F">
              <w:rPr>
                <w:rFonts w:ascii="Verdana" w:hAnsi="Verdana"/>
                <w:sz w:val="20"/>
              </w:rPr>
              <w:br/>
            </w:r>
            <w:r w:rsidRPr="00CB470F">
              <w:rPr>
                <w:rFonts w:ascii="Verdana" w:hAnsi="Verdana"/>
                <w:b/>
                <w:bCs/>
                <w:sz w:val="20"/>
              </w:rPr>
              <w:t>mensual</w:t>
            </w:r>
          </w:p>
        </w:tc>
        <w:tc>
          <w:tcPr>
            <w:tcW w:w="16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b/>
                <w:bCs/>
                <w:sz w:val="20"/>
              </w:rPr>
              <w:t>Tasa de</w:t>
            </w:r>
            <w:r w:rsidRPr="00CB470F">
              <w:rPr>
                <w:rFonts w:ascii="Verdana" w:hAnsi="Verdana"/>
                <w:sz w:val="20"/>
              </w:rPr>
              <w:br/>
            </w:r>
            <w:r w:rsidRPr="00CB470F">
              <w:rPr>
                <w:rFonts w:ascii="Verdana" w:hAnsi="Verdana"/>
                <w:b/>
                <w:bCs/>
                <w:sz w:val="20"/>
              </w:rPr>
              <w:t>retención</w:t>
            </w:r>
          </w:p>
        </w:tc>
      </w:tr>
      <w:tr w:rsidR="00CB470F" w:rsidRPr="00CB470F" w:rsidTr="00CB470F">
        <w:trPr>
          <w:trHeight w:val="296"/>
        </w:trPr>
        <w:tc>
          <w:tcPr>
            <w:tcW w:w="2118" w:type="dxa"/>
            <w:tcBorders>
              <w:top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lastRenderedPageBreak/>
              <w:t>Hasta $1,500</w:t>
            </w:r>
          </w:p>
        </w:tc>
        <w:tc>
          <w:tcPr>
            <w:tcW w:w="1635" w:type="dxa"/>
            <w:tcBorders>
              <w:top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0.4%</w:t>
            </w:r>
          </w:p>
        </w:tc>
      </w:tr>
      <w:tr w:rsidR="00CB470F" w:rsidRPr="00CB470F" w:rsidTr="00CB470F">
        <w:trPr>
          <w:trHeight w:val="296"/>
        </w:trPr>
        <w:tc>
          <w:tcPr>
            <w:tcW w:w="2118"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Hasta $5,000</w:t>
            </w:r>
          </w:p>
        </w:tc>
        <w:tc>
          <w:tcPr>
            <w:tcW w:w="1635"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0.5%</w:t>
            </w:r>
          </w:p>
        </w:tc>
      </w:tr>
      <w:tr w:rsidR="00CB470F" w:rsidRPr="00CB470F" w:rsidTr="00CB470F">
        <w:trPr>
          <w:trHeight w:val="296"/>
        </w:trPr>
        <w:tc>
          <w:tcPr>
            <w:tcW w:w="2118"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Hasta $10,000</w:t>
            </w:r>
          </w:p>
        </w:tc>
        <w:tc>
          <w:tcPr>
            <w:tcW w:w="1635"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0.9%</w:t>
            </w:r>
          </w:p>
        </w:tc>
      </w:tr>
      <w:tr w:rsidR="00CB470F" w:rsidRPr="00CB470F" w:rsidTr="00CB470F">
        <w:trPr>
          <w:trHeight w:val="296"/>
        </w:trPr>
        <w:tc>
          <w:tcPr>
            <w:tcW w:w="2118"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Hasta $25,000</w:t>
            </w:r>
          </w:p>
        </w:tc>
        <w:tc>
          <w:tcPr>
            <w:tcW w:w="1635"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1.1%</w:t>
            </w:r>
          </w:p>
        </w:tc>
      </w:tr>
      <w:tr w:rsidR="00CB470F" w:rsidRPr="00CB470F" w:rsidTr="00CB470F">
        <w:trPr>
          <w:trHeight w:val="296"/>
        </w:trPr>
        <w:tc>
          <w:tcPr>
            <w:tcW w:w="2118"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Hasta $100,000</w:t>
            </w:r>
          </w:p>
        </w:tc>
        <w:tc>
          <w:tcPr>
            <w:tcW w:w="1635" w:type="dxa"/>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2.0%</w:t>
            </w:r>
          </w:p>
        </w:tc>
      </w:tr>
      <w:tr w:rsidR="00CB470F" w:rsidRPr="00CB470F" w:rsidTr="00CB470F">
        <w:trPr>
          <w:trHeight w:val="311"/>
        </w:trPr>
        <w:tc>
          <w:tcPr>
            <w:tcW w:w="2118" w:type="dxa"/>
            <w:tcBorders>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Más de $100,000</w:t>
            </w:r>
          </w:p>
        </w:tc>
        <w:tc>
          <w:tcPr>
            <w:tcW w:w="1635" w:type="dxa"/>
            <w:tcBorders>
              <w:bottom w:val="single" w:sz="6" w:space="0" w:color="000000"/>
            </w:tcBorders>
            <w:shd w:val="clear" w:color="auto" w:fill="FFFFFF"/>
            <w:tcMar>
              <w:top w:w="15" w:type="dxa"/>
              <w:left w:w="70" w:type="dxa"/>
              <w:bottom w:w="15" w:type="dxa"/>
              <w:right w:w="70" w:type="dxa"/>
            </w:tcMar>
            <w:hideMark/>
          </w:tcPr>
          <w:p w:rsidR="00CB470F" w:rsidRPr="00CB470F" w:rsidRDefault="00CB470F" w:rsidP="00CB470F">
            <w:pPr>
              <w:rPr>
                <w:rFonts w:ascii="Verdana" w:hAnsi="Verdana"/>
                <w:sz w:val="20"/>
              </w:rPr>
            </w:pPr>
            <w:r w:rsidRPr="00CB470F">
              <w:rPr>
                <w:rFonts w:ascii="Verdana" w:hAnsi="Verdana"/>
                <w:sz w:val="20"/>
              </w:rPr>
              <w:t>5.4%</w:t>
            </w:r>
          </w:p>
        </w:tc>
      </w:tr>
    </w:tbl>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Las cantidades establecidas en moneda nacional contenidas en las tablas previstas en el párrafo anterior, se actualizarán en los términos y condiciones que establece el artículo 152, último párrafo de esta Ley.</w:t>
      </w:r>
    </w:p>
    <w:p w:rsidR="00CB470F" w:rsidRPr="00CB470F" w:rsidRDefault="00CB470F" w:rsidP="00CB470F">
      <w:pPr>
        <w:rPr>
          <w:rFonts w:ascii="Verdana" w:hAnsi="Verdana"/>
          <w:sz w:val="20"/>
        </w:rPr>
      </w:pPr>
      <w:r w:rsidRPr="00CB470F">
        <w:rPr>
          <w:rFonts w:ascii="Verdana" w:hAnsi="Verdana"/>
          <w:sz w:val="20"/>
        </w:rPr>
        <w:t>Cuando las personas físicas a que se refiere el primer párrafo de este artículo reciban una parte del pago de las contraprestaciones por la prestación de servicios o la enajenación de bienes directamente de los usuarios o los adquirentes de los mismos, y el total de sus ingresos, incluyendo aquellos efectivamente percibidos por conducto de las citadas plataformas, no excedan de trescientos mil pesos anuales, podrán optar por pagar el impuesto sobre la renta por dichos ingresos recibidos directamente de los usuarios de los servicios o adquirientes de bienes, aplicando las tasas de retención a que se refiere el presente artículo al total de los ingresos recibidos, incluyendo aquellos efectivamente percibidos por conducto de las citadas plataformas tecnológicas, aplicaciones informáticas y similares, y deberán acreditar el impuesto que, en su caso, les hubieran retenido en los términos del presente artículo. El impuesto que se pague en términos de este párrafo se considerará como pago definitivo.</w:t>
      </w:r>
    </w:p>
    <w:p w:rsidR="00CB470F" w:rsidRPr="00CB470F" w:rsidRDefault="00CB470F" w:rsidP="00CB470F">
      <w:pPr>
        <w:rPr>
          <w:rFonts w:ascii="Verdana" w:hAnsi="Verdana"/>
          <w:sz w:val="20"/>
        </w:rPr>
      </w:pPr>
      <w:r w:rsidRPr="00CB470F">
        <w:rPr>
          <w:rFonts w:ascii="Verdana" w:hAnsi="Verdana"/>
          <w:b/>
          <w:bCs/>
          <w:sz w:val="20"/>
        </w:rPr>
        <w:t>Artículo 113-B. </w:t>
      </w:r>
      <w:r w:rsidRPr="00CB470F">
        <w:rPr>
          <w:rFonts w:ascii="Verdana" w:hAnsi="Verdana"/>
          <w:sz w:val="20"/>
        </w:rPr>
        <w:t>Las personas físicas a que se refiere el artículo anterior, podrán optar por considerar como pagos definitivos las retenciones que les efectúen conforme a la presente Sección, en los siguientes casos: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Cuando únicamente obtengan ingresos a los que se refiere el primer párrafo del artículo 113-A de esta Ley, que en el ejercicio inmediato anterior no hayan excedido de la cantidad de trescientos mil pesos.</w:t>
      </w:r>
    </w:p>
    <w:p w:rsidR="00CB470F" w:rsidRPr="00CB470F" w:rsidRDefault="00CB470F" w:rsidP="00CB470F">
      <w:pPr>
        <w:rPr>
          <w:rFonts w:ascii="Verdana" w:hAnsi="Verdana"/>
          <w:sz w:val="20"/>
        </w:rPr>
      </w:pPr>
      <w:r w:rsidRPr="00CB470F">
        <w:rPr>
          <w:rFonts w:ascii="Verdana" w:hAnsi="Verdana"/>
          <w:sz w:val="20"/>
        </w:rPr>
        <w:t>         Las personas físicas que inicien actividades podrán optar por considerar como pago definitivo la retención a que se refiere esta Sección, cuando estimen que sus ingresos del ejercicio no excederán del límite mencionado. Cuando en el ejercicio citado realicen operaciones por un periodo menor de doce meses, para determinar el monto a que se refiere el párrafo anterior, dividirán los ingresos manifestados entre el número de días que comprende el periodo y el resultado se multiplicará por 365 días; si la cantidad obtenida excede del importe del monto citado, en el ejercicio siguiente no se podrá optar por lo establecido en este artículo.</w:t>
      </w:r>
    </w:p>
    <w:p w:rsidR="00CB470F" w:rsidRPr="00CB470F" w:rsidRDefault="00CB470F" w:rsidP="00CB470F">
      <w:pPr>
        <w:rPr>
          <w:rFonts w:ascii="Verdana" w:hAnsi="Verdana"/>
          <w:sz w:val="20"/>
        </w:rPr>
      </w:pPr>
      <w:r w:rsidRPr="00CB470F">
        <w:rPr>
          <w:rFonts w:ascii="Verdana" w:hAnsi="Verdana"/>
          <w:b/>
          <w:bCs/>
          <w:sz w:val="20"/>
        </w:rPr>
        <w:lastRenderedPageBreak/>
        <w:t>II.</w:t>
      </w:r>
      <w:r w:rsidRPr="00CB470F">
        <w:rPr>
          <w:rFonts w:ascii="Verdana" w:hAnsi="Verdana"/>
          <w:sz w:val="20"/>
        </w:rPr>
        <w:t>       Tratándose de las personas físicas a que se refiere la fracción anterior que además obtengan ingresos de los señalados en los Capítulos I y VI de este Título.</w:t>
      </w:r>
    </w:p>
    <w:p w:rsidR="00CB470F" w:rsidRPr="00CB470F" w:rsidRDefault="00CB470F" w:rsidP="00CB470F">
      <w:pPr>
        <w:rPr>
          <w:rFonts w:ascii="Verdana" w:hAnsi="Verdana"/>
          <w:sz w:val="20"/>
        </w:rPr>
      </w:pPr>
      <w:r w:rsidRPr="00CB470F">
        <w:rPr>
          <w:rFonts w:ascii="Verdana" w:hAnsi="Verdana"/>
          <w:sz w:val="20"/>
        </w:rPr>
        <w:t>Las personas físicas que ejerzan la opción establecida en este artículo estarán a lo siguiente:</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No podrán hacer las deducciones que correspondan por las actividades realizadas a través de las plataformas tecnológicas, aplicaciones informáticas y similares a que se refiere el artículo anterior, respecto del impuesto calculado con las tasas previstas en esta Sección.</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Deberán conservar el comprobante fiscal digital por Internet que les proporcione la plataforma tecnológica, aplicaciones informáticas y similares, por los ingresos efectivamente cobrados por la plataforma tecnológica de los usuarios de los bienes y servicios, incluidos aquellos pagos que reciban por cualquier concepto adicional a través de los mismos, y las retenciones efectuadas.</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Deberán expedir comprobantes fiscales que acrediten los ingresos que perciban, en aquellos casos en que la prestación de servicios o la enajenación de bienes se realice de manera independiente a través de las plataformas tecnológicas, aplicaciones informáticas y similares a que se refiere el artículo anterior.</w:t>
      </w:r>
    </w:p>
    <w:p w:rsidR="00CB470F" w:rsidRPr="00CB470F" w:rsidRDefault="00CB470F" w:rsidP="00CB470F">
      <w:pPr>
        <w:rPr>
          <w:rFonts w:ascii="Verdana" w:hAnsi="Verdana"/>
          <w:sz w:val="20"/>
        </w:rPr>
      </w:pPr>
      <w:r w:rsidRPr="00CB470F">
        <w:rPr>
          <w:rFonts w:ascii="Verdana" w:hAnsi="Verdana"/>
          <w:sz w:val="20"/>
        </w:rPr>
        <w:t>         Para los efectos de este inciso, se entiende que la prestación de servicios o la enajenación de bienes son independientes cuando no se realicen por cuenta de las plataformas tecnológicas, aplicaciones informáticas y similares.</w:t>
      </w:r>
    </w:p>
    <w:p w:rsidR="00CB470F" w:rsidRPr="00CB470F" w:rsidRDefault="00CB470F" w:rsidP="00CB470F">
      <w:pPr>
        <w:rPr>
          <w:rFonts w:ascii="Verdana" w:hAnsi="Verdana"/>
          <w:sz w:val="20"/>
        </w:rPr>
      </w:pPr>
      <w:r w:rsidRPr="00CB470F">
        <w:rPr>
          <w:rFonts w:ascii="Verdana" w:hAnsi="Verdana"/>
          <w:b/>
          <w:bCs/>
          <w:sz w:val="20"/>
        </w:rPr>
        <w:t>d)</w:t>
      </w:r>
      <w:r w:rsidRPr="00CB470F">
        <w:rPr>
          <w:rFonts w:ascii="Verdana" w:hAnsi="Verdana"/>
          <w:sz w:val="20"/>
        </w:rPr>
        <w:t>       Deberán presentar ante el Servicio de Administración Tributaria, en los términos y condiciones que se establezcan mediante reglas de carácter general que para tal efecto emita dicho órgano desconcentrado, un aviso en el que manifiesten su voluntad de optar porque las retenciones que se les realicen en términos del artículo anterior, sean consideradas como definitivas, dentro de los 30 días siguientes a aquel en que el contribuyente perciba el primer ingreso por el pago de las contraprestaciones por las actividades a que se refiere esta Sección.</w:t>
      </w:r>
    </w:p>
    <w:p w:rsidR="00CB470F" w:rsidRPr="00CB470F" w:rsidRDefault="00CB470F" w:rsidP="00CB470F">
      <w:pPr>
        <w:rPr>
          <w:rFonts w:ascii="Verdana" w:hAnsi="Verdana"/>
          <w:sz w:val="20"/>
        </w:rPr>
      </w:pPr>
      <w:r w:rsidRPr="00CB470F">
        <w:rPr>
          <w:rFonts w:ascii="Verdana" w:hAnsi="Verdana"/>
          <w:sz w:val="20"/>
        </w:rPr>
        <w:t>Una vez ejercida la opción a que se refiere este artículo ésta no podrá variarse durante un período de cinco años contados a partir de la fecha en que el contribuyente haya presentado el aviso a que se refiere el inciso d) de este artículo. Cuando el contribuyente deje de estar en los supuestos a que se refieren las fracciones I y II de este artículo, cesará el ejercicio de la opción prevista en el presente artículo y no podrá volver a ejercerla.</w:t>
      </w:r>
    </w:p>
    <w:p w:rsidR="00CB470F" w:rsidRPr="00CB470F" w:rsidRDefault="00CB470F" w:rsidP="00CB470F">
      <w:pPr>
        <w:rPr>
          <w:rFonts w:ascii="Verdana" w:hAnsi="Verdana"/>
          <w:sz w:val="20"/>
        </w:rPr>
      </w:pPr>
      <w:r w:rsidRPr="00CB470F">
        <w:rPr>
          <w:rFonts w:ascii="Verdana" w:hAnsi="Verdana"/>
          <w:sz w:val="20"/>
        </w:rPr>
        <w:t xml:space="preserve">Adicionalmente, los contribuyentes personas físicas a que se refiere el artículo 113-A de esta Ley, deberán proporcionar a las personas morales residentes en México o residentes en el extranjero con o sin establecimiento permanente en el país, así como las entidades o figuras jurídicas extranjeras que proporcionen, de manera directa o indirecta, el uso de las citadas plataformas tecnológicas, aplicaciones informáticas y similares, la información a que se refiere la fracción III del artículo 18-J de la Ley del </w:t>
      </w:r>
      <w:r w:rsidRPr="00CB470F">
        <w:rPr>
          <w:rFonts w:ascii="Verdana" w:hAnsi="Verdana"/>
          <w:sz w:val="20"/>
        </w:rPr>
        <w:lastRenderedPageBreak/>
        <w:t>Impuesto al Valor Agregado, en los términos y condiciones que establece el último párrafo de dicha fracción. Esta obligación será independiente al ejercicio de la opción establecida en este artículo.</w:t>
      </w:r>
    </w:p>
    <w:p w:rsidR="00CB470F" w:rsidRPr="00CB470F" w:rsidRDefault="00CB470F" w:rsidP="00CB470F">
      <w:pPr>
        <w:rPr>
          <w:rFonts w:ascii="Verdana" w:hAnsi="Verdana"/>
          <w:sz w:val="20"/>
        </w:rPr>
      </w:pPr>
      <w:r w:rsidRPr="00CB470F">
        <w:rPr>
          <w:rFonts w:ascii="Verdana" w:hAnsi="Verdana"/>
          <w:b/>
          <w:bCs/>
          <w:sz w:val="20"/>
        </w:rPr>
        <w:t>Artículo 113-C. </w:t>
      </w:r>
      <w:r w:rsidRPr="00CB470F">
        <w:rPr>
          <w:rFonts w:ascii="Verdana" w:hAnsi="Verdana"/>
          <w:sz w:val="20"/>
        </w:rPr>
        <w:t>Las personas morales residentes en México o residentes en el extranjero con o sin establecimiento permanente en el país, así como las entidades o figuras jurídicas extranjeras a que se refiere el segundo párrafo del artículo 113-A de esta Ley, tendrán las siguientes obligaciones: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En el caso de residentes en el extranjero sin establecimiento permanente en el país y de entidades o figuras jurídicas extranjeras, deberán cumplir con las obligaciones previstas en las fracciones I, VI y VII del artículo 18-D e inciso d), fracción II del artículo 18-J, de la Ley del Impuesto al Valor Agregado.</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Proporcionar comprobantes fiscales a las personas físicas a las que se les hubiera efectuado la retención a que se refiere el artículo 113-A de esta Ley, en los que conste el monto del pago y el impuesto retenido, a más tardar dentro de los cinco días siguientes al mes en que se efectúe la retención, el cual deberá estar acompañado de la información que señale el Servicio de Administración Tributaria mediante reglas de carácter general.</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Proporcionar al Servicio de Administración Tributaria la información a que se refiere la fracción III del artículo 18-J de la Ley del Impuesto al Valor Agregado, de conformidad con lo previsto en el último párrafo de dicha fracción.</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Retener y enterar el impuesto sobre la renta que corresponda conforme a lo dispuesto en el artículo 113-A de esta Ley, mediante declaración que presentarán ante las oficinas autorizadas a más tardar el día 17 del mes inmediato siguiente al mes por el que se efectúo la retención.</w:t>
      </w:r>
    </w:p>
    <w:p w:rsidR="00CB470F" w:rsidRPr="00CB470F" w:rsidRDefault="00CB470F" w:rsidP="00CB470F">
      <w:pPr>
        <w:rPr>
          <w:rFonts w:ascii="Verdana" w:hAnsi="Verdana"/>
          <w:sz w:val="20"/>
        </w:rPr>
      </w:pPr>
      <w:r w:rsidRPr="00CB470F">
        <w:rPr>
          <w:rFonts w:ascii="Verdana" w:hAnsi="Verdana"/>
          <w:sz w:val="20"/>
        </w:rPr>
        <w:t>         En el caso de que los contribuyentes no proporcionen su clave del Registro Federal de Contribuyentes prevista en el inciso b) de la fracción III del artículo 18-J de la Ley del Impuesto al Valor Agregado, se deberá retener el impuesto que corresponda por los ingresos a que se refiere el artículo 113-A de esta Ley, aplicando la tasa del 20% sobre los ingresos referidos.</w:t>
      </w:r>
    </w:p>
    <w:p w:rsidR="00CB470F" w:rsidRPr="00CB470F" w:rsidRDefault="00CB470F" w:rsidP="00CB470F">
      <w:pPr>
        <w:rPr>
          <w:rFonts w:ascii="Verdana" w:hAnsi="Verdana"/>
          <w:sz w:val="20"/>
        </w:rPr>
      </w:pPr>
      <w:r w:rsidRPr="00CB470F">
        <w:rPr>
          <w:rFonts w:ascii="Verdana" w:hAnsi="Verdana"/>
          <w:b/>
          <w:bCs/>
          <w:sz w:val="20"/>
        </w:rPr>
        <w:t>V. </w:t>
      </w:r>
      <w:r w:rsidRPr="00CB470F">
        <w:rPr>
          <w:rFonts w:ascii="Verdana" w:hAnsi="Verdana"/>
          <w:sz w:val="20"/>
        </w:rPr>
        <w:t>      Conservar como parte de su contabilidad la documentación que demuestre que efectuaron la retención y entero del impuesto sobre la renta correspondiente.</w:t>
      </w:r>
    </w:p>
    <w:p w:rsidR="00CB470F" w:rsidRPr="00CB470F" w:rsidRDefault="00CB470F" w:rsidP="00CB470F">
      <w:pPr>
        <w:rPr>
          <w:rFonts w:ascii="Verdana" w:hAnsi="Verdana"/>
          <w:sz w:val="20"/>
        </w:rPr>
      </w:pPr>
      <w:r w:rsidRPr="00CB470F">
        <w:rPr>
          <w:rFonts w:ascii="Verdana" w:hAnsi="Verdana"/>
          <w:sz w:val="20"/>
        </w:rPr>
        <w:t>Las obligaciones establecidas en las fracciones III, IV y V de este artículo, deberán cumplirse de conformidad con las reglas de carácter general que para tal efecto emita el Servicio de Administración Tributaria.</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Artículo 116.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w:t>
      </w:r>
    </w:p>
    <w:p w:rsidR="00CB470F" w:rsidRPr="00CB470F" w:rsidRDefault="00CB470F" w:rsidP="00CB470F">
      <w:pPr>
        <w:rPr>
          <w:rFonts w:ascii="Verdana" w:hAnsi="Verdana"/>
          <w:sz w:val="20"/>
        </w:rPr>
      </w:pPr>
      <w:r w:rsidRPr="00CB470F">
        <w:rPr>
          <w:rFonts w:ascii="Verdana" w:hAnsi="Verdana"/>
          <w:sz w:val="20"/>
        </w:rPr>
        <w:t>Cuando los ingresos a que se refiere este Capítulo se obtengan por pagos que efectúen las personas morales, éstas deberán retener como pago provisional el monto que resulte de aplicar la tasa del 10% sobre el monto de los mismos, sin deducción alguna, debiendo proporcionar a los contribuyentes comprobante fiscal</w:t>
      </w:r>
      <w:r w:rsidRPr="00CB470F">
        <w:rPr>
          <w:rFonts w:ascii="Verdana" w:hAnsi="Verdana"/>
          <w:b/>
          <w:bCs/>
          <w:sz w:val="20"/>
        </w:rPr>
        <w:t> </w:t>
      </w:r>
      <w:r w:rsidRPr="00CB470F">
        <w:rPr>
          <w:rFonts w:ascii="Verdana" w:hAnsi="Verdana"/>
          <w:sz w:val="20"/>
        </w:rPr>
        <w:t>en el que conste el monto del impuesto retenido; dichas retenciones deberán enterarse, en su caso, conjuntamente con las señaladas en el artículo 96 de esta Ley. El impuesto retenido en los términos de este párrafo podrá acreditarse contra el que resulte de conformidad con el segundo párrafo de este artículo.</w:t>
      </w:r>
    </w:p>
    <w:p w:rsidR="00CB470F" w:rsidRPr="00CB470F" w:rsidRDefault="00CB470F" w:rsidP="00CB470F">
      <w:pPr>
        <w:rPr>
          <w:rFonts w:ascii="Verdana" w:hAnsi="Verdana"/>
          <w:sz w:val="20"/>
        </w:rPr>
      </w:pPr>
      <w:r w:rsidRPr="00CB470F">
        <w:rPr>
          <w:rFonts w:ascii="Verdana" w:hAnsi="Verdana"/>
          <w:sz w:val="20"/>
        </w:rPr>
        <w:t>Las personas morales obligadas a efectuar la retención podrán optar por no proporcionar el comprobante fiscal a que se refiere el párrafo anterior, siempre que la persona física que haya otorgado el uso o goce temporal de bienes les expida un comprobante fiscal que cumpla con los requisitos a que se refieren los artículos 29 y 29-A del Código Fiscal de la Federación y en el comprobante se señale expresamente el monto del impuesto retenido. En este caso, las personas físicas que expidan el comprobante fiscal podrán considerarlo como comprobante de retención del impuesto y efectuar el acreditamiento del mismo en los términos de las disposiciones fiscales. Lo previsto en este párrafo en ningún caso libera a las personas morales de las obligaciones de efectuar, en tiempo y forma, la retención y entero del impuesto y la presentación de las declaraciones informativas correspondientes, en los términos de las disposiciones fiscales respecto de las personas a las que les hubieran efectuado dichas retenciones.</w:t>
      </w:r>
    </w:p>
    <w:p w:rsidR="00CB470F" w:rsidRPr="00CB470F" w:rsidRDefault="00CB470F" w:rsidP="00CB470F">
      <w:pPr>
        <w:rPr>
          <w:rFonts w:ascii="Verdana" w:hAnsi="Verdana"/>
          <w:sz w:val="20"/>
        </w:rPr>
      </w:pPr>
      <w:r w:rsidRPr="00CB470F">
        <w:rPr>
          <w:rFonts w:ascii="Verdana" w:hAnsi="Verdana"/>
          <w:b/>
          <w:bCs/>
          <w:sz w:val="20"/>
        </w:rPr>
        <w:t>Artículo 118.</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y </w:t>
      </w:r>
      <w:r w:rsidRPr="00CB470F">
        <w:rPr>
          <w:rFonts w:ascii="Verdana" w:hAnsi="Verdana"/>
          <w:b/>
          <w:bCs/>
          <w:sz w:val="20"/>
        </w:rPr>
        <w:t>II. ...</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Tratándose de juicios de arrendamiento inmobiliario en los que se condene al arrendatario al pago de las rentas vencidas, la autoridad judicial requerirá al acreedor que compruebe haber emitido los comprobantes fiscales a que se refiere esta fracción. En caso de que el acreedor no acredite haber emitido dichos comprobantes, la autoridad judicial deberá informar al Servicio de Administración Tributaria la omisión mencionada en un plazo máximo de 5 días contados a partir del vencimiento del plazo que la autoridad judicial haya otorgado al acreedor para cumplir el requerimiento.</w:t>
      </w:r>
    </w:p>
    <w:p w:rsidR="00CB470F" w:rsidRPr="00CB470F" w:rsidRDefault="00CB470F" w:rsidP="00CB470F">
      <w:pPr>
        <w:rPr>
          <w:rFonts w:ascii="Verdana" w:hAnsi="Verdana"/>
          <w:sz w:val="20"/>
        </w:rPr>
      </w:pPr>
      <w:r w:rsidRPr="00CB470F">
        <w:rPr>
          <w:rFonts w:ascii="Verdana" w:hAnsi="Verdana"/>
          <w:sz w:val="20"/>
        </w:rPr>
        <w:t>         La información a que se refiere el párrafo anterior, deberá enviarse al órgano desconcentrado mencionado de conformidad con las reglas de carácter general que al efecto emita dicho órgano.</w:t>
      </w:r>
    </w:p>
    <w:p w:rsidR="00CB470F" w:rsidRPr="00CB470F" w:rsidRDefault="00CB470F" w:rsidP="00CB470F">
      <w:pPr>
        <w:rPr>
          <w:rFonts w:ascii="Verdana" w:hAnsi="Verdana"/>
          <w:sz w:val="20"/>
        </w:rPr>
      </w:pPr>
      <w:r w:rsidRPr="00CB470F">
        <w:rPr>
          <w:rFonts w:ascii="Verdana" w:hAnsi="Verdana"/>
          <w:b/>
          <w:bCs/>
          <w:sz w:val="20"/>
        </w:rPr>
        <w:t>IV. </w:t>
      </w:r>
      <w:r w:rsidRPr="00CB470F">
        <w:rPr>
          <w:rFonts w:ascii="Verdana" w:hAnsi="Verdana"/>
          <w:sz w:val="20"/>
        </w:rPr>
        <w:t>y </w:t>
      </w:r>
      <w:r w:rsidRPr="00CB470F">
        <w:rPr>
          <w:rFonts w:ascii="Verdana" w:hAnsi="Verdana"/>
          <w:b/>
          <w:bCs/>
          <w:sz w:val="20"/>
        </w:rPr>
        <w:t>V.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158. ...</w:t>
      </w:r>
    </w:p>
    <w:p w:rsidR="00CB470F" w:rsidRPr="00CB470F" w:rsidRDefault="00CB470F" w:rsidP="00CB470F">
      <w:pPr>
        <w:rPr>
          <w:rFonts w:ascii="Verdana" w:hAnsi="Verdana"/>
          <w:sz w:val="20"/>
        </w:rPr>
      </w:pPr>
      <w:r w:rsidRPr="00CB470F">
        <w:rPr>
          <w:rFonts w:ascii="Verdana" w:hAnsi="Verdana"/>
          <w:b/>
          <w:bCs/>
          <w:sz w:val="20"/>
        </w:rPr>
        <w:lastRenderedPageBreak/>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En los ingresos por otorgar el uso o goce temporal de bienes muebles, se considerará que la fuente de riqueza se encuentra en territorio nacional, cuando los bienes muebles destinados a actividades agrícolas, ganaderas y de pesca, se utilicen en el país. Se presume, salvo prueba en contrario, que los bienes muebles se destinan a estas actividades y se utilizan en el país, cuando el que usa o goza el bien es residente en México o residente en el extranjero con establecimiento permanente en territorio nacional. En el caso de que los bienes muebles se destinen a actividades distintas de las anteriores, cuando en el país se haga la entrega material de los bienes muebles.</w:t>
      </w:r>
    </w:p>
    <w:p w:rsidR="00CB470F" w:rsidRPr="00CB470F" w:rsidRDefault="00CB470F" w:rsidP="00CB470F">
      <w:pPr>
        <w:rPr>
          <w:rFonts w:ascii="Verdana" w:hAnsi="Verdana"/>
          <w:sz w:val="20"/>
        </w:rPr>
      </w:pPr>
      <w:r w:rsidRPr="00CB470F">
        <w:rPr>
          <w:rFonts w:ascii="Verdana" w:hAnsi="Verdana"/>
          <w:sz w:val="20"/>
        </w:rPr>
        <w:t>Para los efectos del párrafo anterior, el impuesto se determinará aplicando la tasa del 25% sobre el ingreso obtenido, sin deducción alguna, debiendo efectuar la retención las personas que hagan los pagos.</w:t>
      </w:r>
    </w:p>
    <w:p w:rsidR="00CB470F" w:rsidRPr="00CB470F" w:rsidRDefault="00CB470F" w:rsidP="00CB470F">
      <w:pPr>
        <w:rPr>
          <w:rFonts w:ascii="Verdana" w:hAnsi="Verdana"/>
          <w:sz w:val="20"/>
        </w:rPr>
      </w:pPr>
      <w:r w:rsidRPr="00CB470F">
        <w:rPr>
          <w:rFonts w:ascii="Verdana" w:hAnsi="Verdana"/>
          <w:sz w:val="20"/>
        </w:rPr>
        <w:t>Lo dispuesto en los dos párrafos anteriores no es aplicable a los bienes muebles a que se refiere el artículo 166 de esta Ley.</w:t>
      </w:r>
    </w:p>
    <w:p w:rsidR="00CB470F" w:rsidRPr="00CB470F" w:rsidRDefault="00CB470F" w:rsidP="00CB470F">
      <w:pPr>
        <w:rPr>
          <w:rFonts w:ascii="Verdana" w:hAnsi="Verdana"/>
          <w:sz w:val="20"/>
        </w:rPr>
      </w:pPr>
      <w:r w:rsidRPr="00CB470F">
        <w:rPr>
          <w:rFonts w:ascii="Verdana" w:hAnsi="Verdana"/>
          <w:sz w:val="20"/>
        </w:rPr>
        <w:t>En los ingresos derivados de contratos de fletamento, salvo que estos correspondan al arrendamiento de equipo comercial, industrial o científico,</w:t>
      </w:r>
      <w:r w:rsidRPr="00CB470F">
        <w:rPr>
          <w:rFonts w:ascii="Verdana" w:hAnsi="Verdana"/>
          <w:b/>
          <w:bCs/>
          <w:sz w:val="20"/>
        </w:rPr>
        <w:t> </w:t>
      </w:r>
      <w:r w:rsidRPr="00CB470F">
        <w:rPr>
          <w:rFonts w:ascii="Verdana" w:hAnsi="Verdana"/>
          <w:sz w:val="20"/>
        </w:rPr>
        <w:t>se considerará que la fuente de riqueza se encuentra en territorio nacional, cuando las embarcaciones fletadas realicen navegación de cabotaje en territorio nacional. En este caso, el impuesto se determinará aplicando la tasa del 10% sobre el ingreso obtenido, sin deducción alguna, debiendo efectuar la retención la persona que haga los pagos.</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Artículo 167.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Regalías por el uso o goce temporal de carros de ferrocarril;</w:t>
      </w:r>
      <w:r w:rsidRPr="00CB470F">
        <w:rPr>
          <w:rFonts w:ascii="Verdana" w:hAnsi="Verdana"/>
          <w:b/>
          <w:bCs/>
          <w:sz w:val="20"/>
        </w:rPr>
        <w:t> </w:t>
      </w:r>
      <w:r w:rsidRPr="00CB470F">
        <w:rPr>
          <w:rFonts w:ascii="Verdana" w:hAnsi="Verdana"/>
          <w:sz w:val="20"/>
        </w:rPr>
        <w:t>de contenedores, remolques o semirremolques que sean importados de manera temporal hasta por un mes en los términos de la Ley Aduanera; así como de embarcaciones que tengan concesión o permiso del Gobierno Federal para ser explotados comercialmente, siempre que dichos bienes sean utilizados directamente por el arrendatario en la transportación de pasajeros o bienes. ...................................................5%</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Regalías por el uso o goce temporal de aviones que tengan concesión o permiso del Gobierno Federal para ser explotados comercialmente, siempre que dichos bienes sean utilizados directamente por el arrendatario en la transportación de pasajeros o bienes. ..........................1%</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TÍTULO VI</w:t>
      </w:r>
    </w:p>
    <w:p w:rsidR="00CB470F" w:rsidRPr="00CB470F" w:rsidRDefault="00CB470F" w:rsidP="00CB470F">
      <w:pPr>
        <w:rPr>
          <w:rFonts w:ascii="Verdana" w:hAnsi="Verdana"/>
          <w:sz w:val="20"/>
        </w:rPr>
      </w:pPr>
      <w:r w:rsidRPr="00CB470F">
        <w:rPr>
          <w:rFonts w:ascii="Verdana" w:hAnsi="Verdana"/>
          <w:b/>
          <w:bCs/>
          <w:sz w:val="20"/>
        </w:rPr>
        <w:t>DE LAS ENTIDADES EXTRANJERAS CONTROLADAS SUJETAS A REGÍMENES FISCALES</w:t>
      </w:r>
      <w:r w:rsidRPr="00CB470F">
        <w:rPr>
          <w:rFonts w:ascii="Verdana" w:hAnsi="Verdana"/>
          <w:sz w:val="20"/>
        </w:rPr>
        <w:br/>
      </w:r>
      <w:r w:rsidRPr="00CB470F">
        <w:rPr>
          <w:rFonts w:ascii="Verdana" w:hAnsi="Verdana"/>
          <w:b/>
          <w:bCs/>
          <w:sz w:val="20"/>
        </w:rPr>
        <w:t>PREFERENTES Y DE LAS EMPRESAS MULTINACIONALES</w:t>
      </w:r>
    </w:p>
    <w:p w:rsidR="00CB470F" w:rsidRPr="00CB470F" w:rsidRDefault="00CB470F" w:rsidP="00CB470F">
      <w:pPr>
        <w:rPr>
          <w:rFonts w:ascii="Verdana" w:hAnsi="Verdana"/>
          <w:sz w:val="20"/>
        </w:rPr>
      </w:pPr>
      <w:r w:rsidRPr="00CB470F">
        <w:rPr>
          <w:rFonts w:ascii="Verdana" w:hAnsi="Verdana"/>
          <w:b/>
          <w:bCs/>
          <w:sz w:val="20"/>
        </w:rPr>
        <w:t>CAPÍTULO I</w:t>
      </w:r>
    </w:p>
    <w:p w:rsidR="00CB470F" w:rsidRPr="00CB470F" w:rsidRDefault="00CB470F" w:rsidP="00CB470F">
      <w:pPr>
        <w:rPr>
          <w:rFonts w:ascii="Verdana" w:hAnsi="Verdana"/>
          <w:sz w:val="20"/>
        </w:rPr>
      </w:pPr>
      <w:r w:rsidRPr="00CB470F">
        <w:rPr>
          <w:rFonts w:ascii="Verdana" w:hAnsi="Verdana"/>
          <w:b/>
          <w:bCs/>
          <w:sz w:val="20"/>
        </w:rPr>
        <w:t>DE LAS ENTIDADES EXTRANJERAS CONTROLADAS SUJETAS A REGÍMENES FISCALES</w:t>
      </w:r>
      <w:r w:rsidRPr="00CB470F">
        <w:rPr>
          <w:rFonts w:ascii="Verdana" w:hAnsi="Verdana"/>
          <w:sz w:val="20"/>
        </w:rPr>
        <w:br/>
      </w:r>
      <w:r w:rsidRPr="00CB470F">
        <w:rPr>
          <w:rFonts w:ascii="Verdana" w:hAnsi="Verdana"/>
          <w:b/>
          <w:bCs/>
          <w:sz w:val="20"/>
        </w:rPr>
        <w:t>PREFERENTES</w:t>
      </w:r>
    </w:p>
    <w:p w:rsidR="00CB470F" w:rsidRPr="00CB470F" w:rsidRDefault="00CB470F" w:rsidP="00CB470F">
      <w:pPr>
        <w:rPr>
          <w:rFonts w:ascii="Verdana" w:hAnsi="Verdana"/>
          <w:sz w:val="20"/>
        </w:rPr>
      </w:pPr>
      <w:r w:rsidRPr="00CB470F">
        <w:rPr>
          <w:rFonts w:ascii="Verdana" w:hAnsi="Verdana"/>
          <w:b/>
          <w:bCs/>
          <w:sz w:val="20"/>
        </w:rPr>
        <w:t>Artículo 176. </w:t>
      </w:r>
      <w:r w:rsidRPr="00CB470F">
        <w:rPr>
          <w:rFonts w:ascii="Verdana" w:hAnsi="Verdana"/>
          <w:sz w:val="20"/>
        </w:rPr>
        <w:t>Los residentes en México y los residentes en el extranjero con establecimiento permanente en el país, están obligados a pagar el impuesto conforme a lo dispuesto en este Capítulo, por los ingresos sujetos a regímenes fiscales preferentes que obtengan a través de entidades extranjeras en las que participen, directa o indirectamente, en la proporción que les corresponda por su participación en ellas.</w:t>
      </w:r>
    </w:p>
    <w:p w:rsidR="00CB470F" w:rsidRPr="00CB470F" w:rsidRDefault="00CB470F" w:rsidP="00CB470F">
      <w:pPr>
        <w:rPr>
          <w:rFonts w:ascii="Verdana" w:hAnsi="Verdana"/>
          <w:sz w:val="20"/>
        </w:rPr>
      </w:pPr>
      <w:r w:rsidRPr="00CB470F">
        <w:rPr>
          <w:rFonts w:ascii="Verdana" w:hAnsi="Verdana"/>
          <w:sz w:val="20"/>
        </w:rPr>
        <w:t>Los ingresos a que se refiere este Capítulo son los generados en efectivo, en bienes, en servicios o en crédito por las entidades extranjeras y los que hayan sido determinados presuntamente por las autoridades fiscales, aun en el caso de que dichos ingresos no hayan sido distribuidos por ellas a los contribuyentes de este Capítulo.</w:t>
      </w:r>
    </w:p>
    <w:p w:rsidR="00CB470F" w:rsidRPr="00CB470F" w:rsidRDefault="00CB470F" w:rsidP="00CB470F">
      <w:pPr>
        <w:rPr>
          <w:rFonts w:ascii="Verdana" w:hAnsi="Verdana"/>
          <w:sz w:val="20"/>
        </w:rPr>
      </w:pPr>
      <w:r w:rsidRPr="00CB470F">
        <w:rPr>
          <w:rFonts w:ascii="Verdana" w:hAnsi="Verdana"/>
          <w:sz w:val="20"/>
        </w:rPr>
        <w:t>Para los efectos de esta Ley, se considerarán ingresos sujetos a regímenes fiscales preferentes, los que no están gravados en el extranjero o lo están con un impuesto sobre la renta inferior al 75% del impuesto sobre la renta que se causaría y pagaría en México, en los términos de los Títulos II o IV de esta Ley, según corresponda. No se considerará el impuesto sobre dividendos señalado en el segundo párrafo del artículo 140, ni en el segundo párrafo de la fracción V del artículo 142 de la presente Ley, al momento de determinar los ingresos sujetos a regímenes fiscales preferentes.</w:t>
      </w:r>
    </w:p>
    <w:p w:rsidR="00CB470F" w:rsidRPr="00CB470F" w:rsidRDefault="00CB470F" w:rsidP="00CB470F">
      <w:pPr>
        <w:rPr>
          <w:rFonts w:ascii="Verdana" w:hAnsi="Verdana"/>
          <w:sz w:val="20"/>
        </w:rPr>
      </w:pPr>
      <w:r w:rsidRPr="00CB470F">
        <w:rPr>
          <w:rFonts w:ascii="Verdana" w:hAnsi="Verdana"/>
          <w:sz w:val="20"/>
        </w:rPr>
        <w:t>Se considerará que los ingresos están sujetos a un régimen fiscal preferente cuando el impuesto sobre la renta efectivamente causado y pagado en el país o jurisdicción de que se trate sea inferior al impuesto causado en México en los términos de este artículo por la aplicación de una disposición legal, reglamentaria, administrativa, de una resolución, autorización, devolución, acreditamiento o cualquier otro procedimiento.</w:t>
      </w:r>
    </w:p>
    <w:p w:rsidR="00CB470F" w:rsidRPr="00CB470F" w:rsidRDefault="00CB470F" w:rsidP="00CB470F">
      <w:pPr>
        <w:rPr>
          <w:rFonts w:ascii="Verdana" w:hAnsi="Verdana"/>
          <w:sz w:val="20"/>
        </w:rPr>
      </w:pPr>
      <w:r w:rsidRPr="00CB470F">
        <w:rPr>
          <w:rFonts w:ascii="Verdana" w:hAnsi="Verdana"/>
          <w:sz w:val="20"/>
        </w:rPr>
        <w:lastRenderedPageBreak/>
        <w:t>Para determinar si los ingresos se encuentran sujetos a regímenes fiscales preferentes en los términos de los párrafos anteriores se considerará la utilidad o pérdida que generen todas las operaciones realizadas en el año de calendario por cada entidad extranjera. Si se tiene participación en dos o más entidades extranjeras residentes de un mismo país o jurisdicción, y éstas consolidan para efectos fiscales en su país de residencia, la determinación se podrá realizar de forma consolidada en los términos que dispongan las reglas de carácter general que al efecto expida el Servicio de Administración Tributaria. Para fines de otros Capítulos de esta Ley, la determinación señalada se realizará por cada operación.</w:t>
      </w:r>
    </w:p>
    <w:p w:rsidR="00CB470F" w:rsidRPr="00CB470F" w:rsidRDefault="00CB470F" w:rsidP="00CB470F">
      <w:pPr>
        <w:rPr>
          <w:rFonts w:ascii="Verdana" w:hAnsi="Verdana"/>
          <w:sz w:val="20"/>
        </w:rPr>
      </w:pPr>
      <w:r w:rsidRPr="00CB470F">
        <w:rPr>
          <w:rFonts w:ascii="Verdana" w:hAnsi="Verdana"/>
          <w:sz w:val="20"/>
        </w:rPr>
        <w:t>Para realizar la determinación señalada en los párrafos anteriores, se considerarán todos los impuestos sobre la renta pagados por la entidad extranjera, sin importar que los mismos se paguen en un país o jurisdicción distintos al de su residencia o a diferentes niveles de gobierno. No se considera que un impuesto fue pagado, entre otros, cuando el mismo se realizó mediante el acreditamiento de impuestos sobre la renta o estímulos fiscales.</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Si los ingresos generados por una entidad extranjera en un año de calendario se encuentran sujetos a un régimen fiscal preferente y estos se distribuyen a otra entidad extranjera, la determinación que deberá realizarse de conformidad con los párrafos anteriores podrá considerar el monto del impuesto pagado por la segunda entidad correspondiente a dichos ingresos. Lo dispuesto en este párrafo solo será aplicable si la distribución se realiza en el mismo año de calendario en el que se generaron los ingresos o dentro de los seis meses siguientes a la finalización del mismo, y en este mismo periodo se haya pagado dicho impuesto.</w:t>
      </w:r>
    </w:p>
    <w:p w:rsidR="00CB470F" w:rsidRPr="00CB470F" w:rsidRDefault="00CB470F" w:rsidP="00CB470F">
      <w:pPr>
        <w:rPr>
          <w:rFonts w:ascii="Verdana" w:hAnsi="Verdana"/>
          <w:sz w:val="20"/>
        </w:rPr>
      </w:pPr>
      <w:r w:rsidRPr="00CB470F">
        <w:rPr>
          <w:rFonts w:ascii="Verdana" w:hAnsi="Verdana"/>
          <w:sz w:val="20"/>
        </w:rPr>
        <w:t>En lugar de comparar el impuesto pagado por la entidad extranjera frente al impuesto que se causaría y pagaría en México de conformidad con los párrafos anteriores, el contribuyente podrá comparar la tasa estatutaria del impuesto sobre la renta del país o jurisdicción de su residencia fiscal, con la tasa establecida en el artículo 9 de esta Ley o la tasa máxima para aplicarse sobre el excedente del límite inferior que establece la tarifa contenida en el artículo 152 de la misma, según corresponda. En estos casos,</w:t>
      </w:r>
      <w:r w:rsidRPr="00CB470F">
        <w:rPr>
          <w:rFonts w:ascii="Verdana" w:hAnsi="Verdana"/>
          <w:b/>
          <w:bCs/>
          <w:sz w:val="20"/>
        </w:rPr>
        <w:t> </w:t>
      </w:r>
      <w:r w:rsidRPr="00CB470F">
        <w:rPr>
          <w:rFonts w:ascii="Verdana" w:hAnsi="Verdana"/>
          <w:sz w:val="20"/>
        </w:rPr>
        <w:t>no se considerarán ingresos sujetos a regímenes fiscales preferentes</w:t>
      </w:r>
      <w:r w:rsidRPr="00CB470F">
        <w:rPr>
          <w:rFonts w:ascii="Verdana" w:hAnsi="Verdana"/>
          <w:b/>
          <w:bCs/>
          <w:sz w:val="20"/>
        </w:rPr>
        <w:t> </w:t>
      </w:r>
      <w:r w:rsidRPr="00CB470F">
        <w:rPr>
          <w:rFonts w:ascii="Verdana" w:hAnsi="Verdana"/>
          <w:sz w:val="20"/>
        </w:rPr>
        <w:t>cuando</w:t>
      </w:r>
      <w:r w:rsidRPr="00CB470F">
        <w:rPr>
          <w:rFonts w:ascii="Verdana" w:hAnsi="Verdana"/>
          <w:b/>
          <w:bCs/>
          <w:sz w:val="20"/>
        </w:rPr>
        <w:t> </w:t>
      </w:r>
      <w:r w:rsidRPr="00CB470F">
        <w:rPr>
          <w:rFonts w:ascii="Verdana" w:hAnsi="Verdana"/>
          <w:sz w:val="20"/>
        </w:rPr>
        <w:t>dichas utilidades estén gravadas con una tasa igual o mayor al 75% de las tasas mencionadas anteriormente,</w:t>
      </w:r>
      <w:r w:rsidRPr="00CB470F">
        <w:rPr>
          <w:rFonts w:ascii="Verdana" w:hAnsi="Verdana"/>
          <w:b/>
          <w:bCs/>
          <w:sz w:val="20"/>
        </w:rPr>
        <w:t> </w:t>
      </w:r>
      <w:r w:rsidRPr="00CB470F">
        <w:rPr>
          <w:rFonts w:ascii="Verdana" w:hAnsi="Verdana"/>
          <w:sz w:val="20"/>
        </w:rPr>
        <w:t>siempre que sean gravables todos sus ingresos, salvo los dividendos percibidos</w:t>
      </w:r>
      <w:r w:rsidRPr="00CB470F">
        <w:rPr>
          <w:rFonts w:ascii="Verdana" w:hAnsi="Verdana"/>
          <w:b/>
          <w:bCs/>
          <w:sz w:val="20"/>
        </w:rPr>
        <w:t> </w:t>
      </w:r>
      <w:r w:rsidRPr="00CB470F">
        <w:rPr>
          <w:rFonts w:ascii="Verdana" w:hAnsi="Verdana"/>
          <w:sz w:val="20"/>
        </w:rPr>
        <w:t>entre</w:t>
      </w:r>
      <w:r w:rsidRPr="00CB470F">
        <w:rPr>
          <w:rFonts w:ascii="Verdana" w:hAnsi="Verdana"/>
          <w:b/>
          <w:bCs/>
          <w:sz w:val="20"/>
        </w:rPr>
        <w:t> </w:t>
      </w:r>
      <w:r w:rsidRPr="00CB470F">
        <w:rPr>
          <w:rFonts w:ascii="Verdana" w:hAnsi="Verdana"/>
          <w:sz w:val="20"/>
        </w:rPr>
        <w:t>entidades que sean residentes del</w:t>
      </w:r>
      <w:r w:rsidRPr="00CB470F">
        <w:rPr>
          <w:rFonts w:ascii="Verdana" w:hAnsi="Verdana"/>
          <w:b/>
          <w:bCs/>
          <w:sz w:val="20"/>
        </w:rPr>
        <w:t> </w:t>
      </w:r>
      <w:r w:rsidRPr="00CB470F">
        <w:rPr>
          <w:rFonts w:ascii="Verdana" w:hAnsi="Verdana"/>
          <w:sz w:val="20"/>
        </w:rPr>
        <w:t>mismo país</w:t>
      </w:r>
      <w:r w:rsidRPr="00CB470F">
        <w:rPr>
          <w:rFonts w:ascii="Verdana" w:hAnsi="Verdana"/>
          <w:b/>
          <w:bCs/>
          <w:sz w:val="20"/>
        </w:rPr>
        <w:t> </w:t>
      </w:r>
      <w:r w:rsidRPr="00CB470F">
        <w:rPr>
          <w:rFonts w:ascii="Verdana" w:hAnsi="Verdana"/>
          <w:sz w:val="20"/>
        </w:rPr>
        <w:t>o jurisdicción,</w:t>
      </w:r>
      <w:r w:rsidRPr="00CB470F">
        <w:rPr>
          <w:rFonts w:ascii="Verdana" w:hAnsi="Verdana"/>
          <w:b/>
          <w:bCs/>
          <w:sz w:val="20"/>
        </w:rPr>
        <w:t> </w:t>
      </w:r>
      <w:r w:rsidRPr="00CB470F">
        <w:rPr>
          <w:rFonts w:ascii="Verdana" w:hAnsi="Verdana"/>
          <w:sz w:val="20"/>
        </w:rPr>
        <w:t>y que sus deducciones sean o hayan sido realmente erogadas, a condición que se acumulen o deduzcan, respectivamente, en los mismos momentos señalados en</w:t>
      </w:r>
      <w:r w:rsidRPr="00CB470F">
        <w:rPr>
          <w:rFonts w:ascii="Verdana" w:hAnsi="Verdana"/>
          <w:b/>
          <w:bCs/>
          <w:sz w:val="20"/>
        </w:rPr>
        <w:t> </w:t>
      </w:r>
      <w:r w:rsidRPr="00CB470F">
        <w:rPr>
          <w:rFonts w:ascii="Verdana" w:hAnsi="Verdana"/>
          <w:sz w:val="20"/>
        </w:rPr>
        <w:t>los</w:t>
      </w:r>
      <w:r w:rsidRPr="00CB470F">
        <w:rPr>
          <w:rFonts w:ascii="Verdana" w:hAnsi="Verdana"/>
          <w:b/>
          <w:bCs/>
          <w:sz w:val="20"/>
        </w:rPr>
        <w:t> </w:t>
      </w:r>
      <w:r w:rsidRPr="00CB470F">
        <w:rPr>
          <w:rFonts w:ascii="Verdana" w:hAnsi="Verdana"/>
          <w:sz w:val="20"/>
        </w:rPr>
        <w:t>Títulos</w:t>
      </w:r>
      <w:r w:rsidRPr="00CB470F">
        <w:rPr>
          <w:rFonts w:ascii="Verdana" w:hAnsi="Verdana"/>
          <w:b/>
          <w:bCs/>
          <w:sz w:val="20"/>
        </w:rPr>
        <w:t> </w:t>
      </w:r>
      <w:r w:rsidRPr="00CB470F">
        <w:rPr>
          <w:rFonts w:ascii="Verdana" w:hAnsi="Verdana"/>
          <w:sz w:val="20"/>
        </w:rPr>
        <w:t>II</w:t>
      </w:r>
      <w:r w:rsidRPr="00CB470F">
        <w:rPr>
          <w:rFonts w:ascii="Verdana" w:hAnsi="Verdana"/>
          <w:b/>
          <w:bCs/>
          <w:sz w:val="20"/>
        </w:rPr>
        <w:t> </w:t>
      </w:r>
      <w:r w:rsidRPr="00CB470F">
        <w:rPr>
          <w:rFonts w:ascii="Verdana" w:hAnsi="Verdana"/>
          <w:sz w:val="20"/>
        </w:rPr>
        <w:t>o IV de esta Ley, según corresponda.</w:t>
      </w:r>
      <w:r w:rsidRPr="00CB470F">
        <w:rPr>
          <w:rFonts w:ascii="Verdana" w:hAnsi="Verdana"/>
          <w:b/>
          <w:bCs/>
          <w:sz w:val="20"/>
        </w:rPr>
        <w:t> </w:t>
      </w:r>
      <w:r w:rsidRPr="00CB470F">
        <w:rPr>
          <w:rFonts w:ascii="Verdana" w:hAnsi="Verdana"/>
          <w:sz w:val="20"/>
        </w:rPr>
        <w:t xml:space="preserve">Lo señalado en este párrafo solo será aplicable si la entidad extranjera no está sujeta a algún crédito o beneficio fiscal en su país o jurisdicción de residencia que reduzca su base imponible o impuesto a pagar que no se otorgaría en México, y cuando dicho país o jurisdicción tenga un acuerdo amplio de intercambio de información con México. Lo señalado en este párrafo no será aplicable cuando la entidad extranjera esté sujeta a diversas tasas estatuarias en su país o jurisdicción de residencia. Para estos efectos, se </w:t>
      </w:r>
      <w:r w:rsidRPr="00CB470F">
        <w:rPr>
          <w:rFonts w:ascii="Verdana" w:hAnsi="Verdana"/>
          <w:sz w:val="20"/>
        </w:rPr>
        <w:lastRenderedPageBreak/>
        <w:t>presume, salvo prueba en contrario, que no se reúnen los elementos previstos en este párrafo.</w:t>
      </w:r>
    </w:p>
    <w:p w:rsidR="00CB470F" w:rsidRPr="00CB470F" w:rsidRDefault="00CB470F" w:rsidP="00CB470F">
      <w:pPr>
        <w:rPr>
          <w:rFonts w:ascii="Verdana" w:hAnsi="Verdana"/>
          <w:sz w:val="20"/>
        </w:rPr>
      </w:pPr>
      <w:r w:rsidRPr="00CB470F">
        <w:rPr>
          <w:rFonts w:ascii="Verdana" w:hAnsi="Verdana"/>
          <w:sz w:val="20"/>
        </w:rPr>
        <w:t>Lo dispuesto en este artículo no será aplicable a los ingresos que obtenga el contribuyente a través de una entidad extranjera transparente fiscal o figura jurídica extranjera en la que tenga una participación directa, sin importar que los ingresos de estas últimas estén sujetos a un régimen fiscal preferente. Tampoco será aplicable este artículo, a los ingresos que obtenga el contribuyente a través de una entidad extranjera transparente fiscal o figura jurídica extranjera, sin importar que los mismos estén sujetos a un régimen fiscal preferente, cuando su participación indirecta en dicha entidad o figura jurídica esté constituida por una estructura que integre exclusivamente una o varias entidades extranjeras transparentes fiscales o figuras jurídicas extranjeras. Lo anterior, es aplicable a los ingresos que obtenga el contribuyente a través de cada una de estas entidades o figuras que integran dicha estructura. Los casos señalados en este párrafo, estarán sujetos a lo dispuesto por el artículo 4-B de esta Ley.</w:t>
      </w:r>
    </w:p>
    <w:p w:rsidR="00CB470F" w:rsidRPr="00CB470F" w:rsidRDefault="00CB470F" w:rsidP="00CB470F">
      <w:pPr>
        <w:rPr>
          <w:rFonts w:ascii="Verdana" w:hAnsi="Verdana"/>
          <w:sz w:val="20"/>
        </w:rPr>
      </w:pPr>
      <w:r w:rsidRPr="00CB470F">
        <w:rPr>
          <w:rFonts w:ascii="Verdana" w:hAnsi="Verdana"/>
          <w:sz w:val="20"/>
        </w:rPr>
        <w:t>Lo dispuesto en este artículo aplicará a los ingresos que obtenga una entidad extranjera a través de entidades extranjeras transparentes fiscales o figuras jurídicas extranjeras en proporción a su participación. Cuando los ingresos generados a través de las entidades extranjeras transparentes fiscales o figuras jurídicas extranjeras no se hayan acumulado por la primera entidad extranjera, se considerarán los mismos para determinar si los ingresos de esta última se encuentran sujetos a un régimen fiscal preferente. Cuando la entidad extranjera transparente o figura jurídica extranjera pague un impuesto sobre la renta sobre dichos ingresos, se considerará para efectos de esta determinación en la proporción que le corresponda a la primera entidad extranjera.</w:t>
      </w:r>
    </w:p>
    <w:p w:rsidR="00CB470F" w:rsidRPr="00CB470F" w:rsidRDefault="00CB470F" w:rsidP="00CB470F">
      <w:pPr>
        <w:rPr>
          <w:rFonts w:ascii="Verdana" w:hAnsi="Verdana"/>
          <w:sz w:val="20"/>
        </w:rPr>
      </w:pPr>
      <w:r w:rsidRPr="00CB470F">
        <w:rPr>
          <w:rFonts w:ascii="Verdana" w:hAnsi="Verdana"/>
          <w:sz w:val="20"/>
        </w:rPr>
        <w:t>Lo dispuesto en este Capítulo sólo será aplicable cuando el contribuyente ejerza el control efectivo sobre la entidad extranjera de que se trate. Para estos efectos, se entenderá que existe control efectivo cuando se actualice cualquiera de los siguientes supuestos: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Cuando la participación promedio diaria del contribuyente sobre la entidad extranjera le permita contar con más del 50% del total de derecho de voto en la entidad, le confiera el derecho de veto en las decisiones de la entidad o se requiera su voto favorable para la toma de dichas decisiones, o dicha participación corresponda a más del 50% del valor total de las acciones emitidas por la entidad.</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Cuando por motivo de algún acuerdo o título valor distinto de los señalados en la fracción anterior, el contribuyente tenga derecho a más del 50% sobre los activos o utilidades de la entidad extranjera en caso de cualquier tipo de reducción de capital o liquidación, en cualquier momento del año de calendario.</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En el caso que no se cumplan los porcentajes señalados en las fracciones anteriores, cuando la suma de ambos signifique que el contribuyente tiene más del 50% de los derechos referidos.</w:t>
      </w:r>
    </w:p>
    <w:p w:rsidR="00CB470F" w:rsidRPr="00CB470F" w:rsidRDefault="00CB470F" w:rsidP="00CB470F">
      <w:pPr>
        <w:rPr>
          <w:rFonts w:ascii="Verdana" w:hAnsi="Verdana"/>
          <w:sz w:val="20"/>
        </w:rPr>
      </w:pPr>
      <w:r w:rsidRPr="00CB470F">
        <w:rPr>
          <w:rFonts w:ascii="Verdana" w:hAnsi="Verdana"/>
          <w:b/>
          <w:bCs/>
          <w:sz w:val="20"/>
        </w:rPr>
        <w:lastRenderedPageBreak/>
        <w:t>IV.</w:t>
      </w:r>
      <w:r w:rsidRPr="00CB470F">
        <w:rPr>
          <w:rFonts w:ascii="Verdana" w:hAnsi="Verdana"/>
          <w:sz w:val="20"/>
        </w:rPr>
        <w:t>      Cuando el contribuyente y la entidad extranjera consoliden sus estados financieros con base en las normas contables que les sean aplicables.</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Cuando considerando los hechos y circunstancias, o cualquier tipo de acuerdo o título valor, el contribuyente tenga derecho, de forma directa o indirecta, a determinar unilateralmente los acuerdos de las asambleas o las decisiones de administración de la entidad extranjera, incluso por interpósita persona.</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Lo señalado en el párrafo anterior será aplicable cuando el contribuyente tenga una participación directa o indirecta sobre la entidad de que se trate. No obstante, también se considerará que existe control efectivo para efectos de las fracciones I, II y III antes señaladas, cuando el contribuyente:</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Tenga el derecho, directa o indirectamente, de conformidad con la fracción I a ejercer el control efectivo de cada una de las entidades extranjeras intermedias que lo separan de la entidad extranjera en cuestión;</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Tenga el derecho, directa o indirectamente, sobre más del 50% de los activos o utilidades de cada una de las entidades intermedias que lo separan de la entidad extranjera en cuestión en caso de cualquier tipo de reducción de capital o liquidación, por motivo de algún acuerdo o título valor distinto a los señalados en el apartado anterior; o</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En el caso que no se cumplan los porcentajes señalados en los apartados anteriores, cuando la suma de ambos signifique que el contribuyente tiene más del 50% de los derechos referidos.</w:t>
      </w:r>
    </w:p>
    <w:p w:rsidR="00CB470F" w:rsidRPr="00CB470F" w:rsidRDefault="00CB470F" w:rsidP="00CB470F">
      <w:pPr>
        <w:rPr>
          <w:rFonts w:ascii="Verdana" w:hAnsi="Verdana"/>
          <w:sz w:val="20"/>
        </w:rPr>
      </w:pPr>
      <w:r w:rsidRPr="00CB470F">
        <w:rPr>
          <w:rFonts w:ascii="Verdana" w:hAnsi="Verdana"/>
          <w:sz w:val="20"/>
        </w:rPr>
        <w:t>Para efectos de determinar si existe control efectivo de conformidad con los párrafos anteriores, se considerarán todos los derechos que tenga el contribuyente y sus partes relacionadas y personas vinculadas, sin importar su residencia fiscal o lugar de constitución. En el caso de las partes relacionadas y personas vinculadas que sean residentes en México o establecimientos permanentes en territorio nacional de residentes en el extranjero, se encuentran obligadas a cumplir con las disposiciones de este capítulo, sin importar que por sí mismas no cumplan con el requisito de tener el control efectivo sobre la entidad extranjera de que se trate. En el caso que los derechos estén bajo el control de una figura jurídica, se considera que los mismos le pertenecen al contribuyente o a una entidad extranjera en proporción a su participación sobre la misma.</w:t>
      </w:r>
    </w:p>
    <w:p w:rsidR="00CB470F" w:rsidRPr="00CB470F" w:rsidRDefault="00CB470F" w:rsidP="00CB470F">
      <w:pPr>
        <w:rPr>
          <w:rFonts w:ascii="Verdana" w:hAnsi="Verdana"/>
          <w:sz w:val="20"/>
        </w:rPr>
      </w:pPr>
      <w:r w:rsidRPr="00CB470F">
        <w:rPr>
          <w:rFonts w:ascii="Verdana" w:hAnsi="Verdana"/>
          <w:sz w:val="20"/>
        </w:rPr>
        <w:t>Se considerará que existe vinculación entre personas, si una de ellas ocupa cargos de dirección o de responsabilidad en una empresa de la otra, si están legalmente reconocidas como asociadas en negocios o si se trata del cónyuge o la persona con quien viva en concubinato o son familiares consanguíneos en línea recta ascendente o descendente, colaterales o por afinidad, hasta el cuarto grado.</w:t>
      </w:r>
    </w:p>
    <w:p w:rsidR="00CB470F" w:rsidRPr="00CB470F" w:rsidRDefault="00CB470F" w:rsidP="00CB470F">
      <w:pPr>
        <w:rPr>
          <w:rFonts w:ascii="Verdana" w:hAnsi="Verdana"/>
          <w:sz w:val="20"/>
        </w:rPr>
      </w:pPr>
      <w:r w:rsidRPr="00CB470F">
        <w:rPr>
          <w:rFonts w:ascii="Verdana" w:hAnsi="Verdana"/>
          <w:sz w:val="20"/>
        </w:rPr>
        <w:lastRenderedPageBreak/>
        <w:t>Se presume, salvo prueba en contrario, que el contribuyente tiene el control efectivo de las entidades extranjeras que generan los ingresos sujetos a regímenes fiscales preferentes.</w:t>
      </w:r>
    </w:p>
    <w:p w:rsidR="00CB470F" w:rsidRPr="00CB470F" w:rsidRDefault="00CB470F" w:rsidP="00CB470F">
      <w:pPr>
        <w:rPr>
          <w:rFonts w:ascii="Verdana" w:hAnsi="Verdana"/>
          <w:sz w:val="20"/>
        </w:rPr>
      </w:pPr>
      <w:r w:rsidRPr="00CB470F">
        <w:rPr>
          <w:rFonts w:ascii="Verdana" w:hAnsi="Verdana"/>
          <w:sz w:val="20"/>
        </w:rPr>
        <w:t>No se considerarán ingresos sujetos a</w:t>
      </w:r>
      <w:r w:rsidRPr="00CB470F">
        <w:rPr>
          <w:rFonts w:ascii="Verdana" w:hAnsi="Verdana"/>
          <w:b/>
          <w:bCs/>
          <w:sz w:val="20"/>
        </w:rPr>
        <w:t> </w:t>
      </w:r>
      <w:r w:rsidRPr="00CB470F">
        <w:rPr>
          <w:rFonts w:ascii="Verdana" w:hAnsi="Verdana"/>
          <w:sz w:val="20"/>
        </w:rPr>
        <w:t>las disposiciones de este Capítulo, los obtenidos a través de entidades extranjeras que realicen actividades empresariales, salvo que sus ingresos pasivos representen más del 20% de la totalidad de sus ingresos. Lo dispuesto en este párrafo no será aplicable, cuando más del 50% de los ingresos de la entidad extranjera tengan fuente de riqueza en territorio nacional o hayan representado una deducción en México directa o indirectamente.</w:t>
      </w:r>
    </w:p>
    <w:p w:rsidR="00CB470F" w:rsidRPr="00CB470F" w:rsidRDefault="00CB470F" w:rsidP="00CB470F">
      <w:pPr>
        <w:rPr>
          <w:rFonts w:ascii="Verdana" w:hAnsi="Verdana"/>
          <w:sz w:val="20"/>
        </w:rPr>
      </w:pPr>
      <w:r w:rsidRPr="00CB470F">
        <w:rPr>
          <w:rFonts w:ascii="Verdana" w:hAnsi="Verdana"/>
          <w:sz w:val="20"/>
        </w:rPr>
        <w:t>Para los efectos de este Capítulo, se consideran ingresos pasivos: los intereses; dividendos; regalías; las ganancias en la enajenación de acciones, títulos valor o bienes intangibles; las ganancias provenientes de operaciones financieras derivadas cuando el subyacente se refiera a deudas o acciones; las comisiones y mediaciones, así como los ingresos provenientes de la enajenación de bienes que no se encuentren físicamente en el país o jurisdicción donde resida o se ubique la entidad y los ingresos provenientes de servicios prestados fuera de dicho país o jurisdicción,</w:t>
      </w:r>
      <w:r w:rsidRPr="00CB470F">
        <w:rPr>
          <w:rFonts w:ascii="Verdana" w:hAnsi="Verdana"/>
          <w:b/>
          <w:bCs/>
          <w:sz w:val="20"/>
        </w:rPr>
        <w:t> </w:t>
      </w:r>
      <w:r w:rsidRPr="00CB470F">
        <w:rPr>
          <w:rFonts w:ascii="Verdana" w:hAnsi="Verdana"/>
          <w:sz w:val="20"/>
        </w:rPr>
        <w:t>o a personas que no residan en dicho país o jurisdicción,</w:t>
      </w:r>
      <w:r w:rsidRPr="00CB470F">
        <w:rPr>
          <w:rFonts w:ascii="Verdana" w:hAnsi="Verdana"/>
          <w:b/>
          <w:bCs/>
          <w:sz w:val="20"/>
        </w:rPr>
        <w:t> </w:t>
      </w:r>
      <w:r w:rsidRPr="00CB470F">
        <w:rPr>
          <w:rFonts w:ascii="Verdana" w:hAnsi="Verdana"/>
          <w:sz w:val="20"/>
        </w:rPr>
        <w:t>así como los ingresos derivados de la enajenación de bienes inmuebles, los derivados del otorgamiento del uso o goce temporal de bienes, así como los ingresos percibidos a título gratuito.</w:t>
      </w:r>
    </w:p>
    <w:p w:rsidR="00CB470F" w:rsidRPr="00CB470F" w:rsidRDefault="00CB470F" w:rsidP="00CB470F">
      <w:pPr>
        <w:rPr>
          <w:rFonts w:ascii="Verdana" w:hAnsi="Verdana"/>
          <w:sz w:val="20"/>
        </w:rPr>
      </w:pPr>
      <w:r w:rsidRPr="00CB470F">
        <w:rPr>
          <w:rFonts w:ascii="Verdana" w:hAnsi="Verdana"/>
          <w:sz w:val="20"/>
        </w:rPr>
        <w:t>Las autoridades fiscales podrán autorizar a los contribuyentes de este Capítulo para no aplicar las disposiciones del mismo a los ingresos pasivos generados por entidades extranjeras que tengan autorización para actuar como entidades de financiamiento por las autoridades del país en que residan, cuando dichos ingresos se utilicen para cumplir con los requisitos que al efecto se establezcan para el otorgamiento de créditos contratados con personas, figuras o entidades que no sean consideradas como partes relacionadas en los términos del artículo 179 de esta Ley y no se genere una deducción autorizada para un residente en México.</w:t>
      </w:r>
    </w:p>
    <w:p w:rsidR="00CB470F" w:rsidRPr="00CB470F" w:rsidRDefault="00CB470F" w:rsidP="00CB470F">
      <w:pPr>
        <w:rPr>
          <w:rFonts w:ascii="Verdana" w:hAnsi="Verdana"/>
          <w:sz w:val="20"/>
        </w:rPr>
      </w:pPr>
      <w:r w:rsidRPr="00CB470F">
        <w:rPr>
          <w:rFonts w:ascii="Verdana" w:hAnsi="Verdana"/>
          <w:sz w:val="20"/>
        </w:rPr>
        <w:t>La autorización a que se refiere el párrafo anterior, estará sujeta a las condiciones que se establezcan en las reglas de carácter general que al efecto expida el Servicio de Administración Tributaria.</w:t>
      </w:r>
    </w:p>
    <w:p w:rsidR="00CB470F" w:rsidRPr="00CB470F" w:rsidRDefault="00CB470F" w:rsidP="00CB470F">
      <w:pPr>
        <w:rPr>
          <w:rFonts w:ascii="Verdana" w:hAnsi="Verdana"/>
          <w:sz w:val="20"/>
        </w:rPr>
      </w:pPr>
      <w:r w:rsidRPr="00CB470F">
        <w:rPr>
          <w:rFonts w:ascii="Verdana" w:hAnsi="Verdana"/>
          <w:sz w:val="20"/>
        </w:rPr>
        <w:t>Cuando se enajenen acciones dentro de un mismo grupo, derivadas de una reestructuración internacional, entre ellas la fusión y escisión, que generen ingresos comprendidos dentro de este Capítulo, los contribuyentes podrán no aplicar las disposiciones del mismo a dichos ingresos, siempre y cuando se cumplan con los requisitos y documentación siguientes:</w:t>
      </w:r>
    </w:p>
    <w:p w:rsidR="00CB470F" w:rsidRPr="00CB470F" w:rsidRDefault="00CB470F" w:rsidP="00CB470F">
      <w:pPr>
        <w:rPr>
          <w:rFonts w:ascii="Verdana" w:hAnsi="Verdana"/>
          <w:sz w:val="20"/>
        </w:rPr>
      </w:pPr>
      <w:r w:rsidRPr="00CB470F">
        <w:rPr>
          <w:rFonts w:ascii="Verdana" w:hAnsi="Verdana"/>
          <w:b/>
          <w:bCs/>
          <w:sz w:val="20"/>
        </w:rPr>
        <w:t>1.</w:t>
      </w:r>
      <w:r w:rsidRPr="00CB470F">
        <w:rPr>
          <w:rFonts w:ascii="Verdana" w:hAnsi="Verdana"/>
          <w:sz w:val="20"/>
        </w:rPr>
        <w:t>       Presentar un aviso ante las autoridades fiscales con anterioridad a la realización de dicha reestructuración, que comprenda el organigrama del grupo, con la tenencia accionaria y una descripción detallada de todos los pasos que se realizarán en la misma.</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lastRenderedPageBreak/>
        <w:t>2.</w:t>
      </w:r>
      <w:r w:rsidRPr="00CB470F">
        <w:rPr>
          <w:rFonts w:ascii="Verdana" w:hAnsi="Verdana"/>
          <w:sz w:val="20"/>
        </w:rPr>
        <w:t>       Que la realización de la reestructura esté soportada por motivos y razones de negocios y económicas válidas, sin que la principal motivación de la reestructura sea obtener un beneficio fiscal, en perjuicio del Fisco Federal. El contribuyente deberá explicar detalladamente los motivos y las razones del porqué se llevó a cabo dicha reestructuración en el aviso a que se refiere el numeral anterior.</w:t>
      </w:r>
    </w:p>
    <w:p w:rsidR="00CB470F" w:rsidRPr="00CB470F" w:rsidRDefault="00CB470F" w:rsidP="00CB470F">
      <w:pPr>
        <w:rPr>
          <w:rFonts w:ascii="Verdana" w:hAnsi="Verdana"/>
          <w:sz w:val="20"/>
        </w:rPr>
      </w:pPr>
      <w:r w:rsidRPr="00CB470F">
        <w:rPr>
          <w:rFonts w:ascii="Verdana" w:hAnsi="Verdana"/>
          <w:b/>
          <w:bCs/>
          <w:sz w:val="20"/>
        </w:rPr>
        <w:t>3.</w:t>
      </w:r>
      <w:r w:rsidRPr="00CB470F">
        <w:rPr>
          <w:rFonts w:ascii="Verdana" w:hAnsi="Verdana"/>
          <w:sz w:val="20"/>
        </w:rPr>
        <w:t>       Que presenten a las autoridades fiscales dentro de los 30 días siguientes a que finalice la reestructura, los documentos con los que acrediten la realización de los actos comprendidos dentro de la citada reestructura.</w:t>
      </w:r>
    </w:p>
    <w:p w:rsidR="00CB470F" w:rsidRPr="00CB470F" w:rsidRDefault="00CB470F" w:rsidP="00CB470F">
      <w:pPr>
        <w:rPr>
          <w:rFonts w:ascii="Verdana" w:hAnsi="Verdana"/>
          <w:sz w:val="20"/>
        </w:rPr>
      </w:pPr>
      <w:r w:rsidRPr="00CB470F">
        <w:rPr>
          <w:rFonts w:ascii="Verdana" w:hAnsi="Verdana"/>
          <w:b/>
          <w:bCs/>
          <w:sz w:val="20"/>
        </w:rPr>
        <w:t>4.</w:t>
      </w:r>
      <w:r w:rsidRPr="00CB470F">
        <w:rPr>
          <w:rFonts w:ascii="Verdana" w:hAnsi="Verdana"/>
          <w:sz w:val="20"/>
        </w:rPr>
        <w:t>       Que las acciones que forman parte de la reestructuración no se enajenen a una persona, entidad o figura jurídica que no pertenezca a dicho grupo, dentro de los dos años posteriores a la fecha en que terminó la reestructura.</w:t>
      </w:r>
    </w:p>
    <w:p w:rsidR="00CB470F" w:rsidRPr="00CB470F" w:rsidRDefault="00CB470F" w:rsidP="00CB470F">
      <w:pPr>
        <w:rPr>
          <w:rFonts w:ascii="Verdana" w:hAnsi="Verdana"/>
          <w:sz w:val="20"/>
        </w:rPr>
      </w:pPr>
      <w:r w:rsidRPr="00CB470F">
        <w:rPr>
          <w:rFonts w:ascii="Verdana" w:hAnsi="Verdana"/>
          <w:sz w:val="20"/>
        </w:rPr>
        <w:t>Para efectos de este Capítulo, se entenderá por grupo el conjunto de sociedades cuyas acciones con derecho a voto representativas del capital social sean propiedad directa o indirecta de una misma persona moral en por lo menos 51%.</w:t>
      </w:r>
      <w:r w:rsidRPr="00CB470F">
        <w:rPr>
          <w:rFonts w:ascii="Verdana" w:hAnsi="Verdana"/>
          <w:b/>
          <w:bCs/>
          <w:sz w:val="20"/>
        </w:rPr>
        <w:t> </w:t>
      </w:r>
      <w:r w:rsidRPr="00CB470F">
        <w:rPr>
          <w:rFonts w:ascii="Verdana" w:hAnsi="Verdana"/>
          <w:sz w:val="20"/>
        </w:rPr>
        <w:t>Lo dispuesto en el párrafo anterior no será aplicable, respecto a los ingresos generados por la enajenación de acciones que hayan sido emitidas por un residente en México o cuando su valor contable provenga directa o indirectamente en más de un 50% de bienes inmuebles ubicados en el país.</w:t>
      </w:r>
    </w:p>
    <w:p w:rsidR="00CB470F" w:rsidRPr="00CB470F" w:rsidRDefault="00CB470F" w:rsidP="00CB470F">
      <w:pPr>
        <w:rPr>
          <w:rFonts w:ascii="Verdana" w:hAnsi="Verdana"/>
          <w:sz w:val="20"/>
        </w:rPr>
      </w:pPr>
      <w:r w:rsidRPr="00CB470F">
        <w:rPr>
          <w:rFonts w:ascii="Verdana" w:hAnsi="Verdana"/>
          <w:sz w:val="20"/>
        </w:rPr>
        <w:t>Cuando una entidad extranjera o entidades extranjeras que consolidan fiscalmente en el mismo país o jurisdicción, estén sujetos a un régimen fiscal preferente por motivo de una diferencia en el momento de acumulación de ingresos, deducción de sus erogaciones o pago del impuesto, podrán solicitar una autorización a las autoridades fiscales para efectos de no aplicar las disposiciones de este Capítulo. Esta autorización solo se podrá otorgar si dicha diferencia temporal no sobrepasa un periodo de cuatro años contados a partir del ejercicio fiscal de que se trate y si se cumplen los requisitos adicionales que para tal efecto expida el Servicio de Administración Tributaria mediante reglas de carácter general.</w:t>
      </w:r>
    </w:p>
    <w:p w:rsidR="00CB470F" w:rsidRPr="00CB470F" w:rsidRDefault="00CB470F" w:rsidP="00CB470F">
      <w:pPr>
        <w:rPr>
          <w:rFonts w:ascii="Verdana" w:hAnsi="Verdana"/>
          <w:sz w:val="20"/>
        </w:rPr>
      </w:pPr>
      <w:r w:rsidRPr="00CB470F">
        <w:rPr>
          <w:rFonts w:ascii="Verdana" w:hAnsi="Verdana"/>
          <w:b/>
          <w:bCs/>
          <w:sz w:val="20"/>
        </w:rPr>
        <w:t>Artículo 177.</w:t>
      </w:r>
      <w:r w:rsidRPr="00CB470F">
        <w:rPr>
          <w:rFonts w:ascii="Verdana" w:hAnsi="Verdana"/>
          <w:sz w:val="20"/>
        </w:rPr>
        <w:t> Para los efectos de este Capítulo, los ingresos a que se refiere el artículo 176 de esta Ley serán gravables para el contribuyente en el ejercicio en que se generen en la proporción de su participación directa o indirecta en la entidad extranjera que los perciba, aun cuando ella no se los distribuya al contribuyente. Los contribuyentes deberán calcular el impuesto sobre la renta, aplicando al resultado fiscal de la entidad extranjera la tasa del impuesto que corresponda.</w:t>
      </w:r>
    </w:p>
    <w:p w:rsidR="00CB470F" w:rsidRPr="00CB470F" w:rsidRDefault="00CB470F" w:rsidP="00CB470F">
      <w:pPr>
        <w:rPr>
          <w:rFonts w:ascii="Verdana" w:hAnsi="Verdana"/>
          <w:sz w:val="20"/>
        </w:rPr>
      </w:pPr>
      <w:r w:rsidRPr="00CB470F">
        <w:rPr>
          <w:rFonts w:ascii="Verdana" w:hAnsi="Verdana"/>
          <w:sz w:val="20"/>
        </w:rPr>
        <w:t>El resultado fiscal de la entidad extranjera se determinará de conformidad con el Título II de esta Ley. El resultado</w:t>
      </w:r>
      <w:r w:rsidRPr="00CB470F">
        <w:rPr>
          <w:rFonts w:ascii="Verdana" w:hAnsi="Verdana"/>
          <w:b/>
          <w:bCs/>
          <w:sz w:val="20"/>
        </w:rPr>
        <w:t> </w:t>
      </w:r>
      <w:r w:rsidRPr="00CB470F">
        <w:rPr>
          <w:rFonts w:ascii="Verdana" w:hAnsi="Verdana"/>
          <w:sz w:val="20"/>
        </w:rPr>
        <w:t>fiscal del ejercicio se determinará en la moneda extranjera en la que deba llevar la contabilidad la entidad extranjera y deberá</w:t>
      </w:r>
      <w:r w:rsidRPr="00CB470F">
        <w:rPr>
          <w:rFonts w:ascii="Verdana" w:hAnsi="Verdana"/>
          <w:b/>
          <w:bCs/>
          <w:sz w:val="20"/>
        </w:rPr>
        <w:t> </w:t>
      </w:r>
      <w:r w:rsidRPr="00CB470F">
        <w:rPr>
          <w:rFonts w:ascii="Verdana" w:hAnsi="Verdana"/>
          <w:sz w:val="20"/>
        </w:rPr>
        <w:t>convertirse a moneda nacional al tipo de cambio del último</w:t>
      </w:r>
      <w:r w:rsidRPr="00CB470F">
        <w:rPr>
          <w:rFonts w:ascii="Verdana" w:hAnsi="Verdana"/>
          <w:b/>
          <w:bCs/>
          <w:sz w:val="20"/>
        </w:rPr>
        <w:t> </w:t>
      </w:r>
      <w:r w:rsidRPr="00CB470F">
        <w:rPr>
          <w:rFonts w:ascii="Verdana" w:hAnsi="Verdana"/>
          <w:sz w:val="20"/>
        </w:rPr>
        <w:t>día hábil del cierre del ejercicio. El Servicio de Administración Tributaria podrá emitir reglas de carácter general para la aplicación de este párrafo.</w:t>
      </w:r>
    </w:p>
    <w:p w:rsidR="00CB470F" w:rsidRPr="00CB470F" w:rsidRDefault="00CB470F" w:rsidP="00CB470F">
      <w:pPr>
        <w:rPr>
          <w:rFonts w:ascii="Verdana" w:hAnsi="Verdana"/>
          <w:sz w:val="20"/>
        </w:rPr>
      </w:pPr>
      <w:r w:rsidRPr="00CB470F">
        <w:rPr>
          <w:rFonts w:ascii="Verdana" w:hAnsi="Verdana"/>
          <w:sz w:val="20"/>
        </w:rPr>
        <w:lastRenderedPageBreak/>
        <w:t>En el caso en que resulte pérdida fiscal, únicamente podrá disminuirse de las utilidades fiscales de ejercicios posteriores que tenga la misma entidad extranjera que la generó, en los términos del artículo 57 de esta Ley.</w:t>
      </w:r>
    </w:p>
    <w:p w:rsidR="00CB470F" w:rsidRPr="00CB470F" w:rsidRDefault="00CB470F" w:rsidP="00CB470F">
      <w:pPr>
        <w:rPr>
          <w:rFonts w:ascii="Verdana" w:hAnsi="Verdana"/>
          <w:sz w:val="20"/>
        </w:rPr>
      </w:pPr>
      <w:r w:rsidRPr="00CB470F">
        <w:rPr>
          <w:rFonts w:ascii="Verdana" w:hAnsi="Verdana"/>
          <w:sz w:val="20"/>
        </w:rPr>
        <w:t>Después de determinar el resultado fiscal de la entidad extranjera, el contribuyente deberá calcular el mismo en proporción a su participación directa o indirecta que tenga sobre la misma. Para determinar dicha proporción se considerará lo siguiente:</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En caso de tener el control efectivo de conformidad con la fracción I o el apartado A del artículo 176 de esta Ley, se considerará su participación directa o indirecta promedio por día del contribuyente sobre la entidad extranjera en el ejercicio de que se trate.</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En caso de tener el control efectivo de conformidad con la fracción II o apartado B del artículo 176 de esta Ley, se considerará la participación directa o indirecta que tenga el contribuyente sobre los activos y utilidades de la entidad extranjera, en caso de cualquier tipo de reducción de capital o liquidación. En caso que este porcentaje haya variado durante el año de calendario, se considerará el más alto de ellos.</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En caso de tener control efectivo de conformidad con las fracciones I o II, o los apartados A o B del artículo 176 de esta Ley, o alguna combinación de ellos, el contribuyente deberá sumar las participaciones a las que hacen referencia las fracciones I y II de este artículo, aun cuando alguna de ellas no le genere control efectivo de conformidad con el referido artículo.</w:t>
      </w:r>
    </w:p>
    <w:p w:rsidR="00CB470F" w:rsidRPr="00CB470F" w:rsidRDefault="00CB470F" w:rsidP="00CB470F">
      <w:pPr>
        <w:rPr>
          <w:rFonts w:ascii="Verdana" w:hAnsi="Verdana"/>
          <w:sz w:val="20"/>
        </w:rPr>
      </w:pPr>
      <w:r w:rsidRPr="00CB470F">
        <w:rPr>
          <w:rFonts w:ascii="Verdana" w:hAnsi="Verdana"/>
          <w:b/>
          <w:bCs/>
          <w:sz w:val="20"/>
        </w:rPr>
        <w:t>IV. </w:t>
      </w:r>
      <w:r w:rsidRPr="00CB470F">
        <w:rPr>
          <w:rFonts w:ascii="Verdana" w:hAnsi="Verdana"/>
          <w:sz w:val="20"/>
        </w:rPr>
        <w:t>     En caso de tener el control efectivo de conformidad con la fracción III o apartado C del artículo 176 de esta Ley, se considerará la participación directa o indirecta que le corresponda al contribuyente de conformidad con las fracciones I y II de este artículo.</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En caso de tener el control efectivo de conformidad con la fracción IV del artículo 176 de esta Ley, se considerará la participación controladora directa o indirecta de conformidad con las normas contables que le sean aplicables.</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En caso de tener el control efectivo de conformidad con la fracción V del artículo 176 de esta Ley, se considerará la participación directa o indirecta promedio por día del contribuyente sobre la entidad extranjera en el ejercicio de que se trate, y el porcentaje que tenga el contribuyente sobre los activos y utilidades de la entidad extranjera en caso de cualquier tipo de reducción de capital o liquidación por motivo de un acuerdo o título valor distinto a las acciones.</w:t>
      </w:r>
    </w:p>
    <w:p w:rsidR="00CB470F" w:rsidRPr="00CB470F" w:rsidRDefault="00CB470F" w:rsidP="00CB470F">
      <w:pPr>
        <w:rPr>
          <w:rFonts w:ascii="Verdana" w:hAnsi="Verdana"/>
          <w:sz w:val="20"/>
        </w:rPr>
      </w:pPr>
      <w:r w:rsidRPr="00CB470F">
        <w:rPr>
          <w:rFonts w:ascii="Verdana" w:hAnsi="Verdana"/>
          <w:sz w:val="20"/>
        </w:rPr>
        <w:t>Si el contribuyente se encuentra en más de uno de los supuestos establecidos en el párrafo anterior, deberá considerar como proporción de su participación directa o indirecta, la más alta de ellas.</w:t>
      </w:r>
    </w:p>
    <w:p w:rsidR="00CB470F" w:rsidRPr="00CB470F" w:rsidRDefault="00CB470F" w:rsidP="00CB470F">
      <w:pPr>
        <w:rPr>
          <w:rFonts w:ascii="Verdana" w:hAnsi="Verdana"/>
          <w:sz w:val="20"/>
        </w:rPr>
      </w:pPr>
      <w:r w:rsidRPr="00CB470F">
        <w:rPr>
          <w:rFonts w:ascii="Verdana" w:hAnsi="Verdana"/>
          <w:sz w:val="20"/>
        </w:rPr>
        <w:lastRenderedPageBreak/>
        <w:t>Los contribuyentes que opten por efectuar la determinación de forma consolidada a que se refiere el párrafo quinto del artículo 176 de esta Ley, podrán calcular el impuesto de forma consolidada por los ingresos considerados para dicha determinación.</w:t>
      </w:r>
    </w:p>
    <w:p w:rsidR="00CB470F" w:rsidRPr="00CB470F" w:rsidRDefault="00CB470F" w:rsidP="00CB470F">
      <w:pPr>
        <w:rPr>
          <w:rFonts w:ascii="Verdana" w:hAnsi="Verdana"/>
          <w:sz w:val="20"/>
        </w:rPr>
      </w:pPr>
      <w:r w:rsidRPr="00CB470F">
        <w:rPr>
          <w:rFonts w:ascii="Verdana" w:hAnsi="Verdana"/>
          <w:sz w:val="20"/>
        </w:rPr>
        <w:t>Los contribuyentes deben tener a disposición de las autoridades fiscales la contabilidad de las entidades extranjeras a que se refiere el artículo 176 de esta Ley y presentar dentro del plazo correspondiente la declaración informativa a que se refiere el artículo 178 de la misma. En caso de incumplimiento, se acumulará la totalidad de los ingresos de la entidad extranjera, sin deducción alguna, en la proporción que les corresponda por su participación directa o indirecta en ella.</w:t>
      </w:r>
    </w:p>
    <w:p w:rsidR="00CB470F" w:rsidRPr="00CB470F" w:rsidRDefault="00CB470F" w:rsidP="00CB470F">
      <w:pPr>
        <w:rPr>
          <w:rFonts w:ascii="Verdana" w:hAnsi="Verdana"/>
          <w:sz w:val="20"/>
        </w:rPr>
      </w:pPr>
      <w:r w:rsidRPr="00CB470F">
        <w:rPr>
          <w:rFonts w:ascii="Verdana" w:hAnsi="Verdana"/>
          <w:sz w:val="20"/>
        </w:rPr>
        <w:t>En el caso de contribuyentes sujetos al Título II de esta Ley, el impuesto se determinará aplicando la tasa prevista en el artículo 9 de esta Ley al resultado fiscal a que se refiere este artículo.</w:t>
      </w:r>
      <w:r w:rsidRPr="00CB470F">
        <w:rPr>
          <w:rFonts w:ascii="Verdana" w:hAnsi="Verdana"/>
          <w:b/>
          <w:bCs/>
          <w:sz w:val="20"/>
        </w:rPr>
        <w:t> </w:t>
      </w:r>
      <w:r w:rsidRPr="00CB470F">
        <w:rPr>
          <w:rFonts w:ascii="Verdana" w:hAnsi="Verdana"/>
          <w:sz w:val="20"/>
        </w:rPr>
        <w:t>En el caso de contribuyentes sujetos al Título IV de esta Ley, el impuesto se determinará aplicando la tasa máxima para aplicarse sobre el excedente del límite inferior que establece la tarifa contenida en el artículo 152 de esta Ley.</w:t>
      </w:r>
    </w:p>
    <w:p w:rsidR="00CB470F" w:rsidRPr="00CB470F" w:rsidRDefault="00CB470F" w:rsidP="00CB470F">
      <w:pPr>
        <w:rPr>
          <w:rFonts w:ascii="Verdana" w:hAnsi="Verdana"/>
          <w:sz w:val="20"/>
        </w:rPr>
      </w:pPr>
      <w:r w:rsidRPr="00CB470F">
        <w:rPr>
          <w:rFonts w:ascii="Verdana" w:hAnsi="Verdana"/>
          <w:sz w:val="20"/>
        </w:rPr>
        <w:t>Los ingresos gravables a que se refiere este artículo se determinarán cada año de calendario y no se acumularán a los demás ingresos del contribuyente, inclusive para los efectos de los artículos 14, 106, 144 y 145 de esta Ley, según corresponda. El impuesto que resulte de dichos ingresos se enterará conjuntamente con la declaración anual.</w:t>
      </w:r>
    </w:p>
    <w:p w:rsidR="00CB470F" w:rsidRPr="00CB470F" w:rsidRDefault="00CB470F" w:rsidP="00CB470F">
      <w:pPr>
        <w:rPr>
          <w:rFonts w:ascii="Verdana" w:hAnsi="Verdana"/>
          <w:sz w:val="20"/>
        </w:rPr>
      </w:pPr>
      <w:r w:rsidRPr="00CB470F">
        <w:rPr>
          <w:rFonts w:ascii="Verdana" w:hAnsi="Verdana"/>
          <w:sz w:val="20"/>
        </w:rPr>
        <w:t>Los impuestos sobre la renta pagados por las entidades extranjeras por ingresos sujetos a regímenes fiscales preferentes, en México y el extranjero, podrán acreditarse contra el impuesto sobre la renta causado de conformidad con este Capítulo en los mismos términos que el artículo 5 de esta Ley. El monto del impuesto acreditable se determinará en la misma proporción, que se determine el resultado fiscal en términos del párrafo cuarto de este artículo. Lo dispuesto en este párrafo no incluye el impuesto pagado por otras entidades o figuras jurídicas extranjeras, salvo que los ingresos de estas últimas hayan sido incluidos como ingresos de la entidad extranjera de que se trate para efectos de la determinación señalada en el artículo 176 de esta Ley y para el cálculo del resultado fiscal de conformidad con este artículo.</w:t>
      </w:r>
    </w:p>
    <w:p w:rsidR="00CB470F" w:rsidRPr="00CB470F" w:rsidRDefault="00CB470F" w:rsidP="00CB470F">
      <w:pPr>
        <w:rPr>
          <w:rFonts w:ascii="Verdana" w:hAnsi="Verdana"/>
          <w:sz w:val="20"/>
        </w:rPr>
      </w:pPr>
      <w:r w:rsidRPr="00CB470F">
        <w:rPr>
          <w:rFonts w:ascii="Verdana" w:hAnsi="Verdana"/>
          <w:sz w:val="20"/>
        </w:rPr>
        <w:t>Adicionalmente, será acreditable el impuesto sobre la renta pagado por una entidad extranjera en virtud de la aplicación de disposiciones fiscales extranjeras similares a las contenidas en este Capítulo, siempre que el contribuyente tenga una participación accionaria directa o indirecta sobre la entidad que realiza el pago. Lo dispuesto en este párrafo se sujetará a lo señalado en el artículo 5 de esta Ley.</w:t>
      </w:r>
    </w:p>
    <w:p w:rsidR="00CB470F" w:rsidRPr="00CB470F" w:rsidRDefault="00CB470F" w:rsidP="00CB470F">
      <w:pPr>
        <w:rPr>
          <w:rFonts w:ascii="Verdana" w:hAnsi="Verdana"/>
          <w:sz w:val="20"/>
        </w:rPr>
      </w:pPr>
      <w:r w:rsidRPr="00CB470F">
        <w:rPr>
          <w:rFonts w:ascii="Verdana" w:hAnsi="Verdana"/>
          <w:sz w:val="20"/>
        </w:rPr>
        <w:t>El contribuyente deberá llevar una cuenta por cada una de las entidades extranjeras en las que participe que generen los ingresos a que se refiere el artículo 176 de esta Ley. Esta cuenta se adicionará con la utilidad fiscal o el resultado fiscal de cada ejercicio de la entidad extranjera que le corresponda al contribuyente por su participación en ella que ya haya pagado el impuesto a que se refiere este artículo, restando del monto</w:t>
      </w:r>
      <w:r w:rsidRPr="00CB470F">
        <w:rPr>
          <w:rFonts w:ascii="Verdana" w:hAnsi="Verdana"/>
          <w:b/>
          <w:bCs/>
          <w:sz w:val="20"/>
        </w:rPr>
        <w:t> </w:t>
      </w:r>
      <w:r w:rsidRPr="00CB470F">
        <w:rPr>
          <w:rFonts w:ascii="Verdana" w:hAnsi="Verdana"/>
          <w:sz w:val="20"/>
        </w:rPr>
        <w:t xml:space="preserve">de la misma, el impuesto acreditable de conformidad con el párrafo anterior, y se </w:t>
      </w:r>
      <w:r w:rsidRPr="00CB470F">
        <w:rPr>
          <w:rFonts w:ascii="Verdana" w:hAnsi="Verdana"/>
          <w:sz w:val="20"/>
        </w:rPr>
        <w:lastRenderedPageBreak/>
        <w:t>disminuirá con los ingresos, dividendos o utilidades que la entidad extranjera le distribuya al contribuyente. En caso que la entidad extranjera sujeta a un régimen fiscal preferente de que se trate pague el impuesto señalado en este Capítulo en nombre y por cuenta del contribuyente, el impuesto efectivamente pagado por ésta también deberá ser disminuido de esta cuenta, sin que esto le genere un ingreso acumulable al contribuyente.</w:t>
      </w:r>
      <w:r w:rsidRPr="00CB470F">
        <w:rPr>
          <w:rFonts w:ascii="Verdana" w:hAnsi="Verdana"/>
          <w:b/>
          <w:bCs/>
          <w:sz w:val="20"/>
        </w:rPr>
        <w:t> </w:t>
      </w:r>
      <w:r w:rsidRPr="00CB470F">
        <w:rPr>
          <w:rFonts w:ascii="Verdana" w:hAnsi="Verdana"/>
          <w:sz w:val="20"/>
        </w:rPr>
        <w:t>Cuando el saldo de esta cuenta sea inferior al monto de los dividendos o utilidades distribuidos al contribuyente, deberá pagarse el impuesto por la diferencia aplicando la tasa prevista en el artículo 9 de esta Ley, o la tasa máxima para aplicarse sobre el excedente del límite inferior que establece la tarifa contenida en el artículo 152 de la misma, según corresponda.</w:t>
      </w:r>
    </w:p>
    <w:p w:rsidR="00CB470F" w:rsidRPr="00CB470F" w:rsidRDefault="00CB470F" w:rsidP="00CB470F">
      <w:pPr>
        <w:rPr>
          <w:rFonts w:ascii="Verdana" w:hAnsi="Verdana"/>
          <w:sz w:val="20"/>
        </w:rPr>
      </w:pPr>
      <w:r w:rsidRPr="00CB470F">
        <w:rPr>
          <w:rFonts w:ascii="Verdana" w:hAnsi="Verdana"/>
          <w:sz w:val="20"/>
        </w:rPr>
        <w:t>El saldo de la cuenta prevista en el párrafo anterior, que se tenga al último día de cada ejercicio, sin incluir la utilidad fiscal o el resultado fiscal del propio ejercicio, se actualizará por el periodo comprendido, desde el mes en que se efectuó la última actualización y hasta el último mes del ejercicio de que se trate. Cuando el contribuyente perciba utilidades o dividendos con posterioridad a la actualización prevista en este párrafo, el saldo de la cuenta que se tenga a la fecha de la distribución se actualizará por el periodo comprendido, desde el mes en que se efectuó la última actualización y hasta el mes en que se distribuyan los ingresos, dividendos o utilidades.</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Los dividendos o utilidades que perciban las personas morales residentes en México, disminuidos con el impuesto sobre la renta que se haya pagado por ellos en los términos de este artículo, se adicionará a la cuenta de utilidad fiscal neta a que se refiere el artículo 77 de esta Ley de dichas personas.</w:t>
      </w:r>
    </w:p>
    <w:p w:rsidR="00CB470F" w:rsidRPr="00CB470F" w:rsidRDefault="00CB470F" w:rsidP="00CB470F">
      <w:pPr>
        <w:rPr>
          <w:rFonts w:ascii="Verdana" w:hAnsi="Verdana"/>
          <w:sz w:val="20"/>
        </w:rPr>
      </w:pPr>
      <w:r w:rsidRPr="00CB470F">
        <w:rPr>
          <w:rFonts w:ascii="Verdana" w:hAnsi="Verdana"/>
          <w:sz w:val="20"/>
        </w:rPr>
        <w:t>No obstante los párrafos anteriores, cuando los contribuyentes personas físicas obtengan dividendos o utilidades de las entidades extranjeras previstas en este Capítulo, deberán de pagar el impuesto adicional al que se refiere el artículo 142, fracción V, segundo párrafo de esta Ley.</w:t>
      </w:r>
    </w:p>
    <w:p w:rsidR="00CB470F" w:rsidRPr="00CB470F" w:rsidRDefault="00CB470F" w:rsidP="00CB470F">
      <w:pPr>
        <w:rPr>
          <w:rFonts w:ascii="Verdana" w:hAnsi="Verdana"/>
          <w:sz w:val="20"/>
        </w:rPr>
      </w:pPr>
      <w:r w:rsidRPr="00CB470F">
        <w:rPr>
          <w:rFonts w:ascii="Verdana" w:hAnsi="Verdana"/>
          <w:sz w:val="20"/>
        </w:rPr>
        <w:t>Cuando el contribuyente enajene acciones de la entidad extranjera o su participación en ella, se determinará la ganancia en los términos del tercer párrafo del artículo 22 de esta Ley. El contribuyente podrá optar por aplicar lo previsto en el artículo 22 de la misma Ley, como si se tratara de acciones emitidas por personas morales residentes en México.</w:t>
      </w:r>
    </w:p>
    <w:p w:rsidR="00CB470F" w:rsidRPr="00CB470F" w:rsidRDefault="00CB470F" w:rsidP="00CB470F">
      <w:pPr>
        <w:rPr>
          <w:rFonts w:ascii="Verdana" w:hAnsi="Verdana"/>
          <w:sz w:val="20"/>
        </w:rPr>
      </w:pPr>
      <w:r w:rsidRPr="00CB470F">
        <w:rPr>
          <w:rFonts w:ascii="Verdana" w:hAnsi="Verdana"/>
          <w:sz w:val="20"/>
        </w:rPr>
        <w:t>Tratándose de ingresos derivados de la liquidación o reducción del capital de las entidades extranjeras a las que refiere este artículo, el contribuyente deberá determinar el ingreso gravable en los términos del artículo 78 de esta Ley. Para estos efectos el contribuyente llevará una cuenta de capital de aportación que se adicionará con las aportaciones de capital y las primas netas por suscripción de acciones efectuadas por cada accionista y se disminuirá con las reducciones de capital que se efectúen a cada accionista.</w:t>
      </w:r>
    </w:p>
    <w:p w:rsidR="00CB470F" w:rsidRPr="00CB470F" w:rsidRDefault="00CB470F" w:rsidP="00CB470F">
      <w:pPr>
        <w:rPr>
          <w:rFonts w:ascii="Verdana" w:hAnsi="Verdana"/>
          <w:sz w:val="20"/>
        </w:rPr>
      </w:pPr>
      <w:r w:rsidRPr="00CB470F">
        <w:rPr>
          <w:rFonts w:ascii="Verdana" w:hAnsi="Verdana"/>
          <w:sz w:val="20"/>
        </w:rPr>
        <w:lastRenderedPageBreak/>
        <w:t>El saldo de la cuenta prevista en el párrafo anterior que se tenga al día de cierre de cada ejercicio se actualizará por el periodo comprendido, desde el mes en que se efectuó la última actualización, hasta el mes de cierre del ejercicio de que se trate. Cuando se efectúen aportaciones o reducciones de capital con posterioridad a la actualización prevista en este párrafo, el saldo de la cuenta que se tenga a esa fecha se actualizará por el periodo comprendido, desde el mes en que se efectuó la última actualización y hasta el mes en que se pague la aportación o el reembolso, según corresponda.</w:t>
      </w:r>
    </w:p>
    <w:p w:rsidR="00CB470F" w:rsidRPr="00CB470F" w:rsidRDefault="00CB470F" w:rsidP="00CB470F">
      <w:pPr>
        <w:rPr>
          <w:rFonts w:ascii="Verdana" w:hAnsi="Verdana"/>
          <w:sz w:val="20"/>
        </w:rPr>
      </w:pPr>
      <w:r w:rsidRPr="00CB470F">
        <w:rPr>
          <w:rFonts w:ascii="Verdana" w:hAnsi="Verdana"/>
          <w:sz w:val="20"/>
        </w:rPr>
        <w:t>El capital de aportación por acción actualizado se determinará dividiendo el saldo de la cuenta de capital de aportación de cada accionista, a que se refiere este artículo, entre el total de las acciones que tiene cada uno de ellos de la persona moral, a la fecha del reembolso, incluyendo las correspondientes a la reinversión o capitalización de utilidades o de cualquier otro concepto que integre el capital contable de la misma.</w:t>
      </w:r>
    </w:p>
    <w:p w:rsidR="00CB470F" w:rsidRPr="00CB470F" w:rsidRDefault="00CB470F" w:rsidP="00CB470F">
      <w:pPr>
        <w:rPr>
          <w:rFonts w:ascii="Verdana" w:hAnsi="Verdana"/>
          <w:sz w:val="20"/>
        </w:rPr>
      </w:pPr>
      <w:r w:rsidRPr="00CB470F">
        <w:rPr>
          <w:rFonts w:ascii="Verdana" w:hAnsi="Verdana"/>
          <w:sz w:val="20"/>
        </w:rPr>
        <w:t>La contabilidad de los contribuyentes relativa a los ingresos a que se refiere este Capítulo deberá reunir los requisitos que establece el inciso a) de la fracción XVII del artículo 76 de esta Ley y deberá estar a disposición de las autoridades fiscales. Para los efectos de este Capítulo, se considera que el contribuyente tiene a disposición de las autoridades fiscales la contabilidad de las entidades extranjeras a que se refiere el primer párrafo del artículo 176 de esta Ley, cuando deba proporcionársela a dicha autoridad al ejercer sus facultades de comprobación.</w:t>
      </w:r>
    </w:p>
    <w:p w:rsidR="00CB470F" w:rsidRPr="00CB470F" w:rsidRDefault="00CB470F" w:rsidP="00CB470F">
      <w:pPr>
        <w:rPr>
          <w:rFonts w:ascii="Verdana" w:hAnsi="Verdana"/>
          <w:sz w:val="20"/>
        </w:rPr>
      </w:pPr>
      <w:r w:rsidRPr="00CB470F">
        <w:rPr>
          <w:rFonts w:ascii="Verdana" w:hAnsi="Verdana"/>
          <w:sz w:val="20"/>
        </w:rPr>
        <w:t>Para los efectos de esta Ley las autoridades fiscales podrán, como resultado del ejercicio de las facultades de comprobación que les conceden las leyes, determinar la simulación de los actos jurídicos exclusivamente para efectos fiscales, la cual tendrá que quedar debidamente fundada y motivada dentro del procedimiento de comprobación y declarada su existencia en el propio acto de determinación de su situación fiscal a que se refiere el artículo 50 del Código Fiscal de la Federación, siempre que se trate de operaciones entre partes relacionadas en términos del artículo 179 de esta Ley.</w:t>
      </w:r>
    </w:p>
    <w:p w:rsidR="00CB470F" w:rsidRPr="00CB470F" w:rsidRDefault="00CB470F" w:rsidP="00CB470F">
      <w:pPr>
        <w:rPr>
          <w:rFonts w:ascii="Verdana" w:hAnsi="Verdana"/>
          <w:sz w:val="20"/>
        </w:rPr>
      </w:pPr>
      <w:r w:rsidRPr="00CB470F">
        <w:rPr>
          <w:rFonts w:ascii="Verdana" w:hAnsi="Verdana"/>
          <w:sz w:val="20"/>
        </w:rPr>
        <w:t>En los actos jurídicos en los que exista simulación, el hecho imponible gravado será el efectivamente realizado por las partes.</w:t>
      </w:r>
    </w:p>
    <w:p w:rsidR="00CB470F" w:rsidRPr="00CB470F" w:rsidRDefault="00CB470F" w:rsidP="00CB470F">
      <w:pPr>
        <w:rPr>
          <w:rFonts w:ascii="Verdana" w:hAnsi="Verdana"/>
          <w:sz w:val="20"/>
        </w:rPr>
      </w:pPr>
      <w:r w:rsidRPr="00CB470F">
        <w:rPr>
          <w:rFonts w:ascii="Verdana" w:hAnsi="Verdana"/>
          <w:sz w:val="20"/>
        </w:rPr>
        <w:t>La resolución en que la autoridad determine la simulación deberá incluir lo siguiente:</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Identificar el acto simulado y el realmente celebrado.</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Cuantificar el beneficio fiscal obtenido por virtud de la simulación.</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Señalar los elementos por los cuales se determinó la existencia de dicha simulación, incluyendo la intención de las partes de simular el acto.</w:t>
      </w:r>
    </w:p>
    <w:p w:rsidR="00CB470F" w:rsidRPr="00CB470F" w:rsidRDefault="00CB470F" w:rsidP="00CB470F">
      <w:pPr>
        <w:rPr>
          <w:rFonts w:ascii="Verdana" w:hAnsi="Verdana"/>
          <w:sz w:val="20"/>
        </w:rPr>
      </w:pPr>
      <w:r w:rsidRPr="00CB470F">
        <w:rPr>
          <w:rFonts w:ascii="Verdana" w:hAnsi="Verdana"/>
          <w:sz w:val="20"/>
        </w:rPr>
        <w:t>Para efectos de probar la simulación, la autoridad podrá basarse, entre otros, en elementos presuncionales.</w:t>
      </w:r>
    </w:p>
    <w:p w:rsidR="00CB470F" w:rsidRPr="00CB470F" w:rsidRDefault="00CB470F" w:rsidP="00CB470F">
      <w:pPr>
        <w:rPr>
          <w:rFonts w:ascii="Verdana" w:hAnsi="Verdana"/>
          <w:sz w:val="20"/>
        </w:rPr>
      </w:pPr>
      <w:r w:rsidRPr="00CB470F">
        <w:rPr>
          <w:rFonts w:ascii="Verdana" w:hAnsi="Verdana"/>
          <w:sz w:val="20"/>
        </w:rPr>
        <w:lastRenderedPageBreak/>
        <w:t>En los casos que se determine simulación en los términos de los cuatro párrafos anteriores, el contribuyente no estará obligado a presentar la declaración a que se refiere el artículo 178 de esta Ley.</w:t>
      </w:r>
    </w:p>
    <w:p w:rsidR="00CB470F" w:rsidRPr="00CB470F" w:rsidRDefault="00CB470F" w:rsidP="00CB470F">
      <w:pPr>
        <w:rPr>
          <w:rFonts w:ascii="Verdana" w:hAnsi="Verdana"/>
          <w:sz w:val="20"/>
        </w:rPr>
      </w:pPr>
      <w:r w:rsidRPr="00CB470F">
        <w:rPr>
          <w:rFonts w:ascii="Verdana" w:hAnsi="Verdana"/>
          <w:b/>
          <w:bCs/>
          <w:sz w:val="20"/>
        </w:rPr>
        <w:t>Artículo 178. ...</w:t>
      </w:r>
    </w:p>
    <w:p w:rsidR="00CB470F" w:rsidRPr="00CB470F" w:rsidRDefault="00CB470F" w:rsidP="00CB470F">
      <w:pPr>
        <w:rPr>
          <w:rFonts w:ascii="Verdana" w:hAnsi="Verdana"/>
          <w:sz w:val="20"/>
        </w:rPr>
      </w:pPr>
      <w:r w:rsidRPr="00CB470F">
        <w:rPr>
          <w:rFonts w:ascii="Verdana" w:hAnsi="Verdana"/>
          <w:sz w:val="20"/>
        </w:rPr>
        <w:t>No obstante lo dispuesto por este Capítulo, los contribuyentes que generen ingresos de cualquier clase provenientes de alguno de los territorios señalados en las disposiciones transitorias de esta Ley, así como los que realicen operaciones a través de entidades extranjeras transparentes fiscales y figuras jurídicas extranjeras a que se refiere el artículo 4-B de la misma, deberán presentar la declaración informativa prevista en el párrafo anterior, sin que por este solo hecho se considere que se están generando ingresos sujetos a regímenes fiscales preferentes, salvo que se ubiquen en alguno de los supuestos previstos en el artículo 176 de esta Ley, o cuando no cumplan con la presentación de la declaración informativa a que se refiere este párrafo.</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183.</w:t>
      </w:r>
      <w:r w:rsidRPr="00CB470F">
        <w:rPr>
          <w:rFonts w:ascii="Verdana" w:hAnsi="Verdana"/>
          <w:sz w:val="20"/>
        </w:rPr>
        <w:t> No se considerará que tienen establecimiento permanente en el país los residentes en el extranjero que proporcionen directa o indirectamente materias primas, maquinaria o equipo, para realizar las actividades de maquila a través de empresas con programa de maquila bajo la modalidad de albergue autorizado por la Secretaría de Economía, siempre que dichos residentes en el extranjero no sean partes relacionadas de la empresa con programa de maquila bajo la modalidad de albergue de que se trate, ni de una parte relacionada de dicha empresa.</w:t>
      </w:r>
    </w:p>
    <w:p w:rsidR="00CB470F" w:rsidRPr="00CB470F" w:rsidRDefault="00CB470F" w:rsidP="00CB470F">
      <w:pPr>
        <w:rPr>
          <w:rFonts w:ascii="Verdana" w:hAnsi="Verdana"/>
          <w:sz w:val="20"/>
        </w:rPr>
      </w:pPr>
      <w:r w:rsidRPr="00CB470F">
        <w:rPr>
          <w:rFonts w:ascii="Verdana" w:hAnsi="Verdana"/>
          <w:sz w:val="20"/>
        </w:rPr>
        <w:t>Lo dispuesto en el presente artículo será aplicable siempre que los residentes en el extranjero, por conducto de las empresas con programa de maquila bajo la modalidad de albergue con las que realicen operaciones de maquila cumplan, además de las obligaciones establecidas en las disposiciones fiscales y aduaneras, con lo siguiente:</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Solicitar su inscripción en el Registro Federal de Contribuyentes sin obligaciones fiscales.</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Presentar declaraciones de pagos provisionales y declaración anual, de conformidad con lo dispuesto en esta Ley y con las reglas que para tales efectos emita el Servicio de Administración Tributaria.</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Presentar anualmente ante las autoridades fiscales, a más tardar en el mes de junio del año siguiente</w:t>
      </w:r>
      <w:r w:rsidRPr="00CB470F">
        <w:rPr>
          <w:rFonts w:ascii="Verdana" w:hAnsi="Verdana"/>
          <w:b/>
          <w:bCs/>
          <w:sz w:val="20"/>
        </w:rPr>
        <w:t> </w:t>
      </w:r>
      <w:r w:rsidRPr="00CB470F">
        <w:rPr>
          <w:rFonts w:ascii="Verdana" w:hAnsi="Verdana"/>
          <w:sz w:val="20"/>
        </w:rPr>
        <w:t>del que se trate, declaración informativa de sus operaciones de maquila en términos de lo que establezca el Servicio de Administración Tributaria mediante reglas de carácter general.</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Presentar un aviso ante el Servicio de Administración Tributaria cuando dejen de realizar las actividades en los términos a que se refiere el presente artículo, dentro del mes siguiente en el que ocurra dicho supuesto.</w:t>
      </w:r>
    </w:p>
    <w:p w:rsidR="00CB470F" w:rsidRPr="00CB470F" w:rsidRDefault="00CB470F" w:rsidP="00CB470F">
      <w:pPr>
        <w:rPr>
          <w:rFonts w:ascii="Verdana" w:hAnsi="Verdana"/>
          <w:sz w:val="20"/>
        </w:rPr>
      </w:pPr>
      <w:r w:rsidRPr="00CB470F">
        <w:rPr>
          <w:rFonts w:ascii="Verdana" w:hAnsi="Verdana"/>
          <w:sz w:val="20"/>
        </w:rPr>
        <w:lastRenderedPageBreak/>
        <w:t>Para los efectos de este artículo, la jurisdicción fiscal del residente en el extranjero deberá tener en vigor un acuerdo amplio de intercambio de información con México, sin perjuicio del cumplimiento a los requisitos contenidos en el instrumento internacional aplicable.</w:t>
      </w:r>
    </w:p>
    <w:p w:rsidR="00CB470F" w:rsidRPr="00CB470F" w:rsidRDefault="00CB470F" w:rsidP="00CB470F">
      <w:pPr>
        <w:rPr>
          <w:rFonts w:ascii="Verdana" w:hAnsi="Verdana"/>
          <w:sz w:val="20"/>
        </w:rPr>
      </w:pPr>
      <w:r w:rsidRPr="00CB470F">
        <w:rPr>
          <w:rFonts w:ascii="Verdana" w:hAnsi="Verdana"/>
          <w:sz w:val="20"/>
        </w:rPr>
        <w:t>En ningún caso, los residentes en el extranjero podrán enajenar productos manufacturados en México que no se encuentren amparados con un pedimento de exportación ni podrán enajenar a la empresa con programa de maquila bajo la modalidad de albergue, la maquinaria, equipo, herramientas, moldes y troqueles y otros activos fijos similares e inventarios, de su propiedad, de sus partes relacionadas residentes en el extranjero o clientes extranjeros, ni antes ni durante el periodo en el que se aplique lo dispuesto en este artículo.</w:t>
      </w:r>
    </w:p>
    <w:p w:rsidR="00CB470F" w:rsidRPr="00CB470F" w:rsidRDefault="00CB470F" w:rsidP="00CB470F">
      <w:pPr>
        <w:rPr>
          <w:rFonts w:ascii="Verdana" w:hAnsi="Verdana"/>
          <w:sz w:val="20"/>
        </w:rPr>
      </w:pPr>
      <w:r w:rsidRPr="00CB470F">
        <w:rPr>
          <w:rFonts w:ascii="Verdana" w:hAnsi="Verdana"/>
          <w:b/>
          <w:bCs/>
          <w:sz w:val="20"/>
        </w:rPr>
        <w:t>Artículo 183-Bis. </w:t>
      </w:r>
      <w:r w:rsidRPr="00CB470F">
        <w:rPr>
          <w:rFonts w:ascii="Verdana" w:hAnsi="Verdana"/>
          <w:sz w:val="20"/>
        </w:rPr>
        <w:t>Para efectos del artículo 183 de esta Ley, las empresas con programa de maquila bajo la modalidad de albergue deberán cumplir con lo siguiente:</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Identificar las operaciones y determinar la utilidad fiscal que corresponda a cada uno de los residentes en el extranjero a que se refiere el artículo 183 de esta Ley, conforme al monto mayor que resulte de comparar lo dispuesto en el artículo 182, fracciones I y II de esta Ley o bien podrán solicitar una resolución particular en términos del artículo 34-A del Código Fiscal de la Federación, para cada uno de los residentes en el extranjero mencionados, para efectos de determinar y enterar el impuesto que resulte de aplicar a dicha utilidad la tasa prevista en el artículo 9 de esta Ley.</w:t>
      </w:r>
    </w:p>
    <w:p w:rsidR="00CB470F" w:rsidRPr="00CB470F" w:rsidRDefault="00CB470F" w:rsidP="00CB470F">
      <w:pPr>
        <w:rPr>
          <w:rFonts w:ascii="Verdana" w:hAnsi="Verdana"/>
          <w:sz w:val="20"/>
        </w:rPr>
      </w:pPr>
      <w:r w:rsidRPr="00CB470F">
        <w:rPr>
          <w:rFonts w:ascii="Verdana" w:hAnsi="Verdana"/>
          <w:sz w:val="20"/>
        </w:rPr>
        <w:t>         Para efectos del párrafo anterior, en la determinación de la utilidad fiscal se considerarán exclusivamente los activos fijos e inventarios de materia prima que son utilizados en la operación de maquila, así como los costos y gastos atribuibles a la operación de maquila en México correspondientes a cada residente en el extranjero.</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Mantener a disposición de las autoridades fiscales la documentación que acredite que la información de las empresas de residentes en el extranjero se encuentra debidamente identificada de forma individual por cada una de dichas empresas en la contabilidad de la empresa con programa de maquila bajo la modalidad de albergue, durante el plazo establecido en el artículo 30 del Código Fiscal de la Federación.</w:t>
      </w:r>
    </w:p>
    <w:p w:rsidR="00CB470F" w:rsidRPr="00CB470F" w:rsidRDefault="00CB470F" w:rsidP="00CB470F">
      <w:pPr>
        <w:rPr>
          <w:rFonts w:ascii="Verdana" w:hAnsi="Verdana"/>
          <w:sz w:val="20"/>
        </w:rPr>
      </w:pPr>
      <w:r w:rsidRPr="00CB470F">
        <w:rPr>
          <w:rFonts w:ascii="Verdana" w:hAnsi="Verdana"/>
          <w:sz w:val="20"/>
        </w:rPr>
        <w:t>Las empresas con programa de maquila bajo la modalidad de albergue serán responsables solidarios en el cálculo y entero del impuesto determinado por cuenta del residente en el extranjero, en términos del artículo 26, fracción VIII del Código Fiscal de la Federación.</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A las empresas con programa de maquila bajo la modalidad de albergue que apliquen lo dispuesto en el artículo 183 de esta Ley, en ningún caso les aplicará lo previsto en los artículos 181 y 182 de esta Ley, salvo lo dispuesto en la fracción I de este artículo.</w:t>
      </w:r>
    </w:p>
    <w:p w:rsidR="00CB470F" w:rsidRPr="00CB470F" w:rsidRDefault="00CB470F" w:rsidP="00CB470F">
      <w:pPr>
        <w:rPr>
          <w:rFonts w:ascii="Verdana" w:hAnsi="Verdana"/>
          <w:sz w:val="20"/>
        </w:rPr>
      </w:pPr>
      <w:r w:rsidRPr="00CB470F">
        <w:rPr>
          <w:rFonts w:ascii="Verdana" w:hAnsi="Verdana"/>
          <w:sz w:val="20"/>
        </w:rPr>
        <w:lastRenderedPageBreak/>
        <w:t>Cuando una empresa con programa de maquila bajo la modalidad de albergue incumpla con alguna de las obligaciones previstas en las fracciones anteriores, el Servicio de Administración Tributaria requerirá a dicha empresa para que, en un plazo que no exceda de 30 días naturales, aclare lo que a su derecho convenga sobre el incumplimiento.</w:t>
      </w:r>
    </w:p>
    <w:p w:rsidR="00CB470F" w:rsidRPr="00CB470F" w:rsidRDefault="00CB470F" w:rsidP="00CB470F">
      <w:pPr>
        <w:rPr>
          <w:rFonts w:ascii="Verdana" w:hAnsi="Verdana"/>
          <w:sz w:val="20"/>
        </w:rPr>
      </w:pPr>
      <w:r w:rsidRPr="00CB470F">
        <w:rPr>
          <w:rFonts w:ascii="Verdana" w:hAnsi="Verdana"/>
          <w:sz w:val="20"/>
        </w:rPr>
        <w:t>En caso de que la empresa con programa de maquila bajo la modalidad de albergue no subsane el incumplimiento en el plazo previsto en el párrafo anterior, se procederá a la suspensión de dicha empresa en el Padrón de Importadores a que se refiere el artículo 59, fracción IV de la Ley Aduanera y se considerará que el residente en el extranjero tiene establecimiento permanente en México, por lo que deberá cumplir con todas las obligaciones de carácter fiscal, de conformidad con el artículo 76 de esta Ley, por las operaciones de maquila que realice en el territorio nacional una vez que proceda la suspensión a que se refiere el presente párrafo.</w:t>
      </w:r>
    </w:p>
    <w:p w:rsidR="00CB470F" w:rsidRPr="00CB470F" w:rsidRDefault="00CB470F" w:rsidP="00CB470F">
      <w:pPr>
        <w:rPr>
          <w:rFonts w:ascii="Verdana" w:hAnsi="Verdana"/>
          <w:sz w:val="20"/>
        </w:rPr>
      </w:pPr>
      <w:r w:rsidRPr="00CB470F">
        <w:rPr>
          <w:rFonts w:ascii="Verdana" w:hAnsi="Verdana"/>
          <w:b/>
          <w:bCs/>
          <w:sz w:val="20"/>
        </w:rPr>
        <w:t>Artículo 186. </w:t>
      </w:r>
      <w:r w:rsidRPr="00CB470F">
        <w:rPr>
          <w:rFonts w:ascii="Verdana" w:hAnsi="Verdana"/>
          <w:sz w:val="20"/>
        </w:rPr>
        <w:t>Se otorga un estímulo fiscal a los contribuyentes, personas físicas o morales del impuesto sobre la renta, que empleen a personas que padezcan discapacidad motriz, que para superarla requieran usar permanentemente prótesis, muletas o sillas de ruedas; mental; auditiva o de lenguaje, en un ochenta por ciento o más de la capacidad normal o tratándose de invidentes.</w:t>
      </w:r>
    </w:p>
    <w:p w:rsidR="00CB470F" w:rsidRPr="00CB470F" w:rsidRDefault="00CB470F" w:rsidP="00CB470F">
      <w:pPr>
        <w:rPr>
          <w:rFonts w:ascii="Verdana" w:hAnsi="Verdana"/>
          <w:sz w:val="20"/>
        </w:rPr>
      </w:pPr>
      <w:r w:rsidRPr="00CB470F">
        <w:rPr>
          <w:rFonts w:ascii="Verdana" w:hAnsi="Verdana"/>
          <w:sz w:val="20"/>
        </w:rPr>
        <w:t>El estímulo fiscal consiste en poder deducir de los ingresos acumulables del contribuyente para los efectos del impuesto sobre la renta por el ejercicio fiscal correspondiente, un monto equivalente al 25% del salario efectivamente pagado a las personas antes señaladas. Para estos efectos, se deberá considerar la totalidad del salario que sirva de base para calcular, en el ejercicio que corresponda, las retenciones del impuesto sobre la renta del trabajador de que se trate, en los términos del artículo 96 de esta Ley. El estímulo fiscal a que se refiere este párrafo será aplicable siempre que los contribuyentes obtengan el certificado de discapacidad expedido por el Instituto Mexicano del Seguro Social, respecto de los citados trabajadores.</w:t>
      </w:r>
    </w:p>
    <w:p w:rsidR="00CB470F" w:rsidRPr="00CB470F" w:rsidRDefault="00CB470F" w:rsidP="00CB470F">
      <w:pPr>
        <w:rPr>
          <w:rFonts w:ascii="Verdana" w:hAnsi="Verdana"/>
          <w:sz w:val="20"/>
        </w:rPr>
      </w:pPr>
      <w:r w:rsidRPr="00CB470F">
        <w:rPr>
          <w:rFonts w:ascii="Verdana" w:hAnsi="Verdana"/>
          <w:sz w:val="20"/>
        </w:rPr>
        <w:t>Se otorga un estímulo fiscal a quien contrate adultos mayores, consistente en deducir de sus ingresos acumulables para los efectos del impuesto sobre la renta del ejercicio fiscal correspondiente, el equivalente al 25% del salario efectivamente pagado a las personas de 65 años y más. Para estos efectos, se deberá considerar la totalidad del salario que sirva de base para calcular, en el ejercicio que corresponda, las retenciones del impuesto sobre la renta del trabajador de que se trate, en los términos del artículo 96 de esta Ley.</w:t>
      </w:r>
    </w:p>
    <w:p w:rsidR="00CB470F" w:rsidRPr="00CB470F" w:rsidRDefault="00CB470F" w:rsidP="00CB470F">
      <w:pPr>
        <w:rPr>
          <w:rFonts w:ascii="Verdana" w:hAnsi="Verdana"/>
          <w:sz w:val="20"/>
        </w:rPr>
      </w:pPr>
      <w:r w:rsidRPr="00CB470F">
        <w:rPr>
          <w:rFonts w:ascii="Verdana" w:hAnsi="Verdana"/>
          <w:sz w:val="20"/>
        </w:rPr>
        <w:t>Los contribuyentes que apliquen los beneficios previstos en este artículo, deberán cumplir con las obligaciones contenidas en el artículo 15 de la Ley del Seguro Social.</w:t>
      </w:r>
    </w:p>
    <w:p w:rsidR="00CB470F" w:rsidRPr="00CB470F" w:rsidRDefault="00CB470F" w:rsidP="00CB470F">
      <w:pPr>
        <w:rPr>
          <w:rFonts w:ascii="Verdana" w:hAnsi="Verdana"/>
          <w:sz w:val="20"/>
        </w:rPr>
      </w:pPr>
      <w:r w:rsidRPr="00CB470F">
        <w:rPr>
          <w:rFonts w:ascii="Verdana" w:hAnsi="Verdana"/>
          <w:b/>
          <w:bCs/>
          <w:sz w:val="20"/>
        </w:rPr>
        <w:t>Artículo 187.</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 </w:t>
      </w:r>
      <w:r w:rsidRPr="00CB470F">
        <w:rPr>
          <w:rFonts w:ascii="Verdana" w:hAnsi="Verdana"/>
          <w:b/>
          <w:bCs/>
          <w:sz w:val="20"/>
        </w:rPr>
        <w:t>IV. ...</w:t>
      </w:r>
    </w:p>
    <w:p w:rsidR="00CB470F" w:rsidRPr="00CB470F" w:rsidRDefault="00CB470F" w:rsidP="00CB470F">
      <w:pPr>
        <w:rPr>
          <w:rFonts w:ascii="Verdana" w:hAnsi="Verdana"/>
          <w:sz w:val="20"/>
        </w:rPr>
      </w:pPr>
      <w:r w:rsidRPr="00CB470F">
        <w:rPr>
          <w:rFonts w:ascii="Verdana" w:hAnsi="Verdana"/>
          <w:b/>
          <w:bCs/>
          <w:sz w:val="20"/>
        </w:rPr>
        <w:lastRenderedPageBreak/>
        <w:t>V.</w:t>
      </w:r>
      <w:r w:rsidRPr="00CB470F">
        <w:rPr>
          <w:rFonts w:ascii="Verdana" w:hAnsi="Verdana"/>
          <w:sz w:val="20"/>
        </w:rPr>
        <w:t>       Que la fiduciaria emita certificados de participación por los bienes que integren el patrimonio del fideicomiso y que dichos certificados se coloquen en el país entre el gran público inversionista.</w:t>
      </w:r>
    </w:p>
    <w:p w:rsidR="00CB470F" w:rsidRPr="00CB470F" w:rsidRDefault="00CB470F" w:rsidP="00CB470F">
      <w:pPr>
        <w:rPr>
          <w:rFonts w:ascii="Verdana" w:hAnsi="Verdana"/>
          <w:sz w:val="20"/>
        </w:rPr>
      </w:pPr>
      <w:r w:rsidRPr="00CB470F">
        <w:rPr>
          <w:rFonts w:ascii="Verdana" w:hAnsi="Verdana"/>
          <w:b/>
          <w:bCs/>
          <w:sz w:val="20"/>
        </w:rPr>
        <w:t>VI. </w:t>
      </w:r>
      <w:r w:rsidRPr="00CB470F">
        <w:rPr>
          <w:rFonts w:ascii="Verdana" w:hAnsi="Verdana"/>
          <w:sz w:val="20"/>
        </w:rPr>
        <w:t>a </w:t>
      </w:r>
      <w:r w:rsidRPr="00CB470F">
        <w:rPr>
          <w:rFonts w:ascii="Verdana" w:hAnsi="Verdana"/>
          <w:b/>
          <w:bCs/>
          <w:sz w:val="20"/>
        </w:rPr>
        <w:t>VIII. ...</w:t>
      </w:r>
    </w:p>
    <w:p w:rsidR="00CB470F" w:rsidRPr="00CB470F" w:rsidRDefault="00CB470F" w:rsidP="00CB470F">
      <w:pPr>
        <w:rPr>
          <w:rFonts w:ascii="Verdana" w:hAnsi="Verdana"/>
          <w:sz w:val="20"/>
        </w:rPr>
      </w:pPr>
      <w:r w:rsidRPr="00CB470F">
        <w:rPr>
          <w:rFonts w:ascii="Verdana" w:hAnsi="Verdana"/>
          <w:b/>
          <w:bCs/>
          <w:sz w:val="20"/>
        </w:rPr>
        <w:t>IX.</w:t>
      </w:r>
      <w:r w:rsidRPr="00CB470F">
        <w:rPr>
          <w:rFonts w:ascii="Verdana" w:hAnsi="Verdana"/>
          <w:sz w:val="20"/>
        </w:rPr>
        <w:t>      Que la fiduciaria presente a más tardar el 15 de febrero de cada año:</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La información de identificación de los fideicomitentes.</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La información y documentación de cada una de las operaciones mediante las cuales se realizó la aportación al fideicomiso de cada uno de los inmuebles, incluyendo la identificación de los mismos, así como el monto y número de los certificados de participación entregados a los fideicomitentes. En caso de que los inmuebles aportados al fideicomiso hayan sido arrendados a dichos fideicomitentes, los contratos respectivos.</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Informe de cada inmueble aportado al fideicomiso que contenga:</w:t>
      </w:r>
    </w:p>
    <w:p w:rsidR="00CB470F" w:rsidRPr="00CB470F" w:rsidRDefault="00CB470F" w:rsidP="00CB470F">
      <w:pPr>
        <w:rPr>
          <w:rFonts w:ascii="Verdana" w:hAnsi="Verdana"/>
          <w:sz w:val="20"/>
        </w:rPr>
      </w:pPr>
      <w:r w:rsidRPr="00CB470F">
        <w:rPr>
          <w:rFonts w:ascii="Verdana" w:hAnsi="Verdana"/>
          <w:b/>
          <w:bCs/>
          <w:sz w:val="20"/>
        </w:rPr>
        <w:t>1.</w:t>
      </w:r>
      <w:r w:rsidRPr="00CB470F">
        <w:rPr>
          <w:rFonts w:ascii="Verdana" w:hAnsi="Verdana"/>
          <w:sz w:val="20"/>
        </w:rPr>
        <w:t>     Fecha de aportación.</w:t>
      </w:r>
    </w:p>
    <w:p w:rsidR="00CB470F" w:rsidRPr="00CB470F" w:rsidRDefault="00CB470F" w:rsidP="00CB470F">
      <w:pPr>
        <w:rPr>
          <w:rFonts w:ascii="Verdana" w:hAnsi="Verdana"/>
          <w:sz w:val="20"/>
        </w:rPr>
      </w:pPr>
      <w:r w:rsidRPr="00CB470F">
        <w:rPr>
          <w:rFonts w:ascii="Verdana" w:hAnsi="Verdana"/>
          <w:b/>
          <w:bCs/>
          <w:sz w:val="20"/>
        </w:rPr>
        <w:t>2.</w:t>
      </w:r>
      <w:r w:rsidRPr="00CB470F">
        <w:rPr>
          <w:rFonts w:ascii="Verdana" w:hAnsi="Verdana"/>
          <w:sz w:val="20"/>
        </w:rPr>
        <w:t>     Valor de la aportación.</w:t>
      </w:r>
    </w:p>
    <w:p w:rsidR="00CB470F" w:rsidRPr="00CB470F" w:rsidRDefault="00CB470F" w:rsidP="00CB470F">
      <w:pPr>
        <w:rPr>
          <w:rFonts w:ascii="Verdana" w:hAnsi="Verdana"/>
          <w:sz w:val="20"/>
        </w:rPr>
      </w:pPr>
      <w:r w:rsidRPr="00CB470F">
        <w:rPr>
          <w:rFonts w:ascii="Verdana" w:hAnsi="Verdana"/>
          <w:b/>
          <w:bCs/>
          <w:sz w:val="20"/>
        </w:rPr>
        <w:t>3.</w:t>
      </w:r>
      <w:r w:rsidRPr="00CB470F">
        <w:rPr>
          <w:rFonts w:ascii="Verdana" w:hAnsi="Verdana"/>
          <w:sz w:val="20"/>
        </w:rPr>
        <w:t>     Años transcurridos entre la fecha de construcción y la de su aportación.</w:t>
      </w:r>
    </w:p>
    <w:p w:rsidR="00CB470F" w:rsidRPr="00CB470F" w:rsidRDefault="00CB470F" w:rsidP="00CB470F">
      <w:pPr>
        <w:rPr>
          <w:rFonts w:ascii="Verdana" w:hAnsi="Verdana"/>
          <w:sz w:val="20"/>
        </w:rPr>
      </w:pPr>
      <w:r w:rsidRPr="00CB470F">
        <w:rPr>
          <w:rFonts w:ascii="Verdana" w:hAnsi="Verdana"/>
          <w:b/>
          <w:bCs/>
          <w:sz w:val="20"/>
        </w:rPr>
        <w:t>4.</w:t>
      </w:r>
      <w:r w:rsidRPr="00CB470F">
        <w:rPr>
          <w:rFonts w:ascii="Verdana" w:hAnsi="Verdana"/>
          <w:sz w:val="20"/>
        </w:rPr>
        <w:t>     Domicilio.</w:t>
      </w:r>
    </w:p>
    <w:p w:rsidR="00CB470F" w:rsidRPr="00CB470F" w:rsidRDefault="00CB470F" w:rsidP="00CB470F">
      <w:pPr>
        <w:rPr>
          <w:rFonts w:ascii="Verdana" w:hAnsi="Verdana"/>
          <w:sz w:val="20"/>
        </w:rPr>
      </w:pPr>
      <w:r w:rsidRPr="00CB470F">
        <w:rPr>
          <w:rFonts w:ascii="Verdana" w:hAnsi="Verdana"/>
          <w:b/>
          <w:bCs/>
          <w:sz w:val="20"/>
        </w:rPr>
        <w:t>5.</w:t>
      </w:r>
      <w:r w:rsidRPr="00CB470F">
        <w:rPr>
          <w:rFonts w:ascii="Verdana" w:hAnsi="Verdana"/>
          <w:sz w:val="20"/>
        </w:rPr>
        <w:t>     Uso o destino.</w:t>
      </w:r>
    </w:p>
    <w:p w:rsidR="00CB470F" w:rsidRPr="00CB470F" w:rsidRDefault="00CB470F" w:rsidP="00CB470F">
      <w:pPr>
        <w:rPr>
          <w:rFonts w:ascii="Verdana" w:hAnsi="Verdana"/>
          <w:sz w:val="20"/>
        </w:rPr>
      </w:pPr>
      <w:r w:rsidRPr="00CB470F">
        <w:rPr>
          <w:rFonts w:ascii="Verdana" w:hAnsi="Verdana"/>
          <w:b/>
          <w:bCs/>
          <w:sz w:val="20"/>
        </w:rPr>
        <w:t>6.</w:t>
      </w:r>
      <w:r w:rsidRPr="00CB470F">
        <w:rPr>
          <w:rFonts w:ascii="Verdana" w:hAnsi="Verdana"/>
          <w:sz w:val="20"/>
        </w:rPr>
        <w:t>     Datos de identificación del portafolio de inversión al que se integra el inmueble, de ser el caso.</w:t>
      </w:r>
    </w:p>
    <w:p w:rsidR="00CB470F" w:rsidRPr="00CB470F" w:rsidRDefault="00CB470F" w:rsidP="00CB470F">
      <w:pPr>
        <w:rPr>
          <w:rFonts w:ascii="Verdana" w:hAnsi="Verdana"/>
          <w:sz w:val="20"/>
        </w:rPr>
      </w:pPr>
      <w:r w:rsidRPr="00CB470F">
        <w:rPr>
          <w:rFonts w:ascii="Verdana" w:hAnsi="Verdana"/>
          <w:b/>
          <w:bCs/>
          <w:sz w:val="20"/>
        </w:rPr>
        <w:t>7.</w:t>
      </w:r>
      <w:r w:rsidRPr="00CB470F">
        <w:rPr>
          <w:rFonts w:ascii="Verdana" w:hAnsi="Verdana"/>
          <w:sz w:val="20"/>
        </w:rPr>
        <w:t>     Cuando el inmueble sea enajenado por la institución fiduciaria, incluir en el informe la fecha de enajenación, valor de enajenación y ganancia o pérdida.</w:t>
      </w:r>
    </w:p>
    <w:p w:rsidR="00CB470F" w:rsidRPr="00CB470F" w:rsidRDefault="00CB470F" w:rsidP="00CB470F">
      <w:pPr>
        <w:rPr>
          <w:rFonts w:ascii="Verdana" w:hAnsi="Verdana"/>
          <w:sz w:val="20"/>
        </w:rPr>
      </w:pPr>
      <w:r w:rsidRPr="00CB470F">
        <w:rPr>
          <w:rFonts w:ascii="Verdana" w:hAnsi="Verdana"/>
          <w:sz w:val="20"/>
        </w:rPr>
        <w:t>         La información y documentación a que se refiere esta fracción deberá presentarse de conformidad con las reglas de carácter general que al efecto emita el Servicio de Administración Tributaria.</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Artículo 189.</w:t>
      </w:r>
      <w:r w:rsidRPr="00CB470F">
        <w:rPr>
          <w:rFonts w:ascii="Verdana" w:hAnsi="Verdana"/>
          <w:sz w:val="20"/>
        </w:rPr>
        <w:t> Se otorga un estímulo fiscal a los contribuyentes del impuesto sobre la renta, consistente en aplicar un crédito fiscal equivalente al monto que, en el ejercicio fiscal de que se trate, aporten a proyectos de inversión en la producción cinematográfica nacional o en la distribución de películas cinematográficas nacionales, contra el impuesto sobre la renta del ejercicio y de los pagos provisionales del mismo ejercicio, causado</w:t>
      </w:r>
      <w:r w:rsidRPr="00CB470F">
        <w:rPr>
          <w:rFonts w:ascii="Verdana" w:hAnsi="Verdana"/>
          <w:b/>
          <w:bCs/>
          <w:sz w:val="20"/>
        </w:rPr>
        <w:t> </w:t>
      </w:r>
      <w:r w:rsidRPr="00CB470F">
        <w:rPr>
          <w:rFonts w:ascii="Verdana" w:hAnsi="Verdana"/>
          <w:sz w:val="20"/>
        </w:rPr>
        <w:t>en el ejercicio en el que se determine el crédito. Este crédito fiscal no será acumulable para efectos del impuesto sobre la renta. En ningún caso, el estímulo podrá exceder del 10% del impuesto sobre la renta causado en el ejercicio inmediato anterior al de su aplicación.</w:t>
      </w:r>
    </w:p>
    <w:p w:rsidR="00CB470F" w:rsidRPr="00CB470F" w:rsidRDefault="00CB470F" w:rsidP="00CB470F">
      <w:pPr>
        <w:rPr>
          <w:rFonts w:ascii="Verdana" w:hAnsi="Verdana"/>
          <w:sz w:val="20"/>
        </w:rPr>
      </w:pPr>
      <w:r w:rsidRPr="00CB470F">
        <w:rPr>
          <w:rFonts w:ascii="Verdana" w:hAnsi="Verdana"/>
          <w:b/>
          <w:bCs/>
          <w:sz w:val="20"/>
        </w:rPr>
        <w:lastRenderedPageBreak/>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Se creará un Comité Interinstitucional que estará formado por un representante del Consejo Nacional para la Cultura y las Artes, uno del Instituto Mexicano de Cinematografía, uno del Servicio de Administración Tributaria y uno de la Secretaría de Hacienda y Crédito Público, quien presidirá el Comité Interinstitucional y tendrá voto de calidad.</w:t>
      </w:r>
    </w:p>
    <w:p w:rsidR="00CB470F" w:rsidRPr="00CB470F" w:rsidRDefault="00CB470F" w:rsidP="00CB470F">
      <w:pPr>
        <w:rPr>
          <w:rFonts w:ascii="Verdana" w:hAnsi="Verdana"/>
          <w:sz w:val="20"/>
        </w:rPr>
      </w:pPr>
      <w:r w:rsidRPr="00CB470F">
        <w:rPr>
          <w:rFonts w:ascii="Verdana" w:hAnsi="Verdana"/>
          <w:b/>
          <w:bCs/>
          <w:sz w:val="20"/>
        </w:rPr>
        <w:t>II. </w:t>
      </w:r>
      <w:r w:rsidRPr="00CB470F">
        <w:rPr>
          <w:rFonts w:ascii="Verdana" w:hAnsi="Verdana"/>
          <w:sz w:val="20"/>
        </w:rPr>
        <w:t>a </w:t>
      </w:r>
      <w:r w:rsidRPr="00CB470F">
        <w:rPr>
          <w:rFonts w:ascii="Verdana" w:hAnsi="Verdana"/>
          <w:b/>
          <w:bCs/>
          <w:sz w:val="20"/>
        </w:rPr>
        <w:t>V. ...</w:t>
      </w:r>
    </w:p>
    <w:p w:rsidR="00CB470F" w:rsidRPr="00CB470F" w:rsidRDefault="00CB470F" w:rsidP="00CB470F">
      <w:pPr>
        <w:rPr>
          <w:rFonts w:ascii="Verdana" w:hAnsi="Verdana"/>
          <w:sz w:val="20"/>
        </w:rPr>
      </w:pPr>
      <w:r w:rsidRPr="00CB470F">
        <w:rPr>
          <w:rFonts w:ascii="Verdana" w:hAnsi="Verdana"/>
          <w:sz w:val="20"/>
        </w:rPr>
        <w:t>El estímulo fiscal a que se refiere este artículo no podrá aplicarse conjuntamente con otros tratamientos fiscales que otorguen beneficios o estímulos fiscales.</w:t>
      </w:r>
    </w:p>
    <w:p w:rsidR="00CB470F" w:rsidRPr="00CB470F" w:rsidRDefault="00CB470F" w:rsidP="00CB470F">
      <w:pPr>
        <w:rPr>
          <w:rFonts w:ascii="Verdana" w:hAnsi="Verdana"/>
          <w:sz w:val="20"/>
        </w:rPr>
      </w:pPr>
      <w:r w:rsidRPr="00CB470F">
        <w:rPr>
          <w:rFonts w:ascii="Verdana" w:hAnsi="Verdana"/>
          <w:b/>
          <w:bCs/>
          <w:sz w:val="20"/>
        </w:rPr>
        <w:t>Artículo 190. </w:t>
      </w:r>
      <w:r w:rsidRPr="00CB470F">
        <w:rPr>
          <w:rFonts w:ascii="Verdana" w:hAnsi="Verdana"/>
          <w:sz w:val="20"/>
        </w:rPr>
        <w:t>Se otorga un estímulo fiscal a los contribuyentes del impuesto sobre la renta, consistente en aplicar un crédito fiscal equivalente al monto que, en el ejercicio fiscal de que se trate, aporten a proyectos de inversión en la producción teatral nacional; en la edición y publicación de obras literarias nacionales; de artes visuales; danza; música en los campos específicos de dirección de orquesta, ejecución instrumental y vocal de la música de concierto, y jazz; contra el impuesto sobre la renta del ejercicio y de los pagos provisionales del mismo ejercicio, causado en el ejercicio en el que se determine el crédito. Este crédito fiscal no será acumulable para efectos del impuesto sobre la renta. En ningún caso el estímulo podrá exceder del 10% del impuesto sobre la renta causado en el ejercicio inmediato anterior al de su aplicación.</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Para los efectos de este artículo, se considerarán como proyectos de inversión en la producción teatral nacional; artes visuales; danza; música en los campos específicos de dirección de orquesta, ejecución instrumental y vocal de la música de concierto y jazz, las inversiones en territorio nacional, destinadas específicamente al montaje de obras dramáticas; de artes visuales; danza; música en los campos específicos de dirección de orquesta, ejecución instrumental y vocal de la música de concierto y jazz; a través de un proceso en el que se conjugan la creación y realización, así como los recursos humanos, materiales y financieros necesarios para dicho objeto. En el caso de proyectos de inversión para la edición y publicación de obras literarias nacionales, se considerarán únicamente a aquellas obras originales cuyos autores sean mexicanos que no tengan obras traducidas a otro idioma extranjero ni reeditadas en ningún país; y no se trate de obras por encargo en términos de la Ley Federal del Derecho de Autor.</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I.</w:t>
      </w:r>
      <w:r w:rsidRPr="00CB470F">
        <w:rPr>
          <w:rFonts w:ascii="Verdana" w:hAnsi="Verdana"/>
          <w:sz w:val="20"/>
        </w:rPr>
        <w:t>        Se creará un Comité Interinstitucional que estará formado por un representante de la Secretaría de Cultura, uno del Instituto Nacional de Bellas Artes y Literatura, uno del Servicio de Administración Tributaria y uno de la Secretaría de Hacienda y Crédito Público, quien presidirá el Comité y tendrá voto de calidad.</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El monto total del estímulo fiscal a distribuir entre los aspirantes del beneficio no excederá de 200 millones de pesos por cada ejercicio fiscal ni de 2 millones de pesos por cada contribuyente y proyecto de inversión en la producción teatral nacional; de artes visuales, danza; música en los campos específicos de dirección de orquesta, ejecución instrumental y vocal de la música de concierto y jazz.</w:t>
      </w:r>
    </w:p>
    <w:p w:rsidR="00CB470F" w:rsidRPr="00CB470F" w:rsidRDefault="00CB470F" w:rsidP="00CB470F">
      <w:pPr>
        <w:rPr>
          <w:rFonts w:ascii="Verdana" w:hAnsi="Verdana"/>
          <w:sz w:val="20"/>
        </w:rPr>
      </w:pPr>
      <w:r w:rsidRPr="00CB470F">
        <w:rPr>
          <w:rFonts w:ascii="Verdana" w:hAnsi="Verdana"/>
          <w:sz w:val="20"/>
        </w:rPr>
        <w:t>         El Comité podrá autorizar un monto de hasta 10 millones de pesos a proyectos a los que se refiere el párrafo anterior, siempre que se trate de proyectos que por sus características de producción, riqueza artística y cultural, requieran un monto de inversión mayor a 6 millones de pesos.</w:t>
      </w:r>
    </w:p>
    <w:p w:rsidR="00CB470F" w:rsidRPr="00CB470F" w:rsidRDefault="00CB470F" w:rsidP="00CB470F">
      <w:pPr>
        <w:rPr>
          <w:rFonts w:ascii="Verdana" w:hAnsi="Verdana"/>
          <w:sz w:val="20"/>
        </w:rPr>
      </w:pPr>
      <w:r w:rsidRPr="00CB470F">
        <w:rPr>
          <w:rFonts w:ascii="Verdana" w:hAnsi="Verdana"/>
          <w:sz w:val="20"/>
        </w:rPr>
        <w:t>         En el caso de los proyectos de inversión en la edición y publicación de obras literarias nacionales, el beneficio no podrá exceder de 500 mil pesos por proyecto de inversión ni de 2 millones de pesos por contribuyente.</w:t>
      </w:r>
    </w:p>
    <w:p w:rsidR="00CB470F" w:rsidRPr="00CB470F" w:rsidRDefault="00CB470F" w:rsidP="00CB470F">
      <w:pPr>
        <w:rPr>
          <w:rFonts w:ascii="Verdana" w:hAnsi="Verdana"/>
          <w:sz w:val="20"/>
        </w:rPr>
      </w:pPr>
      <w:r w:rsidRPr="00CB470F">
        <w:rPr>
          <w:rFonts w:ascii="Verdana" w:hAnsi="Verdana"/>
          <w:b/>
          <w:bCs/>
          <w:sz w:val="20"/>
        </w:rPr>
        <w:t>III. </w:t>
      </w:r>
      <w:r w:rsidRPr="00CB470F">
        <w:rPr>
          <w:rFonts w:ascii="Verdana" w:hAnsi="Verdana"/>
          <w:sz w:val="20"/>
        </w:rPr>
        <w:t>y </w:t>
      </w:r>
      <w:r w:rsidRPr="00CB470F">
        <w:rPr>
          <w:rFonts w:ascii="Verdana" w:hAnsi="Verdana"/>
          <w:b/>
          <w:bCs/>
          <w:sz w:val="20"/>
        </w:rPr>
        <w:t>IV.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Artículo 202.</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Se creará un Comité Interinstitucional que estará formado por un representante del Consejo Nacional de Ciencia y Tecnología, uno de la Secretaría de Economía, uno del Servicio de Administración Tributaria y uno de la Secretaría de Hacienda y Crédito Público, quien presidirá el Comité Interinstitucional y tendrá voto de calidad. La Secretaría Técnica del Comité estará a cargo del Consejo Nacional de Ciencia y Tecnología.</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a </w:t>
      </w:r>
      <w:r w:rsidRPr="00CB470F">
        <w:rPr>
          <w:rFonts w:ascii="Verdana" w:hAnsi="Verdana"/>
          <w:b/>
          <w:bCs/>
          <w:sz w:val="20"/>
        </w:rPr>
        <w:t>IV.</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Sexto párrafo. </w:t>
      </w:r>
      <w:r w:rsidRPr="00CB470F">
        <w:rPr>
          <w:rFonts w:ascii="Verdana" w:hAnsi="Verdana"/>
          <w:sz w:val="20"/>
        </w:rPr>
        <w:t>(Se deroga).</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203.</w:t>
      </w:r>
      <w:r w:rsidRPr="00CB470F">
        <w:rPr>
          <w:rFonts w:ascii="Verdana" w:hAnsi="Verdana"/>
          <w:sz w:val="20"/>
        </w:rPr>
        <w:t xml:space="preserve"> Se otorga un estímulo fiscal a los contribuyentes del impuesto sobre la renta, consistente en aplicar un crédito fiscal equivalente al monto que, en el ejercicio </w:t>
      </w:r>
      <w:r w:rsidRPr="00CB470F">
        <w:rPr>
          <w:rFonts w:ascii="Verdana" w:hAnsi="Verdana"/>
          <w:sz w:val="20"/>
        </w:rPr>
        <w:lastRenderedPageBreak/>
        <w:t>fiscal de que se trate, aporten a proyectos de inversión en infraestructura e instalaciones deportivas altamente especializadas, así como a programas diseñados para el desarrollo, entrenamiento y competencia de atletas mexicanos de alto rendimiento, contra el impuesto sobre la renta del ejercicio y de los pagos provisionales del mismo ejercicio,</w:t>
      </w:r>
      <w:r w:rsidRPr="00CB470F">
        <w:rPr>
          <w:rFonts w:ascii="Verdana" w:hAnsi="Verdana"/>
          <w:b/>
          <w:bCs/>
          <w:sz w:val="20"/>
        </w:rPr>
        <w:t> </w:t>
      </w:r>
      <w:r w:rsidRPr="00CB470F">
        <w:rPr>
          <w:rFonts w:ascii="Verdana" w:hAnsi="Verdana"/>
          <w:sz w:val="20"/>
        </w:rPr>
        <w:t>causado en el ejercicio en que se determine el crédito. Este crédito fiscal no será acumulable para efectos del impuesto sobre la renta. En ningún caso, el estímulo podrá exceder del 10% del impuesto sobre la renta causado en el ejercicio inmediato anterior al de su aplicación.</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Quinto párrafo. </w:t>
      </w:r>
      <w:r w:rsidRPr="00CB470F">
        <w:rPr>
          <w:rFonts w:ascii="Verdana" w:hAnsi="Verdana"/>
          <w:sz w:val="20"/>
        </w:rPr>
        <w:t>(Se deroga).</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205.</w:t>
      </w:r>
      <w:r w:rsidRPr="00CB470F">
        <w:rPr>
          <w:rFonts w:ascii="Verdana" w:hAnsi="Verdana"/>
          <w:sz w:val="20"/>
        </w:rPr>
        <w:t> Las figuras jurídicas extranjeras que administren inversiones de capital de privado que inviertan en personas morales residentes en México, que se consideren transparentes fiscales en el país o jurisdicción de su constitución, gozarán de dicha transparencia para efectos de esta Ley. Los socios de dichas figuras tributarán de conformidad con el Título de esta Ley que les corresponda. Lo señalado en este artículo será aplicable solo por los ingresos que obtengan por intereses, dividendos, ganancias de capital o por el arrendamiento de bienes inmuebles. Lo dispuesto en el párrafo anterior será aplicable siempre que:</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El administrador de dicha figura jurídica o su represente legal en el país, presente ante el Servicio de Administración Tributaria, un registro de todos los integrantes o miembros de dicha figura en el ejercicio fiscal anterior. Si durante el ejercicio fiscal hay una variación respecto a los integrantes o miembros de dicha figura, esto deberá ser reportado por el administrador o su representante legal, a más tardar en el mes de febrero del siguiente año de calendario. El registro referido deberá incluir la documentación que acredite la residencia fiscal de cada uno de los integrantes o miembros de dicha figura, incluyendo el administrador. En caso que el integrante o miembro sea un organismo internacional o un fondo de pensiones y jubilaciones, podrán presentar su acuerdo sede o convenio constitutivo. En caso de no contar con dicha documentación de alguno de los integrantes o miembros, la figura jurídica no gozará de la transparencia fiscal en la proporción de su participación.</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Que la figura jurídica haya sido constituida en un país o jurisdicción con el que México tenga un acuerdo amplio de intercambio de información.</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xml:space="preserve">      Que los integrantes o miembros de dicha figura jurídica, incluyendo el administrador, residan en un país o jurisdicción con el que México tenga un acuerdo amplio de intercambio de información. En caso que un integrante o miembro no resida en un país o jurisdicción con el que México tenga un acuerdo amplio de intercambio de </w:t>
      </w:r>
      <w:r w:rsidRPr="00CB470F">
        <w:rPr>
          <w:rFonts w:ascii="Verdana" w:hAnsi="Verdana"/>
          <w:sz w:val="20"/>
        </w:rPr>
        <w:lastRenderedPageBreak/>
        <w:t>información, la figura jurídica no gozará de la transparencia fiscal en la proporción de su participación.</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Que los integrantes o miembros que integren dicha figura, incluyendo el administrador, sean los beneficiarios efectivos de los ingresos percibidos por dicha figura. En caso que un integrante o miembro no sea efectivamente el beneficiario efectivo de dichos ingresos, la figura jurídica no gozará de la transparencia fiscal en la proporción de su participación.</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Que los ingresos señalados en esta Ley, atribuibles a los integrantes o miembros residentes en el extranjero, sean acumulados por los mismos. En caso contrario, la figura jurídica no gozará de la transparencia fiscal en la proporción a la participación del integrante o miembro cuyo ingreso no fue acumulado.</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Que los ingresos que obtengan los integrantes o miembros residentes en México o establecimientos permanentes de residentes en el extranjero, se acumulen de conformidad con los artículos 4-B o 177 de esta Ley, incluso si los integrantes o miembros hubiesen estado exentos del impuesto respecto de dichos ingresos. En caso contrario, la figura jurídica no gozará de la transparencia fiscal en la proporción de la participación del integrante o miembro cuyo ingreso no fue acumulado en virtud de los artículos 4-B o 177 de esta Ley.</w:t>
      </w:r>
    </w:p>
    <w:p w:rsidR="00CB470F" w:rsidRPr="00CB470F" w:rsidRDefault="00CB470F" w:rsidP="00CB470F">
      <w:pPr>
        <w:rPr>
          <w:rFonts w:ascii="Verdana" w:hAnsi="Verdana"/>
          <w:sz w:val="20"/>
        </w:rPr>
      </w:pPr>
      <w:r w:rsidRPr="00CB470F">
        <w:rPr>
          <w:rFonts w:ascii="Verdana" w:hAnsi="Verdana"/>
          <w:b/>
          <w:bCs/>
          <w:sz w:val="20"/>
        </w:rPr>
        <w:t>DISPOSICIONES TRANSITORIAS DE LA LEY DEL IMPUESTO SOBRE LA RENTA</w:t>
      </w:r>
    </w:p>
    <w:p w:rsidR="00CB470F" w:rsidRPr="00CB470F" w:rsidRDefault="00CB470F" w:rsidP="00CB470F">
      <w:pPr>
        <w:rPr>
          <w:rFonts w:ascii="Verdana" w:hAnsi="Verdana"/>
          <w:sz w:val="20"/>
        </w:rPr>
      </w:pPr>
      <w:r w:rsidRPr="00CB470F">
        <w:rPr>
          <w:rFonts w:ascii="Verdana" w:hAnsi="Verdana"/>
          <w:b/>
          <w:bCs/>
          <w:sz w:val="20"/>
        </w:rPr>
        <w:t>Artículo Segundo.- </w:t>
      </w:r>
      <w:r w:rsidRPr="00CB470F">
        <w:rPr>
          <w:rFonts w:ascii="Verdana" w:hAnsi="Verdana"/>
          <w:sz w:val="20"/>
        </w:rPr>
        <w:t>En relación con las modificaciones a las que se refiere el Artículo Primero de este Decreto, se estará a lo siguiente:</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Las personas morales de derecho agrario que al 31 de diciembre de 2019 tributen en los términos del Título II de la Ley del Impuesto sobre la Renta y cumplan con los requisitos a que se refiere el artículo 74-B de dicha Ley, podrán optar por aplicar lo dispuesto en el citado artículo siempre que presenten, a más tardar el 31 de enero de 2020, un aviso ante el Servicio de Administración Tributaria en los términos que para tales efectos se establezcan mediante reglas de carácter general, en el que manifiesten que aplicarán lo dispuesto en dicho artículo.</w:t>
      </w:r>
    </w:p>
    <w:p w:rsidR="00CB470F" w:rsidRPr="00CB470F" w:rsidRDefault="00CB470F" w:rsidP="00CB470F">
      <w:pPr>
        <w:rPr>
          <w:rFonts w:ascii="Verdana" w:hAnsi="Verdana"/>
          <w:sz w:val="20"/>
        </w:rPr>
      </w:pPr>
      <w:r w:rsidRPr="00CB470F">
        <w:rPr>
          <w:rFonts w:ascii="Verdana" w:hAnsi="Verdana"/>
          <w:sz w:val="20"/>
        </w:rPr>
        <w:t>         Las personas morales de derecho agrario a que se refiere esta fracción deberán estar a lo siguiente:</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No deberán efectuar la acumulación de los ingresos que perciban efectivamente a partir del 1 de enero de 2020, cuando dichos ingresos hayan sido acumulados hasta el 31 de diciembre de 2019, de conformidad con el Título II, Capítulo I de la Ley del Impuesto sobre la Renta.</w:t>
      </w:r>
    </w:p>
    <w:p w:rsidR="00CB470F" w:rsidRPr="00CB470F" w:rsidRDefault="00CB470F" w:rsidP="00CB470F">
      <w:pPr>
        <w:rPr>
          <w:rFonts w:ascii="Verdana" w:hAnsi="Verdana"/>
          <w:sz w:val="20"/>
        </w:rPr>
      </w:pPr>
      <w:r w:rsidRPr="00CB470F">
        <w:rPr>
          <w:rFonts w:ascii="Verdana" w:hAnsi="Verdana"/>
          <w:b/>
          <w:bCs/>
          <w:sz w:val="20"/>
        </w:rPr>
        <w:t>b) </w:t>
      </w:r>
      <w:r w:rsidRPr="00CB470F">
        <w:rPr>
          <w:rFonts w:ascii="Verdana" w:hAnsi="Verdana"/>
          <w:sz w:val="20"/>
        </w:rPr>
        <w:t>   Las deducciones que hubieran efectuado al 31 de diciembre de 2019, conforme al Título II, Capítulo II, Sección I de la Ley del Impuesto sobre la Renta, no se podrán volver a deducir a partir del ejercicio en el que opten por aplicar lo dispuesto en el artículo 74-B de la Ley del Impuesto sobre la Renta.</w:t>
      </w:r>
    </w:p>
    <w:p w:rsidR="00CB470F" w:rsidRPr="00CB470F" w:rsidRDefault="00CB470F" w:rsidP="00CB470F">
      <w:pPr>
        <w:rPr>
          <w:rFonts w:ascii="Verdana" w:hAnsi="Verdana"/>
          <w:sz w:val="20"/>
        </w:rPr>
      </w:pPr>
      <w:r w:rsidRPr="00CB470F">
        <w:rPr>
          <w:rFonts w:ascii="Verdana" w:hAnsi="Verdana"/>
          <w:b/>
          <w:bCs/>
          <w:sz w:val="20"/>
        </w:rPr>
        <w:lastRenderedPageBreak/>
        <w:t>c)</w:t>
      </w:r>
      <w:r w:rsidRPr="00CB470F">
        <w:rPr>
          <w:rFonts w:ascii="Verdana" w:hAnsi="Verdana"/>
          <w:sz w:val="20"/>
        </w:rPr>
        <w:t>     En caso de que al 31 de diciembre de 2019, tengan inventario de mercancías, materias primas, productos semiterminados o terminados, y que a dicha fecha estén pendientes de deducir, deberán seguir aplicando lo dispuesto en el Título II, Capítulo II, Sección III de la Ley del Impuesto sobre la Renta, hasta que se agote dicho inventario.</w:t>
      </w:r>
    </w:p>
    <w:p w:rsidR="00CB470F" w:rsidRPr="00CB470F" w:rsidRDefault="00CB470F" w:rsidP="00CB470F">
      <w:pPr>
        <w:rPr>
          <w:rFonts w:ascii="Verdana" w:hAnsi="Verdana"/>
          <w:sz w:val="20"/>
        </w:rPr>
      </w:pPr>
      <w:r w:rsidRPr="00CB470F">
        <w:rPr>
          <w:rFonts w:ascii="Verdana" w:hAnsi="Verdana"/>
          <w:sz w:val="20"/>
        </w:rPr>
        <w:t>       Para efectos de lo dispuesto en este inciso se considerará que lo primero que se enajena es lo primero que se había adquirido con anterioridad al 1 de enero de 2020.</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La Secretaría de Hacienda y Crédito Público podrá, mediante reglas de carácter general, implementar un esquema que permita facilitar el cumplimiento de las obligaciones fiscales de las personas físicas que realicen actividades empresariales con el público en general como vendedores independientes de productos al menudeo por catálogo o similares.</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La Sección III, denominada "De los ingresos por la enajenación de bienes o la prestación de servicios a través de Internet, mediante plataformas tecnológicas, aplicaciones informáticas y similares", del Capítulo II del Título IV de la Ley del Impuesto sobre la Renta, entrará en vigor a partir del 1 de junio de 2020.</w:t>
      </w:r>
    </w:p>
    <w:p w:rsidR="00CB470F" w:rsidRPr="00CB470F" w:rsidRDefault="00CB470F" w:rsidP="00CB470F">
      <w:pPr>
        <w:rPr>
          <w:rFonts w:ascii="Verdana" w:hAnsi="Verdana"/>
          <w:sz w:val="20"/>
        </w:rPr>
      </w:pPr>
      <w:r w:rsidRPr="00CB470F">
        <w:rPr>
          <w:rFonts w:ascii="Verdana" w:hAnsi="Verdana"/>
          <w:sz w:val="20"/>
        </w:rPr>
        <w:t>         El Servicio de Administración Tributaria emitirá las reglas de carácter general a que se refiere la Sección III del Capítulo mencionado en el párrafo anterior, a más tardar el 31 de enero de 2020.</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Los contribuyentes personas físicas que al 31 de diciembre de 2019, tributen en los términos de la Sección II del Capítulo II del Título IV de la Ley del Impuesto sobre la Renta, deberán aplicar lo dispuesto en el artículo 111, fracción VI de la Ley del Impuesto sobre la Renta.</w:t>
      </w:r>
    </w:p>
    <w:p w:rsidR="00CB470F" w:rsidRPr="00CB470F" w:rsidRDefault="00CB470F" w:rsidP="00CB470F">
      <w:pPr>
        <w:rPr>
          <w:rFonts w:ascii="Verdana" w:hAnsi="Verdana"/>
          <w:sz w:val="20"/>
        </w:rPr>
      </w:pPr>
      <w:r w:rsidRPr="00CB470F">
        <w:rPr>
          <w:rFonts w:ascii="Verdana" w:hAnsi="Verdana"/>
          <w:sz w:val="20"/>
        </w:rPr>
        <w:t>         No obstante lo dispuesto en el párrafo anterior, y hasta en tanto entren en vigor las disposiciones a que hace referencia la fracción III de este artículo, dichos contribuyentes deberán pagar el impuesto sobre la renta por dichos ingresos conforme a la Sección II del Capítulo II del Título IV de la Ley del Impuesto sobre la Renta.</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V. </w:t>
      </w:r>
      <w:r w:rsidRPr="00CB470F">
        <w:rPr>
          <w:rFonts w:ascii="Verdana" w:hAnsi="Verdana"/>
          <w:sz w:val="20"/>
        </w:rPr>
        <w:t>      Los contribuyentes personas físicas distintas a las que se refiere la fracción anterior, que a partir del 1 de enero de 2020, perciban ingresos por la enajenación de bienes o la prestación de servicios a través de Internet, mediante plataformas tecnológicas, aplicaciones informáticas y similares, y hasta en tanto entren en vigor las disposiciones a que hace referencia la fracción III de este artículo, deberán pagar el impuesto sobre la renta por dichos ingresos conforme a la Sección I del Capítulo II del Título IV de la Ley del Impuesto sobre la Renta.</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xml:space="preserve">      Para los efectos de lo dispuesto en el artículo 113-B, inciso d) de la Ley del Impuesto sobre la Renta, las personas físicas que a la fecha de entrada en vigor de las disposiciones a que se refiere la fracción III de las presentes disposiciones Transitorias ya estén recibiendo ingresos por las actividades celebradas mediante plataformas </w:t>
      </w:r>
      <w:r w:rsidRPr="00CB470F">
        <w:rPr>
          <w:rFonts w:ascii="Verdana" w:hAnsi="Verdana"/>
          <w:sz w:val="20"/>
        </w:rPr>
        <w:lastRenderedPageBreak/>
        <w:t>tecnológicas, aplicaciones informáticas y similares, deberán presentar el aviso a más tardar el 30 de junio de 2020.</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Para los efectos de lo dispuesto en el artículo 113-C, fracción II de la Ley del Impuesto sobre la Renta, durante 2020 los residentes en el extranjero sin establecimiento permanente en el país, así como las entidades o figuras jurídicas extranjeras, en sustitución del comprobante fiscal a que se refiere dicha fracción, podrán expedir un comprobante de la retención efectuada que reúna los requisitos que establezca el Servicio de Administración Tributaria mediante reglas de carácter general que permitan identificar, entre otros aspectos, el monto, concepto, el tipo de operación y el Registro Federal de Contribuyentes de la persona a la que se le retiene el impuesto.</w:t>
      </w:r>
    </w:p>
    <w:p w:rsidR="00CB470F" w:rsidRPr="00CB470F" w:rsidRDefault="00CB470F" w:rsidP="00CB470F">
      <w:pPr>
        <w:rPr>
          <w:rFonts w:ascii="Verdana" w:hAnsi="Verdana"/>
          <w:sz w:val="20"/>
        </w:rPr>
      </w:pPr>
      <w:r w:rsidRPr="00CB470F">
        <w:rPr>
          <w:rFonts w:ascii="Verdana" w:hAnsi="Verdana"/>
          <w:b/>
          <w:bCs/>
          <w:sz w:val="20"/>
        </w:rPr>
        <w:t>VIII.</w:t>
      </w:r>
      <w:r w:rsidRPr="00CB470F">
        <w:rPr>
          <w:rFonts w:ascii="Verdana" w:hAnsi="Verdana"/>
          <w:sz w:val="20"/>
        </w:rPr>
        <w:t>    Para los efectos del cuarto párrafo del artículo 113-A de la Ley del Impuesto sobre la Renta, la primera actualización de las cantidades en moneda nacional de las tablas previstas en dicho artículo, deberá realizarse en la fecha en que se actualicen las cantidades en moneda nacional de la tarifa contenida en el artículo 152 de la citada Ley.</w:t>
      </w:r>
    </w:p>
    <w:p w:rsidR="00CB470F" w:rsidRPr="00CB470F" w:rsidRDefault="00CB470F" w:rsidP="00CB470F">
      <w:pPr>
        <w:rPr>
          <w:rFonts w:ascii="Verdana" w:hAnsi="Verdana"/>
          <w:sz w:val="20"/>
        </w:rPr>
      </w:pPr>
      <w:r w:rsidRPr="00CB470F">
        <w:rPr>
          <w:rFonts w:ascii="Verdana" w:hAnsi="Verdana"/>
          <w:b/>
          <w:bCs/>
          <w:sz w:val="20"/>
        </w:rPr>
        <w:t>IX.</w:t>
      </w:r>
      <w:r w:rsidRPr="00CB470F">
        <w:rPr>
          <w:rFonts w:ascii="Verdana" w:hAnsi="Verdana"/>
          <w:sz w:val="20"/>
        </w:rPr>
        <w:t>      Los residentes en el extranjero sin establecimiento permanente en el país que realicen actividades de maquila a través de empresas con programas de maquila bajo la modalidad de albergue de conformidad con lo previsto en el artículo 183 de la Ley del Impuesto sobre la Renta vigente hasta el 31 de diciembre de 2019, que a la entrada en vigor del presente Decreto se encuentren dentro del periodo de aplicación de 4 años a que se refiere el último párrafo de dicho artículo, podrán seguir aplicando lo dispuesto en el referido artículo hasta que concluya el periodo referido. Cuando se agote el periodo mencionado deberán aplicar lo dispuesto en los artículos 183 y 183-Bis de la Ley del Impuesto sobre la Renta vigente a partir del 1 de enero de 2020, a partir del mes siguiente al en que concluyan los 4 años.</w:t>
      </w:r>
    </w:p>
    <w:p w:rsidR="00CB470F" w:rsidRPr="00CB470F" w:rsidRDefault="00CB470F" w:rsidP="00CB470F">
      <w:pPr>
        <w:rPr>
          <w:rFonts w:ascii="Verdana" w:hAnsi="Verdana"/>
          <w:sz w:val="20"/>
        </w:rPr>
      </w:pPr>
      <w:r w:rsidRPr="00CB470F">
        <w:rPr>
          <w:rFonts w:ascii="Verdana" w:hAnsi="Verdana"/>
          <w:b/>
          <w:bCs/>
          <w:sz w:val="20"/>
        </w:rPr>
        <w:t>X.</w:t>
      </w:r>
      <w:r w:rsidRPr="00CB470F">
        <w:rPr>
          <w:rFonts w:ascii="Verdana" w:hAnsi="Verdana"/>
          <w:sz w:val="20"/>
        </w:rPr>
        <w:t>       Para efectos del artículo 187 de la Ley del Impuesto sobre la Renta, los certificados de participación que hayan sido adquiridos por un grupo de inversionistas integrado por al menos diez personas, que no sean partes relacionadas entre sí, en el que ninguna de ellas en lo individual hubiera sido propietaria de más del 20% de la totalidad de los certificados de participación emitidos, que al 31 de diciembre de 2019, hubieran aplicado el estímulo establecido en el artículo 187 de la Ley del Impuesto sobre la Renta que se abroga, estarán a lo siguiente:</w:t>
      </w:r>
    </w:p>
    <w:p w:rsidR="00CB470F" w:rsidRPr="00CB470F" w:rsidRDefault="00CB470F" w:rsidP="00CB470F">
      <w:pPr>
        <w:rPr>
          <w:rFonts w:ascii="Verdana" w:hAnsi="Verdana"/>
          <w:sz w:val="20"/>
        </w:rPr>
      </w:pPr>
      <w:r w:rsidRPr="00CB470F">
        <w:rPr>
          <w:rFonts w:ascii="Verdana" w:hAnsi="Verdana"/>
          <w:b/>
          <w:bCs/>
          <w:sz w:val="20"/>
        </w:rPr>
        <w:t>1.</w:t>
      </w:r>
      <w:r w:rsidRPr="00CB470F">
        <w:rPr>
          <w:rFonts w:ascii="Verdana" w:hAnsi="Verdana"/>
          <w:sz w:val="20"/>
        </w:rPr>
        <w:t>     Los fideicomitentes que aportaron bienes inmuebles al fideicomiso, acumularán la ganancia por la enajenación de los bienes aportados, cuando se actualice cualquiera de los siguientes supuestos:</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Enajenen los certificados de participación obtenidos por su aportación al fideicomiso, en la proporción que dichos certificados representen del total de los certificados que recibió el tenedor por la aportación del inmueble al fideicomiso, siempre que no se hubiera acumulado dicha ganancia previamente.</w:t>
      </w:r>
    </w:p>
    <w:p w:rsidR="00CB470F" w:rsidRPr="00CB470F" w:rsidRDefault="00CB470F" w:rsidP="00CB470F">
      <w:pPr>
        <w:rPr>
          <w:rFonts w:ascii="Verdana" w:hAnsi="Verdana"/>
          <w:sz w:val="20"/>
        </w:rPr>
      </w:pPr>
      <w:r w:rsidRPr="00CB470F">
        <w:rPr>
          <w:rFonts w:ascii="Verdana" w:hAnsi="Verdana"/>
          <w:b/>
          <w:bCs/>
          <w:sz w:val="20"/>
        </w:rPr>
        <w:lastRenderedPageBreak/>
        <w:t>b)</w:t>
      </w:r>
      <w:r w:rsidRPr="00CB470F">
        <w:rPr>
          <w:rFonts w:ascii="Verdana" w:hAnsi="Verdana"/>
          <w:sz w:val="20"/>
        </w:rPr>
        <w:t>    El fideicomiso enajene los bienes aportados, en la proporción que la parte que se enajene represente de los mismos bienes, siempre que no se hubiera acumulado dicha ganancia previamente.</w:t>
      </w:r>
    </w:p>
    <w:p w:rsidR="00CB470F" w:rsidRPr="00CB470F" w:rsidRDefault="00CB470F" w:rsidP="00CB470F">
      <w:pPr>
        <w:rPr>
          <w:rFonts w:ascii="Verdana" w:hAnsi="Verdana"/>
          <w:sz w:val="20"/>
        </w:rPr>
      </w:pPr>
      <w:r w:rsidRPr="00CB470F">
        <w:rPr>
          <w:rFonts w:ascii="Verdana" w:hAnsi="Verdana"/>
          <w:sz w:val="20"/>
        </w:rPr>
        <w:t>       Si al 31 de diciembre de 2021 no se han dado los supuestos a que se refieren los incisos anteriores, los tenedores de los certificados a que se refiere este numeral deberán acumular la totalidad de la ganancia por la enajenación de los bienes aportados que no se haya acumulado previamente, debiendo actualizar el impuesto que corresponda a la ganancia por la enajenación de los citados bienes, desde la aportación de los mismos y hasta que se presente la declaración anual correspondiente al ejercicio de 2021.</w:t>
      </w:r>
    </w:p>
    <w:p w:rsidR="00CB470F" w:rsidRPr="00CB470F" w:rsidRDefault="00CB470F" w:rsidP="00CB470F">
      <w:pPr>
        <w:rPr>
          <w:rFonts w:ascii="Verdana" w:hAnsi="Verdana"/>
          <w:sz w:val="20"/>
        </w:rPr>
      </w:pPr>
      <w:r w:rsidRPr="00CB470F">
        <w:rPr>
          <w:rFonts w:ascii="Verdana" w:hAnsi="Verdana"/>
          <w:b/>
          <w:bCs/>
          <w:sz w:val="20"/>
        </w:rPr>
        <w:t>2.</w:t>
      </w:r>
      <w:r w:rsidRPr="00CB470F">
        <w:rPr>
          <w:rFonts w:ascii="Verdana" w:hAnsi="Verdana"/>
          <w:sz w:val="20"/>
        </w:rPr>
        <w:t>     El impuesto correspondiente a la ganancia a que se refiere el primer párrafo del numeral anterior, se actualizará desde la aportación de los bienes inmuebles y hasta el mes en el que se acumule.</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XI.</w:t>
      </w:r>
      <w:r w:rsidRPr="00CB470F">
        <w:rPr>
          <w:rFonts w:ascii="Verdana" w:hAnsi="Verdana"/>
          <w:sz w:val="20"/>
        </w:rPr>
        <w:t>      Las referencias que otras disposiciones, ordenamientos, reglamentos o acuerdos hagan al artículo 106, último párrafo de la Ley del Impuesto sobre la Renta, se entenderán referidas al artículo 106, penúltimo párrafo, del mismo ordenamiento; en tanto que las que se hagan al artículo 116, último párrafo, de la Ley del Impuesto sobre la Renta, se entenderán referidas al artículo 116, penúltimo párrafo, del mismo ordenamiento.</w:t>
      </w:r>
    </w:p>
    <w:p w:rsidR="00CB470F" w:rsidRPr="00CB470F" w:rsidRDefault="00CB470F" w:rsidP="00CB470F">
      <w:pPr>
        <w:rPr>
          <w:rFonts w:ascii="Verdana" w:hAnsi="Verdana"/>
          <w:sz w:val="20"/>
        </w:rPr>
      </w:pPr>
      <w:r w:rsidRPr="00CB470F">
        <w:rPr>
          <w:rFonts w:ascii="Verdana" w:hAnsi="Verdana"/>
          <w:b/>
          <w:bCs/>
          <w:sz w:val="20"/>
        </w:rPr>
        <w:t>XII.</w:t>
      </w:r>
      <w:r w:rsidRPr="00CB470F">
        <w:rPr>
          <w:rFonts w:ascii="Verdana" w:hAnsi="Verdana"/>
          <w:sz w:val="20"/>
        </w:rPr>
        <w:t>     Los artículos 4-A y 205 de la Ley del Impuesto sobre la Renta entrarán en vigor el 1 de enero de 2021.</w:t>
      </w:r>
    </w:p>
    <w:p w:rsidR="00CB470F" w:rsidRPr="00CB470F" w:rsidRDefault="00CB470F" w:rsidP="00CB470F">
      <w:pPr>
        <w:rPr>
          <w:rFonts w:ascii="Verdana" w:hAnsi="Verdana"/>
          <w:sz w:val="20"/>
        </w:rPr>
      </w:pPr>
      <w:r w:rsidRPr="00CB470F">
        <w:rPr>
          <w:rFonts w:ascii="Verdana" w:hAnsi="Verdana"/>
          <w:b/>
          <w:bCs/>
          <w:sz w:val="20"/>
        </w:rPr>
        <w:t>XIII</w:t>
      </w:r>
      <w:r w:rsidRPr="00CB470F">
        <w:rPr>
          <w:rFonts w:ascii="Verdana" w:hAnsi="Verdana"/>
          <w:sz w:val="20"/>
        </w:rPr>
        <w:t>.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 en los términos establecidos en el Capítulo III de la Ley de Coordinación Fiscal. La recaudación de este impuesto no formará parte de la recaudación federal participable a que se refiere el artículo 2o. de la Ley de Coordinación Fiscal.</w:t>
      </w:r>
    </w:p>
    <w:p w:rsidR="00CB470F" w:rsidRPr="00CB470F" w:rsidRDefault="00CB470F" w:rsidP="00CB470F">
      <w:pPr>
        <w:rPr>
          <w:rFonts w:ascii="Verdana" w:hAnsi="Verdana"/>
          <w:sz w:val="20"/>
        </w:rPr>
      </w:pPr>
      <w:r w:rsidRPr="00CB470F">
        <w:rPr>
          <w:rFonts w:ascii="Verdana" w:hAnsi="Verdana"/>
          <w:sz w:val="20"/>
        </w:rPr>
        <w:t>         Las Entidades Federativas deberán participar cuando menos el 20% del incentivo señalado en el párrafo anterior, a sus municipios o demarcaciones territoriales que se distribuirá entre ellos en la forma que determine la legislatura respectiva.</w:t>
      </w:r>
    </w:p>
    <w:p w:rsidR="00CB470F" w:rsidRPr="00CB470F" w:rsidRDefault="00CB470F" w:rsidP="00CB470F">
      <w:pPr>
        <w:rPr>
          <w:rFonts w:ascii="Verdana" w:hAnsi="Verdana"/>
          <w:b/>
          <w:bCs/>
          <w:sz w:val="20"/>
        </w:rPr>
      </w:pPr>
      <w:r w:rsidRPr="00CB470F">
        <w:rPr>
          <w:rFonts w:ascii="Verdana" w:hAnsi="Verdana"/>
          <w:b/>
          <w:bCs/>
          <w:sz w:val="20"/>
        </w:rPr>
        <w:t>LEY DEL IMPUESTO AL VALOR AGREGADO</w:t>
      </w:r>
    </w:p>
    <w:p w:rsidR="00CB470F" w:rsidRPr="00CB470F" w:rsidRDefault="00CB470F" w:rsidP="00CB470F">
      <w:pPr>
        <w:rPr>
          <w:rFonts w:ascii="Verdana" w:hAnsi="Verdana"/>
          <w:sz w:val="20"/>
        </w:rPr>
      </w:pPr>
      <w:r w:rsidRPr="00CB470F">
        <w:rPr>
          <w:rFonts w:ascii="Verdana" w:hAnsi="Verdana"/>
          <w:b/>
          <w:bCs/>
          <w:sz w:val="20"/>
        </w:rPr>
        <w:t>Artículo Tercero.- </w:t>
      </w:r>
      <w:r w:rsidRPr="00CB470F">
        <w:rPr>
          <w:rFonts w:ascii="Verdana" w:hAnsi="Verdana"/>
          <w:sz w:val="20"/>
        </w:rPr>
        <w:t>Se </w:t>
      </w:r>
      <w:r w:rsidRPr="00CB470F">
        <w:rPr>
          <w:rFonts w:ascii="Verdana" w:hAnsi="Verdana"/>
          <w:b/>
          <w:bCs/>
          <w:sz w:val="20"/>
        </w:rPr>
        <w:t>reforman</w:t>
      </w:r>
      <w:r w:rsidRPr="00CB470F">
        <w:rPr>
          <w:rFonts w:ascii="Verdana" w:hAnsi="Verdana"/>
          <w:sz w:val="20"/>
        </w:rPr>
        <w:t> los artículos 1o., tercer párrafo; 5o., fracciones II y IV; 6o., primer y segundo párrafos; 7o., último párrafo; 8o., último párrafo; 15, fracción V; 17, segundo párrafo; 26, fracción IV; 29, fracción VI; 32, fracción VIII, y 33, primer párrafo, y se </w:t>
      </w:r>
      <w:r w:rsidRPr="00CB470F">
        <w:rPr>
          <w:rFonts w:ascii="Verdana" w:hAnsi="Verdana"/>
          <w:b/>
          <w:bCs/>
          <w:sz w:val="20"/>
        </w:rPr>
        <w:t>adicionan</w:t>
      </w:r>
      <w:r w:rsidRPr="00CB470F">
        <w:rPr>
          <w:rFonts w:ascii="Verdana" w:hAnsi="Verdana"/>
          <w:sz w:val="20"/>
        </w:rPr>
        <w:t xml:space="preserve"> los artículos 1o.-A, con una fracción IV; 1o.-A BIS; 9o., con una fracción X; 15, con una fracción VII; 16, con un cuarto párrafo, pasando </w:t>
      </w:r>
      <w:r w:rsidRPr="00CB470F">
        <w:rPr>
          <w:rFonts w:ascii="Verdana" w:hAnsi="Verdana"/>
          <w:sz w:val="20"/>
        </w:rPr>
        <w:lastRenderedPageBreak/>
        <w:t>el actual cuarto párrafo a ser quinto párrafo; un Capítulo III BIS denominado "De la prestación de servicios digitales por residentes en el extranjero sin establecimiento en México", con una Sección I "Disposiciones generales" que comprende los artículos 18-B, 18-C, 18-D, 18-E, 18-F, 18-G, 18-H y 18-I, y una Sección II "De los servicios digitales de intermediación entre terceros" que comprende los artículos 18-J, 18-K, 18-L y 18-M; 20, con una fracción I; 32, fracción V, con un tercer párrafo y 33, con un tercer párrafo, de la Ley del Impuesto al Valor Agregado, para quedar como sigue:</w:t>
      </w:r>
    </w:p>
    <w:p w:rsidR="00CB470F" w:rsidRPr="00CB470F" w:rsidRDefault="00CB470F" w:rsidP="00CB470F">
      <w:pPr>
        <w:rPr>
          <w:rFonts w:ascii="Verdana" w:hAnsi="Verdana"/>
          <w:sz w:val="20"/>
        </w:rPr>
      </w:pPr>
      <w:r w:rsidRPr="00CB470F">
        <w:rPr>
          <w:rFonts w:ascii="Verdana" w:hAnsi="Verdana"/>
          <w:b/>
          <w:bCs/>
          <w:sz w:val="20"/>
        </w:rPr>
        <w:t>Artículo 1o.-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El contribuyente trasladará dicho impuesto, en forma expresa y por separado, a las personas que adquieran los bienes, los usen o gocen temporalmente, o reciban los servicios. Se entenderá por traslado del impuesto el cobro o cargo que el contribuyente debe hacer a dichas personas de un monto equivalente al impuesto establecido en esta Ley, inclusive cuando se retenga en los términos de los artículos 1o.-A, 3o., tercer párrafo o 18-J, fracción II, inciso a)</w:t>
      </w:r>
      <w:r w:rsidRPr="00CB470F">
        <w:rPr>
          <w:rFonts w:ascii="Verdana" w:hAnsi="Verdana"/>
          <w:b/>
          <w:bCs/>
          <w:sz w:val="20"/>
        </w:rPr>
        <w:t> </w:t>
      </w:r>
      <w:r w:rsidRPr="00CB470F">
        <w:rPr>
          <w:rFonts w:ascii="Verdana" w:hAnsi="Verdana"/>
          <w:sz w:val="20"/>
        </w:rPr>
        <w:t>de la misma.</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1o.-A.-</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w:t>
      </w:r>
      <w:r w:rsidRPr="00CB470F">
        <w:rPr>
          <w:rFonts w:ascii="Verdana" w:hAnsi="Verdana"/>
          <w:b/>
          <w:bCs/>
          <w:sz w:val="20"/>
        </w:rPr>
        <w:t> III. ...</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Sean personas morales o personas físicas con actividades empresariales, que reciban servicios a través de los cuales se pongan a disposición del contratante o de una parte relacionada de éste, personal que desempeñe sus funciones en las instalaciones del contratante o de una parte relacionada de éste, o incluso fuera de éstas, estén o no bajo la dirección, supervisión, coordinación o dependencia del contratante, independientemente de la denominación que se le dé a la obligación contractual. En este caso la retención se hará por el 6% del valor de la contraprestación efectivamente pagada.</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1o.-A BIS.-</w:t>
      </w:r>
      <w:r w:rsidRPr="00CB470F">
        <w:rPr>
          <w:rFonts w:ascii="Verdana" w:hAnsi="Verdana"/>
          <w:sz w:val="20"/>
        </w:rPr>
        <w:t xml:space="preserve"> Los contribuyentes residentes en México que proporcionen los servicios digitales a que se refiere la fracción II del artículo 18-B de la presente Ley a receptores ubicados en territorio nacional, que operen como intermediarios en </w:t>
      </w:r>
      <w:r w:rsidRPr="00CB470F">
        <w:rPr>
          <w:rFonts w:ascii="Verdana" w:hAnsi="Verdana"/>
          <w:sz w:val="20"/>
        </w:rPr>
        <w:lastRenderedPageBreak/>
        <w:t>actividades realizadas por terceros afectas al pago del impuesto al valor agregado, además de las obligaciones establecidas en la misma, estarán obligados a cumplir con las obligaciones a que se refiere el artículo 18-J de este ordenamiento.</w:t>
      </w:r>
    </w:p>
    <w:p w:rsidR="00CB470F" w:rsidRPr="00CB470F" w:rsidRDefault="00CB470F" w:rsidP="00CB470F">
      <w:pPr>
        <w:rPr>
          <w:rFonts w:ascii="Verdana" w:hAnsi="Verdana"/>
          <w:sz w:val="20"/>
        </w:rPr>
      </w:pPr>
      <w:r w:rsidRPr="00CB470F">
        <w:rPr>
          <w:rFonts w:ascii="Verdana" w:hAnsi="Verdana"/>
          <w:sz w:val="20"/>
        </w:rPr>
        <w:t>Las personas físicas y las morales que realicen actividades afectas al pago del impuesto al valor agregado por conducto de los contribuyentes a que se refiere este artículo deberán estar a lo dispuesto en los artículos 18-K, 18-L y 18-M de esta Ley, según corresponda.</w:t>
      </w:r>
    </w:p>
    <w:p w:rsidR="00CB470F" w:rsidRPr="00CB470F" w:rsidRDefault="00CB470F" w:rsidP="00CB470F">
      <w:pPr>
        <w:rPr>
          <w:rFonts w:ascii="Verdana" w:hAnsi="Verdana"/>
          <w:sz w:val="20"/>
        </w:rPr>
      </w:pPr>
      <w:r w:rsidRPr="00CB470F">
        <w:rPr>
          <w:rFonts w:ascii="Verdana" w:hAnsi="Verdana"/>
          <w:b/>
          <w:bCs/>
          <w:sz w:val="20"/>
        </w:rPr>
        <w:t>Artículo 5o.-</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Que el impuesto al valor agregado haya sido trasladado expresamente al contribuyente y que conste por separado en los comprobantes fiscales a que se refiere la fracción III del artículo 32 de esta Ley;</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IV. </w:t>
      </w:r>
      <w:r w:rsidRPr="00CB470F">
        <w:rPr>
          <w:rFonts w:ascii="Verdana" w:hAnsi="Verdana"/>
          <w:sz w:val="20"/>
        </w:rPr>
        <w:t>     Que tratándose del impuesto al valor agregado trasladado que se hubiese retenido conforme a los artículos 1o.-A y 18-J, fracción II, inciso a)</w:t>
      </w:r>
      <w:r w:rsidRPr="00CB470F">
        <w:rPr>
          <w:rFonts w:ascii="Verdana" w:hAnsi="Verdana"/>
          <w:b/>
          <w:bCs/>
          <w:sz w:val="20"/>
        </w:rPr>
        <w:t> </w:t>
      </w:r>
      <w:r w:rsidRPr="00CB470F">
        <w:rPr>
          <w:rFonts w:ascii="Verdana" w:hAnsi="Verdana"/>
          <w:sz w:val="20"/>
        </w:rPr>
        <w:t>de esta Ley, dicha retención se entere en los términos y plazos establecidos en la misma. El impuesto retenido y enterado, podrá ser acreditado en la declaración de pago mensual siguiente a la declaración en la que se haya efectuado el entero de la retención;</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y</w:t>
      </w:r>
      <w:r w:rsidRPr="00CB470F">
        <w:rPr>
          <w:rFonts w:ascii="Verdana" w:hAnsi="Verdana"/>
          <w:b/>
          <w:bCs/>
          <w:sz w:val="20"/>
        </w:rPr>
        <w:t> VI. ...</w:t>
      </w:r>
    </w:p>
    <w:p w:rsidR="00CB470F" w:rsidRPr="00CB470F" w:rsidRDefault="00CB470F" w:rsidP="00CB470F">
      <w:pPr>
        <w:rPr>
          <w:rFonts w:ascii="Verdana" w:hAnsi="Verdana"/>
          <w:sz w:val="20"/>
        </w:rPr>
      </w:pPr>
      <w:r w:rsidRPr="00CB470F">
        <w:rPr>
          <w:rFonts w:ascii="Verdana" w:hAnsi="Verdana"/>
          <w:b/>
          <w:bCs/>
          <w:sz w:val="20"/>
        </w:rPr>
        <w:t>Artículo 6o.-</w:t>
      </w:r>
      <w:r w:rsidRPr="00CB470F">
        <w:rPr>
          <w:rFonts w:ascii="Verdana" w:hAnsi="Verdana"/>
          <w:sz w:val="20"/>
        </w:rPr>
        <w:t> Cuando en la declaración de pago resulte saldo a favor, el contribuyente únicamente podrá acreditarlo contra el impuesto a su cargo que le corresponda en los meses siguientes hasta agotarlo o solicitar su devolución. Cuando se solicite la devolución deberá ser sobre el total del saldo a favor.</w:t>
      </w:r>
    </w:p>
    <w:p w:rsidR="00CB470F" w:rsidRPr="00CB470F" w:rsidRDefault="00CB470F" w:rsidP="00CB470F">
      <w:pPr>
        <w:rPr>
          <w:rFonts w:ascii="Verdana" w:hAnsi="Verdana"/>
          <w:sz w:val="20"/>
        </w:rPr>
      </w:pPr>
      <w:r w:rsidRPr="00CB470F">
        <w:rPr>
          <w:rFonts w:ascii="Verdana" w:hAnsi="Verdana"/>
          <w:sz w:val="20"/>
        </w:rPr>
        <w:t>Los saldos cuya devolución se solicite no podrán acreditarse en declaraciones posteriores.</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7o.-</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xml:space="preserve">Lo dispuesto en este artículo no será aplicable cuando por los actos que sean objeto de la devolución, descuento o bonificación, se hubiere efectuado la retención y entero en los términos de los artículos 1o.-A, 3o., tercer párrafo o 18-J, fracción II, inciso a) de esta Ley. En este supuesto los contribuyentes deberán presentar declaración complementaria para cancelar los efectos de la operación respectiva, sin que las declaraciones complementarias presentadas exclusivamente por este concepto se </w:t>
      </w:r>
      <w:r w:rsidRPr="00CB470F">
        <w:rPr>
          <w:rFonts w:ascii="Verdana" w:hAnsi="Verdana"/>
          <w:sz w:val="20"/>
        </w:rPr>
        <w:lastRenderedPageBreak/>
        <w:t>computen dentro del límite establecido en el artículo 32 del Código Fiscal de la Federación.</w:t>
      </w:r>
    </w:p>
    <w:p w:rsidR="00CB470F" w:rsidRPr="00CB470F" w:rsidRDefault="00CB470F" w:rsidP="00CB470F">
      <w:pPr>
        <w:rPr>
          <w:rFonts w:ascii="Verdana" w:hAnsi="Verdana"/>
          <w:sz w:val="20"/>
        </w:rPr>
      </w:pPr>
      <w:r w:rsidRPr="00CB470F">
        <w:rPr>
          <w:rFonts w:ascii="Verdana" w:hAnsi="Verdana"/>
          <w:b/>
          <w:bCs/>
          <w:sz w:val="20"/>
        </w:rPr>
        <w:t>Artículo 8o.-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Cuando la transferencia de propiedad no llegue a efectuarse, se tendrá derecho a la devolución del impuesto al valor agregado correspondiente, siempre que se reúnan los requisitos establecidos en los párrafos primero y segundo del artículo 7o. de esta Ley. Cuando se hubiera retenido el impuesto en los términos de los artículos 1o.-A, 3o., tercer párrafo y 18-J, fracción II, inciso a) de esta Ley, no se tendrá derecho a la devolución del impuesto y se estará a lo dispuesto en el cuarto párrafo del citado artículo 7o. de esta Ley.</w:t>
      </w:r>
    </w:p>
    <w:p w:rsidR="00CB470F" w:rsidRPr="00CB470F" w:rsidRDefault="00CB470F" w:rsidP="00CB470F">
      <w:pPr>
        <w:rPr>
          <w:rFonts w:ascii="Verdana" w:hAnsi="Verdana"/>
          <w:sz w:val="20"/>
        </w:rPr>
      </w:pPr>
      <w:r w:rsidRPr="00CB470F">
        <w:rPr>
          <w:rFonts w:ascii="Verdana" w:hAnsi="Verdana"/>
          <w:b/>
          <w:bCs/>
          <w:sz w:val="20"/>
        </w:rPr>
        <w:t>Artículo 9o.-</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w:t>
      </w:r>
      <w:r w:rsidRPr="00CB470F">
        <w:rPr>
          <w:rFonts w:ascii="Verdana" w:hAnsi="Verdana"/>
          <w:b/>
          <w:bCs/>
          <w:sz w:val="20"/>
        </w:rPr>
        <w:t> IX. ...</w:t>
      </w:r>
    </w:p>
    <w:p w:rsidR="00CB470F" w:rsidRPr="00CB470F" w:rsidRDefault="00CB470F" w:rsidP="00CB470F">
      <w:pPr>
        <w:rPr>
          <w:rFonts w:ascii="Verdana" w:hAnsi="Verdana"/>
          <w:sz w:val="20"/>
        </w:rPr>
      </w:pPr>
      <w:r w:rsidRPr="00CB470F">
        <w:rPr>
          <w:rFonts w:ascii="Verdana" w:hAnsi="Verdana"/>
          <w:b/>
          <w:bCs/>
          <w:sz w:val="20"/>
        </w:rPr>
        <w:t>X.</w:t>
      </w:r>
      <w:r w:rsidRPr="00CB470F">
        <w:rPr>
          <w:rFonts w:ascii="Verdana" w:hAnsi="Verdana"/>
          <w:sz w:val="20"/>
        </w:rPr>
        <w:t>       La de bienes que realicen las personas morales autorizadas para recibir donativos deducibles para los efectos del impuesto sobre la renta.</w:t>
      </w:r>
    </w:p>
    <w:p w:rsidR="00CB470F" w:rsidRPr="00CB470F" w:rsidRDefault="00CB470F" w:rsidP="00CB470F">
      <w:pPr>
        <w:rPr>
          <w:rFonts w:ascii="Verdana" w:hAnsi="Verdana"/>
          <w:sz w:val="20"/>
        </w:rPr>
      </w:pPr>
      <w:r w:rsidRPr="00CB470F">
        <w:rPr>
          <w:rFonts w:ascii="Verdana" w:hAnsi="Verdana"/>
          <w:b/>
          <w:bCs/>
          <w:sz w:val="20"/>
        </w:rPr>
        <w:t>Artículo 15.-</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w:t>
      </w:r>
      <w:r w:rsidRPr="00CB470F">
        <w:rPr>
          <w:rFonts w:ascii="Verdana" w:hAnsi="Verdana"/>
          <w:b/>
          <w:bCs/>
          <w:sz w:val="20"/>
        </w:rPr>
        <w:t> IV. ...</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El transporte público terrestre de personas que se preste exclusivamente en áreas urbanas, suburbanas o en zonas metropolitanas. No se considera transporte público aquél que se contrata mediante plataformas de servicios digitales de intermediación entre terceros que sean oferentes de</w:t>
      </w:r>
    </w:p>
    <w:p w:rsidR="00CB470F" w:rsidRPr="00CB470F" w:rsidRDefault="00CB470F" w:rsidP="00CB470F">
      <w:pPr>
        <w:rPr>
          <w:rFonts w:ascii="Verdana" w:hAnsi="Verdana"/>
          <w:sz w:val="20"/>
        </w:rPr>
      </w:pPr>
      <w:r w:rsidRPr="00CB470F">
        <w:rPr>
          <w:rFonts w:ascii="Verdana" w:hAnsi="Verdana"/>
          <w:sz w:val="20"/>
        </w:rPr>
        <w:t>servicios de transporte y los demandantes de los mismos, cuando los vehículos con los que se proporcione el servicio sean de uso particular.</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Los prestados por las personas morales autorizadas para recibir donativos deducibles para los efectos del impuesto sobre la renta.</w:t>
      </w:r>
    </w:p>
    <w:p w:rsidR="00CB470F" w:rsidRPr="00CB470F" w:rsidRDefault="00CB470F" w:rsidP="00CB470F">
      <w:pPr>
        <w:rPr>
          <w:rFonts w:ascii="Verdana" w:hAnsi="Verdana"/>
          <w:sz w:val="20"/>
        </w:rPr>
      </w:pPr>
      <w:r w:rsidRPr="00CB470F">
        <w:rPr>
          <w:rFonts w:ascii="Verdana" w:hAnsi="Verdana"/>
          <w:b/>
          <w:bCs/>
          <w:sz w:val="20"/>
        </w:rPr>
        <w:t>VIII. </w:t>
      </w:r>
      <w:r w:rsidRPr="00CB470F">
        <w:rPr>
          <w:rFonts w:ascii="Verdana" w:hAnsi="Verdana"/>
          <w:sz w:val="20"/>
        </w:rPr>
        <w:t>a</w:t>
      </w:r>
      <w:r w:rsidRPr="00CB470F">
        <w:rPr>
          <w:rFonts w:ascii="Verdana" w:hAnsi="Verdana"/>
          <w:b/>
          <w:bCs/>
          <w:sz w:val="20"/>
        </w:rPr>
        <w:t> XVI. ...</w:t>
      </w:r>
    </w:p>
    <w:p w:rsidR="00CB470F" w:rsidRPr="00CB470F" w:rsidRDefault="00CB470F" w:rsidP="00CB470F">
      <w:pPr>
        <w:rPr>
          <w:rFonts w:ascii="Verdana" w:hAnsi="Verdana"/>
          <w:sz w:val="20"/>
        </w:rPr>
      </w:pPr>
      <w:r w:rsidRPr="00CB470F">
        <w:rPr>
          <w:rFonts w:ascii="Verdana" w:hAnsi="Verdana"/>
          <w:b/>
          <w:bCs/>
          <w:sz w:val="20"/>
        </w:rPr>
        <w:t>Artículo 16.-</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xml:space="preserve">Tratándose de los servicios digitales a que se refiere el artículo 18-B de esta Ley, prestados por residentes en el extranjero sin establecimiento en México, se considera que el servicio se presta en territorio nacional cuando el receptor del servicio se </w:t>
      </w:r>
      <w:r w:rsidRPr="00CB470F">
        <w:rPr>
          <w:rFonts w:ascii="Verdana" w:hAnsi="Verdana"/>
          <w:sz w:val="20"/>
        </w:rPr>
        <w:lastRenderedPageBreak/>
        <w:t>encuentre en dicho territorio y se estará a lo dispuesto en el Capítulo III BIS del presente ordenamiento.</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17.-</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Tratándose de la prestación de servicios en forma gratuita por los que se deba pagar el impuesto, éste se causará en el momento en que se proporcione el servicio.</w:t>
      </w:r>
    </w:p>
    <w:p w:rsidR="00CB470F" w:rsidRPr="00CB470F" w:rsidRDefault="00CB470F" w:rsidP="00CB470F">
      <w:pPr>
        <w:rPr>
          <w:rFonts w:ascii="Verdana" w:hAnsi="Verdana"/>
          <w:sz w:val="20"/>
        </w:rPr>
      </w:pPr>
      <w:r w:rsidRPr="00CB470F">
        <w:rPr>
          <w:rFonts w:ascii="Verdana" w:hAnsi="Verdana"/>
          <w:b/>
          <w:bCs/>
          <w:sz w:val="20"/>
        </w:rPr>
        <w:t>CAPÍTULO III BIS</w:t>
      </w:r>
    </w:p>
    <w:p w:rsidR="00CB470F" w:rsidRPr="00CB470F" w:rsidRDefault="00CB470F" w:rsidP="00CB470F">
      <w:pPr>
        <w:rPr>
          <w:rFonts w:ascii="Verdana" w:hAnsi="Verdana"/>
          <w:sz w:val="20"/>
        </w:rPr>
      </w:pPr>
      <w:r w:rsidRPr="00CB470F">
        <w:rPr>
          <w:rFonts w:ascii="Verdana" w:hAnsi="Verdana"/>
          <w:b/>
          <w:bCs/>
          <w:sz w:val="20"/>
        </w:rPr>
        <w:t>De la prestación de servicios digitales por residentes en el extranjero sin establecimiento en México</w:t>
      </w:r>
    </w:p>
    <w:p w:rsidR="00CB470F" w:rsidRPr="00CB470F" w:rsidRDefault="00CB470F" w:rsidP="00CB470F">
      <w:pPr>
        <w:rPr>
          <w:rFonts w:ascii="Verdana" w:hAnsi="Verdana"/>
          <w:sz w:val="20"/>
        </w:rPr>
      </w:pPr>
      <w:r w:rsidRPr="00CB470F">
        <w:rPr>
          <w:rFonts w:ascii="Verdana" w:hAnsi="Verdana"/>
          <w:b/>
          <w:bCs/>
          <w:sz w:val="20"/>
        </w:rPr>
        <w:t>Sección I</w:t>
      </w:r>
    </w:p>
    <w:p w:rsidR="00CB470F" w:rsidRPr="00CB470F" w:rsidRDefault="00CB470F" w:rsidP="00CB470F">
      <w:pPr>
        <w:rPr>
          <w:rFonts w:ascii="Verdana" w:hAnsi="Verdana"/>
          <w:sz w:val="20"/>
        </w:rPr>
      </w:pPr>
      <w:r w:rsidRPr="00CB470F">
        <w:rPr>
          <w:rFonts w:ascii="Verdana" w:hAnsi="Verdana"/>
          <w:b/>
          <w:bCs/>
          <w:sz w:val="20"/>
        </w:rPr>
        <w:t>Disposiciones generales</w:t>
      </w:r>
    </w:p>
    <w:p w:rsidR="00CB470F" w:rsidRPr="00CB470F" w:rsidRDefault="00CB470F" w:rsidP="00CB470F">
      <w:pPr>
        <w:rPr>
          <w:rFonts w:ascii="Verdana" w:hAnsi="Verdana"/>
          <w:sz w:val="20"/>
        </w:rPr>
      </w:pPr>
      <w:r w:rsidRPr="00CB470F">
        <w:rPr>
          <w:rFonts w:ascii="Verdana" w:hAnsi="Verdana"/>
          <w:b/>
          <w:bCs/>
          <w:sz w:val="20"/>
        </w:rPr>
        <w:t>Artículo 18-B.-</w:t>
      </w:r>
      <w:r w:rsidRPr="00CB470F">
        <w:rPr>
          <w:rFonts w:ascii="Verdana" w:hAnsi="Verdana"/>
          <w:sz w:val="20"/>
        </w:rPr>
        <w:t> Para los efectos de lo dispuesto en el cuarto párrafo del artículo 16 de la presente Ley, se consideran únicamente los servicios digitales que a continuación se mencionan, cuando éstos se proporcionen mediante aplicaciones o contenidos en formato digital a través de Internet u otra red, fundamentalmente automatizados, pudiendo o no requerir una intervención humana mínima, siempre que por los servicios mencionados se cobre una contraprestación:</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La descarga o acceso a imágenes, películas, texto, información, video, audio, música, juegos, incluyendo los juegos de azar, así como otros contenidos multimedia, ambientes multijugador, la obtención de tonos de móviles, la visualización de noticias en línea, información sobre el tráfico, pronósticos meteorológicos y estadísticas.</w:t>
      </w:r>
    </w:p>
    <w:p w:rsidR="00CB470F" w:rsidRPr="00CB470F" w:rsidRDefault="00CB470F" w:rsidP="00CB470F">
      <w:pPr>
        <w:rPr>
          <w:rFonts w:ascii="Verdana" w:hAnsi="Verdana"/>
          <w:sz w:val="20"/>
        </w:rPr>
      </w:pPr>
      <w:r w:rsidRPr="00CB470F">
        <w:rPr>
          <w:rFonts w:ascii="Verdana" w:hAnsi="Verdana"/>
          <w:sz w:val="20"/>
        </w:rPr>
        <w:t>         No se aplicará lo dispuesto en esta fracción a la descarga o acceso a libros, periódicos y revistas electrónicos.</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Los de intermediación entre terceros que sean oferentes de bienes o servicios y los demandantes de los mismos.</w:t>
      </w:r>
    </w:p>
    <w:p w:rsidR="00CB470F" w:rsidRPr="00CB470F" w:rsidRDefault="00CB470F" w:rsidP="00CB470F">
      <w:pPr>
        <w:rPr>
          <w:rFonts w:ascii="Verdana" w:hAnsi="Verdana"/>
          <w:sz w:val="20"/>
        </w:rPr>
      </w:pPr>
      <w:r w:rsidRPr="00CB470F">
        <w:rPr>
          <w:rFonts w:ascii="Verdana" w:hAnsi="Verdana"/>
          <w:sz w:val="20"/>
        </w:rPr>
        <w:t>         No se aplicará lo dispuesto en esta fracción, cuando se trate de servicios de intermediación que tengan por objeto la enajenación de bienes muebles usados.</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Clubes en línea y páginas de citas.</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La enseñanza a distancia o de test o ejercicios.</w:t>
      </w:r>
    </w:p>
    <w:p w:rsidR="00CB470F" w:rsidRPr="00CB470F" w:rsidRDefault="00CB470F" w:rsidP="00CB470F">
      <w:pPr>
        <w:rPr>
          <w:rFonts w:ascii="Verdana" w:hAnsi="Verdana"/>
          <w:sz w:val="20"/>
        </w:rPr>
      </w:pPr>
      <w:r w:rsidRPr="00CB470F">
        <w:rPr>
          <w:rFonts w:ascii="Verdana" w:hAnsi="Verdana"/>
          <w:b/>
          <w:bCs/>
          <w:sz w:val="20"/>
        </w:rPr>
        <w:t>Artículo 18-C.-</w:t>
      </w:r>
      <w:r w:rsidRPr="00CB470F">
        <w:rPr>
          <w:rFonts w:ascii="Verdana" w:hAnsi="Verdana"/>
          <w:sz w:val="20"/>
        </w:rPr>
        <w:t> Se considera que el receptor del servicio se encuentra en el territorio nacional cuando se dé cualquiera de los supuestos siguientes: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Que el receptor haya manifestado al prestador del servicio un domicilio ubicado en territorio nacional.</w:t>
      </w:r>
    </w:p>
    <w:p w:rsidR="00CB470F" w:rsidRPr="00CB470F" w:rsidRDefault="00CB470F" w:rsidP="00CB470F">
      <w:pPr>
        <w:rPr>
          <w:rFonts w:ascii="Verdana" w:hAnsi="Verdana"/>
          <w:sz w:val="20"/>
        </w:rPr>
      </w:pPr>
      <w:r w:rsidRPr="00CB470F">
        <w:rPr>
          <w:rFonts w:ascii="Verdana" w:hAnsi="Verdana"/>
          <w:b/>
          <w:bCs/>
          <w:sz w:val="20"/>
        </w:rPr>
        <w:lastRenderedPageBreak/>
        <w:t>II.</w:t>
      </w:r>
      <w:r w:rsidRPr="00CB470F">
        <w:rPr>
          <w:rFonts w:ascii="Verdana" w:hAnsi="Verdana"/>
          <w:sz w:val="20"/>
        </w:rPr>
        <w:t>       Que el receptor del servicio realice el pago al prestador del servicio mediante un intermediario ubicado en territorio nacional.</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Que la dirección IP que utilicen los dispositivos electrónicos del receptor del servicio corresponda al rango de direcciones asignadas a México.</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Que el receptor haya manifestado al prestador del servicio un número de teléfono, cuyo código de</w:t>
      </w:r>
    </w:p>
    <w:p w:rsidR="00CB470F" w:rsidRPr="00CB470F" w:rsidRDefault="00CB470F" w:rsidP="00CB470F">
      <w:pPr>
        <w:rPr>
          <w:rFonts w:ascii="Verdana" w:hAnsi="Verdana"/>
          <w:sz w:val="20"/>
        </w:rPr>
      </w:pPr>
      <w:r w:rsidRPr="00CB470F">
        <w:rPr>
          <w:rFonts w:ascii="Verdana" w:hAnsi="Verdana"/>
          <w:sz w:val="20"/>
        </w:rPr>
        <w:t>país corresponda a México.</w:t>
      </w:r>
    </w:p>
    <w:p w:rsidR="00CB470F" w:rsidRPr="00CB470F" w:rsidRDefault="00CB470F" w:rsidP="00CB470F">
      <w:pPr>
        <w:rPr>
          <w:rFonts w:ascii="Verdana" w:hAnsi="Verdana"/>
          <w:sz w:val="20"/>
        </w:rPr>
      </w:pPr>
      <w:r w:rsidRPr="00CB470F">
        <w:rPr>
          <w:rFonts w:ascii="Verdana" w:hAnsi="Verdana"/>
          <w:b/>
          <w:bCs/>
          <w:sz w:val="20"/>
        </w:rPr>
        <w:t>Artículo 18-D.-</w:t>
      </w:r>
      <w:r w:rsidRPr="00CB470F">
        <w:rPr>
          <w:rFonts w:ascii="Verdana" w:hAnsi="Verdana"/>
          <w:sz w:val="20"/>
        </w:rPr>
        <w:t> Los residentes en el extranjero sin establecimiento en México que proporcionen servicios digitales a receptores ubicados en territorio nacional, para los efectos de esta Ley, únicamente deberán cumplir con las obligaciones siguientes: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Inscribirse en el Registro Federal de Contribuyentes ante el Servicio de Administración Tributaria. La inscripción en el registro se realizará dentro de los 30 días naturales siguientes contados a partir de la fecha en que se proporcionen por primera vez los servicios digitales a un receptor ubicado en territorio nacional. El Servicio de Administración Tributaria dará a conocer en su página de Internet y en el Diario Oficial de la Federación la lista de los residentes en el extranjero que se encuentren registrados en el mismo.</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Ofertar y cobrar, conjuntamente con el precio de sus servicios digitales, el impuesto al valor agregado correspondiente en forma expresa y por separado.</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Proporcionar al Servicio de Administración Tributaria la información sobre el número de servicios u operaciones realizadas en cada mes de calendario con los receptores ubicados en territorio nacional que reciban sus servicios, clasificadas por tipo de servicios u operaciones y su precio, así como el número de los receptores mencionados, y mantener los registros base de la información presentada. Dicha información se deberá presentar en forma trimestral por los periodos comprendidos de enero, febrero y marzo; abril, mayo y junio; julio, agosto y septiembre, y octubre, noviembre y diciembre, de cada año, mediante declaración electrónica a más tardar el día 17 del mes siguiente al que corresponda el trimestre.</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Calcular en cada mes de calendario el impuesto al valor agregado correspondiente, aplicando la tasa del 16% a las contraprestaciones efectivamente cobradas en dicho mes y efectuar su pago mediante declaración electrónica que presentarán a más tardar el día 17 del mes siguiente de que se trate.</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Emitir y enviar vía electrónica a los receptores de los servicios digitales en territorio nacional los comprobantes correspondientes al pago de las contraprestaciones con el impuesto trasladado en forma expresa y por separado, cuando lo solicite el receptor de los servicios, mismos que deberán reunir los requisitos que permitan identificar a los prestadores de los servicios y a los receptores de los mismos.</w:t>
      </w:r>
    </w:p>
    <w:p w:rsidR="00CB470F" w:rsidRPr="00CB470F" w:rsidRDefault="00CB470F" w:rsidP="00CB470F">
      <w:pPr>
        <w:rPr>
          <w:rFonts w:ascii="Verdana" w:hAnsi="Verdana"/>
          <w:sz w:val="20"/>
        </w:rPr>
      </w:pPr>
      <w:r w:rsidRPr="00CB470F">
        <w:rPr>
          <w:rFonts w:ascii="Verdana" w:hAnsi="Verdana"/>
          <w:b/>
          <w:bCs/>
          <w:sz w:val="20"/>
        </w:rPr>
        <w:lastRenderedPageBreak/>
        <w:t>VI.</w:t>
      </w:r>
      <w:r w:rsidRPr="00CB470F">
        <w:rPr>
          <w:rFonts w:ascii="Verdana" w:hAnsi="Verdana"/>
          <w:sz w:val="20"/>
        </w:rPr>
        <w:t>      Designar ante el Servicio de Administración Tributaria cuando se lleve a cabo el registro a que se refiere la fracción I de este artículo un representante legal y proporcionar un domicilio en territorio nacional para efectos de notificación y vigilancia del cumplimiento de las obligaciones fiscales por las actividades a que se refiere el presente Capítulo.</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Tramitar su firma electrónica avanzada, conforme a lo dispuesto por el artículo 19-A del Código Fiscal de la Federación.</w:t>
      </w:r>
    </w:p>
    <w:p w:rsidR="00CB470F" w:rsidRPr="00CB470F" w:rsidRDefault="00CB470F" w:rsidP="00CB470F">
      <w:pPr>
        <w:rPr>
          <w:rFonts w:ascii="Verdana" w:hAnsi="Verdana"/>
          <w:sz w:val="20"/>
        </w:rPr>
      </w:pPr>
      <w:r w:rsidRPr="00CB470F">
        <w:rPr>
          <w:rFonts w:ascii="Verdana" w:hAnsi="Verdana"/>
          <w:sz w:val="20"/>
        </w:rPr>
        <w:t>Las obligaciones establecidas en las fracciones I, III, IV, V, VI y VII de este artículo, deberán cumplirse de conformidad con las reglas de carácter general que para tal efecto emita el Servicio de Administración Tributaria.</w:t>
      </w:r>
    </w:p>
    <w:p w:rsidR="00CB470F" w:rsidRPr="00CB470F" w:rsidRDefault="00CB470F" w:rsidP="00CB470F">
      <w:pPr>
        <w:rPr>
          <w:rFonts w:ascii="Verdana" w:hAnsi="Verdana"/>
          <w:sz w:val="20"/>
        </w:rPr>
      </w:pPr>
      <w:r w:rsidRPr="00CB470F">
        <w:rPr>
          <w:rFonts w:ascii="Verdana" w:hAnsi="Verdana"/>
          <w:b/>
          <w:bCs/>
          <w:sz w:val="20"/>
        </w:rPr>
        <w:t>Artículo 18-E.-</w:t>
      </w:r>
      <w:r w:rsidRPr="00CB470F">
        <w:rPr>
          <w:rFonts w:ascii="Verdana" w:hAnsi="Verdana"/>
          <w:sz w:val="20"/>
        </w:rPr>
        <w:t> El cumplimiento de las obligaciones a que se refiere el artículo 18-D de esta Ley, no dará lugar a que se considere que el residente en el extranjero constituye un establecimiento permanente en México.</w:t>
      </w:r>
    </w:p>
    <w:p w:rsidR="00CB470F" w:rsidRPr="00CB470F" w:rsidRDefault="00CB470F" w:rsidP="00CB470F">
      <w:pPr>
        <w:rPr>
          <w:rFonts w:ascii="Verdana" w:hAnsi="Verdana"/>
          <w:sz w:val="20"/>
        </w:rPr>
      </w:pPr>
      <w:r w:rsidRPr="00CB470F">
        <w:rPr>
          <w:rFonts w:ascii="Verdana" w:hAnsi="Verdana"/>
          <w:b/>
          <w:bCs/>
          <w:sz w:val="20"/>
        </w:rPr>
        <w:t>Artículo 18-F.-</w:t>
      </w:r>
      <w:r w:rsidRPr="00CB470F">
        <w:rPr>
          <w:rFonts w:ascii="Verdana" w:hAnsi="Verdana"/>
          <w:sz w:val="20"/>
        </w:rPr>
        <w:t> Los receptores de los servicios a que se refiere el presente Capítulo podrán acreditar el impuesto que les sea trasladado en forma expresa y por separado, siempre que cumplan con los requisitos que para tal efecto se establecen en esta Ley, con excepción de los aplicables a los comprobantes fiscales digitales por Internet. En sustitución de éstos, los comprobantes deberán reunir, al menos, los requisitos que se establezcan conforme a lo dispuesto en el artículo 18-D, fracción V de esta Ley.</w:t>
      </w:r>
    </w:p>
    <w:p w:rsidR="00CB470F" w:rsidRPr="00CB470F" w:rsidRDefault="00CB470F" w:rsidP="00CB470F">
      <w:pPr>
        <w:rPr>
          <w:rFonts w:ascii="Verdana" w:hAnsi="Verdana"/>
          <w:sz w:val="20"/>
        </w:rPr>
      </w:pPr>
      <w:r w:rsidRPr="00CB470F">
        <w:rPr>
          <w:rFonts w:ascii="Verdana" w:hAnsi="Verdana"/>
          <w:b/>
          <w:bCs/>
          <w:sz w:val="20"/>
        </w:rPr>
        <w:t>Artículo 18-G.-</w:t>
      </w:r>
      <w:r w:rsidRPr="00CB470F">
        <w:rPr>
          <w:rFonts w:ascii="Verdana" w:hAnsi="Verdana"/>
          <w:sz w:val="20"/>
        </w:rPr>
        <w:t> La omisión en el pago del impuesto, en el entero de las retenciones que, en su caso, deban efectuar y en la presentación de las declaraciones de pago e informativas, a que se refieren los artículos 18-D, fracciones III y IV, y 18-J, fracciones II, inciso b) y III de esta Ley, se sancionará de conformidad con lo dispuesto en la presente Ley y en el Código Fiscal de la Federación.</w:t>
      </w:r>
    </w:p>
    <w:p w:rsidR="00CB470F" w:rsidRPr="00CB470F" w:rsidRDefault="00CB470F" w:rsidP="00CB470F">
      <w:pPr>
        <w:rPr>
          <w:rFonts w:ascii="Verdana" w:hAnsi="Verdana"/>
          <w:sz w:val="20"/>
        </w:rPr>
      </w:pPr>
      <w:r w:rsidRPr="00CB470F">
        <w:rPr>
          <w:rFonts w:ascii="Verdana" w:hAnsi="Verdana"/>
          <w:b/>
          <w:bCs/>
          <w:sz w:val="20"/>
        </w:rPr>
        <w:t>Artículo 18-H.-</w:t>
      </w:r>
      <w:r w:rsidRPr="00CB470F">
        <w:rPr>
          <w:rFonts w:ascii="Verdana" w:hAnsi="Verdana"/>
          <w:sz w:val="20"/>
        </w:rPr>
        <w:t> Cuando los servicios digitales a que se refiere el artículo 18-B de esta Ley se ofrezcan de manera conjunta con otros servicios digitales no contemplados en dicho artículo, el impuesto al valor agregado se calculará aplicando la tasa del 16% únicamente a los servicios previstos en el artículo citado, siempre que en el comprobante respectivo se haga la separación de dichos servicios y que las contraprestaciones correspondientes a cada servicio correspondan a los precios que se hubieran cobrado de no haberse proporcionado los servicios en forma conjunta. Cuando no se haga la separación mencionada, la</w:t>
      </w:r>
    </w:p>
    <w:p w:rsidR="00CB470F" w:rsidRPr="00CB470F" w:rsidRDefault="00CB470F" w:rsidP="00CB470F">
      <w:pPr>
        <w:rPr>
          <w:rFonts w:ascii="Verdana" w:hAnsi="Verdana"/>
          <w:sz w:val="20"/>
        </w:rPr>
      </w:pPr>
      <w:r w:rsidRPr="00CB470F">
        <w:rPr>
          <w:rFonts w:ascii="Verdana" w:hAnsi="Verdana"/>
          <w:sz w:val="20"/>
        </w:rPr>
        <w:t>contraprestación cobrada se entenderá que corresponde en un 70% al monto de los servicios a que se refiere el artículo 18-B citado.</w:t>
      </w:r>
    </w:p>
    <w:p w:rsidR="00CB470F" w:rsidRPr="00CB470F" w:rsidRDefault="00CB470F" w:rsidP="00CB470F">
      <w:pPr>
        <w:rPr>
          <w:rFonts w:ascii="Verdana" w:hAnsi="Verdana"/>
          <w:sz w:val="20"/>
        </w:rPr>
      </w:pPr>
      <w:r w:rsidRPr="00CB470F">
        <w:rPr>
          <w:rFonts w:ascii="Verdana" w:hAnsi="Verdana"/>
          <w:b/>
          <w:bCs/>
          <w:sz w:val="20"/>
        </w:rPr>
        <w:t>Artículo 18-I.-</w:t>
      </w:r>
      <w:r w:rsidRPr="00CB470F">
        <w:rPr>
          <w:rFonts w:ascii="Verdana" w:hAnsi="Verdana"/>
          <w:sz w:val="20"/>
        </w:rPr>
        <w:t> Cuando los residentes en el extranjero sin establecimiento en México no se encuentren en la lista a que se refiere el artículo 18-D, fracción I de esta Ley, los receptores de los servicios ubicados en territorio nacional considerarán dichos servicios como importación en los términos del artículo 24, fracciones II, III o V de esta Ley, según corresponda, en cuyo caso deberán pagar el impuesto en los términos previstos en este ordenamiento.</w:t>
      </w:r>
    </w:p>
    <w:p w:rsidR="00CB470F" w:rsidRPr="00CB470F" w:rsidRDefault="00CB470F" w:rsidP="00CB470F">
      <w:pPr>
        <w:rPr>
          <w:rFonts w:ascii="Verdana" w:hAnsi="Verdana"/>
          <w:sz w:val="20"/>
        </w:rPr>
      </w:pPr>
      <w:r w:rsidRPr="00CB470F">
        <w:rPr>
          <w:rFonts w:ascii="Verdana" w:hAnsi="Verdana"/>
          <w:b/>
          <w:bCs/>
          <w:sz w:val="20"/>
        </w:rPr>
        <w:lastRenderedPageBreak/>
        <w:t>Sección II</w:t>
      </w:r>
    </w:p>
    <w:p w:rsidR="00CB470F" w:rsidRPr="00CB470F" w:rsidRDefault="00CB470F" w:rsidP="00CB470F">
      <w:pPr>
        <w:rPr>
          <w:rFonts w:ascii="Verdana" w:hAnsi="Verdana"/>
          <w:sz w:val="20"/>
        </w:rPr>
      </w:pPr>
      <w:r w:rsidRPr="00CB470F">
        <w:rPr>
          <w:rFonts w:ascii="Verdana" w:hAnsi="Verdana"/>
          <w:b/>
          <w:bCs/>
          <w:sz w:val="20"/>
        </w:rPr>
        <w:t>De los servicios digitales de intermediación entre terceros</w:t>
      </w:r>
    </w:p>
    <w:p w:rsidR="00CB470F" w:rsidRPr="00CB470F" w:rsidRDefault="00CB470F" w:rsidP="00CB470F">
      <w:pPr>
        <w:rPr>
          <w:rFonts w:ascii="Verdana" w:hAnsi="Verdana"/>
          <w:sz w:val="20"/>
        </w:rPr>
      </w:pPr>
      <w:r w:rsidRPr="00CB470F">
        <w:rPr>
          <w:rFonts w:ascii="Verdana" w:hAnsi="Verdana"/>
          <w:b/>
          <w:bCs/>
          <w:sz w:val="20"/>
        </w:rPr>
        <w:t>Artículo 18-J.-</w:t>
      </w:r>
      <w:r w:rsidRPr="00CB470F">
        <w:rPr>
          <w:rFonts w:ascii="Verdana" w:hAnsi="Verdana"/>
          <w:sz w:val="20"/>
        </w:rPr>
        <w:t> Los residentes en el extranjero sin establecimiento en México que proporcionen los servicios a que se refiere la fracción II del artículo 18-B de la presente Ley, que operen como intermediarios en actividades realizadas por terceros, afectas al pago del impuesto establecido en esta Ley, además de las obligaciones establecidas en la Sección I del presente Capítulo, estarán obligados a lo siguiente:</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Publicar en su página de Internet, aplicación, plataforma o cualquier otro medio similar, en forma expresa y por separado, el impuesto al valor agregado correspondiente al precio en que se ofertan los bienes o servicios por los enajenantes, prestadores de servicios u otorgantes del uso o goce temporal de bienes, en los que operan como intermediarios.</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Cuando cobren el precio y el impuesto al valor agregado correspondiente a las operaciones de intermediación por cuenta del enajenante de bienes, prestador del servicio u otorgante del uso o goce temporal de bienes, deberán:</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Retener a las personas físicas que enajenen bienes, presten servicios o concedan el uso o goce temporal de bienes, el 50% del impuesto al valor agregado cobrado. Tratándose de las personas a que se refiere este inciso, que no proporcionen a las personas mencionadas en el primer párrafo de este artículo la clave en el registro federal de contribuyentes, prevista en la fracción III, inciso b) del mismo, la retención se deberá efectuar al 100%.</w:t>
      </w:r>
      <w:r w:rsidRPr="00CB470F">
        <w:rPr>
          <w:rFonts w:ascii="Verdana" w:hAnsi="Verdana"/>
          <w:b/>
          <w:bCs/>
          <w:sz w:val="20"/>
        </w:rPr>
        <w:t> </w:t>
      </w:r>
      <w:r w:rsidRPr="00CB470F">
        <w:rPr>
          <w:rFonts w:ascii="Verdana" w:hAnsi="Verdana"/>
          <w:sz w:val="20"/>
        </w:rPr>
        <w:t>El retenedor sustituirá al enajenante, prestador del servicio u otorgante del uso o goce temporal de bienes en la obligación de pago del impuesto, en el monto correspondiente a la retención.</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Enterar la retención mediante declaración electrónica a más tardar el día 17 del mes siguiente a aquél en el que se hubiese efectuado.</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Expedir a cada persona física a la que le hubiera efectuado la retención un comprobante fiscal digital por Internet de Retenciones e información de pagos, a más tardar dentro de los cinco días siguientes al mes en el que se efectuó la retención.</w:t>
      </w:r>
    </w:p>
    <w:p w:rsidR="00CB470F" w:rsidRPr="00CB470F" w:rsidRDefault="00CB470F" w:rsidP="00CB470F">
      <w:pPr>
        <w:rPr>
          <w:rFonts w:ascii="Verdana" w:hAnsi="Verdana"/>
          <w:sz w:val="20"/>
        </w:rPr>
      </w:pPr>
      <w:r w:rsidRPr="00CB470F">
        <w:rPr>
          <w:rFonts w:ascii="Verdana" w:hAnsi="Verdana"/>
          <w:b/>
          <w:bCs/>
          <w:sz w:val="20"/>
        </w:rPr>
        <w:t>d)</w:t>
      </w:r>
      <w:r w:rsidRPr="00CB470F">
        <w:rPr>
          <w:rFonts w:ascii="Verdana" w:hAnsi="Verdana"/>
          <w:sz w:val="20"/>
        </w:rPr>
        <w:t>    Inscribirse en el Registro Federal de Contribuyentes ante el Servicio de Administración Tributaria como personas retenedoras.</w:t>
      </w:r>
    </w:p>
    <w:p w:rsidR="00CB470F" w:rsidRPr="00CB470F" w:rsidRDefault="00CB470F" w:rsidP="00CB470F">
      <w:pPr>
        <w:rPr>
          <w:rFonts w:ascii="Verdana" w:hAnsi="Verdana"/>
          <w:sz w:val="20"/>
        </w:rPr>
      </w:pPr>
      <w:r w:rsidRPr="00CB470F">
        <w:rPr>
          <w:rFonts w:ascii="Verdana" w:hAnsi="Verdana"/>
          <w:sz w:val="20"/>
        </w:rPr>
        <w:t>         Las obligaciones a que se refieren los incisos b), c) y d) de la presente fracción deberán cumplirse de conformidad con las reglas de carácter general que para tal efecto emita el Servicio de Administración Tributaria.</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Proporcionar al Servicio de Administración Tributaria la información que se lista a continuación de sus clientes enajenantes de bienes, prestadores de servicios u otorgantes del uso o goce temporal de bienes, en cuyas operaciones hayan actuado como intermediarios, aun cuando no hayan efectuado el cobro de la contraprestación y el impuesto al valor agregado correspondiente:</w:t>
      </w:r>
    </w:p>
    <w:p w:rsidR="00CB470F" w:rsidRPr="00CB470F" w:rsidRDefault="00CB470F" w:rsidP="00CB470F">
      <w:pPr>
        <w:rPr>
          <w:rFonts w:ascii="Verdana" w:hAnsi="Verdana"/>
          <w:sz w:val="20"/>
        </w:rPr>
      </w:pPr>
      <w:r w:rsidRPr="00CB470F">
        <w:rPr>
          <w:rFonts w:ascii="Verdana" w:hAnsi="Verdana"/>
          <w:b/>
          <w:bCs/>
          <w:sz w:val="20"/>
        </w:rPr>
        <w:lastRenderedPageBreak/>
        <w:t>a)</w:t>
      </w:r>
      <w:r w:rsidRPr="00CB470F">
        <w:rPr>
          <w:rFonts w:ascii="Verdana" w:hAnsi="Verdana"/>
          <w:sz w:val="20"/>
        </w:rPr>
        <w:t>    Nombre completo o razón social.</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Clave en el registro federal de contribuyentes.</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Clave única de registro de población.</w:t>
      </w:r>
    </w:p>
    <w:p w:rsidR="00CB470F" w:rsidRPr="00CB470F" w:rsidRDefault="00CB470F" w:rsidP="00CB470F">
      <w:pPr>
        <w:rPr>
          <w:rFonts w:ascii="Verdana" w:hAnsi="Verdana"/>
          <w:sz w:val="20"/>
        </w:rPr>
      </w:pPr>
      <w:r w:rsidRPr="00CB470F">
        <w:rPr>
          <w:rFonts w:ascii="Verdana" w:hAnsi="Verdana"/>
          <w:b/>
          <w:bCs/>
          <w:sz w:val="20"/>
        </w:rPr>
        <w:t>d)</w:t>
      </w:r>
      <w:r w:rsidRPr="00CB470F">
        <w:rPr>
          <w:rFonts w:ascii="Verdana" w:hAnsi="Verdana"/>
          <w:sz w:val="20"/>
        </w:rPr>
        <w:t>    Domicilio fiscal.</w:t>
      </w:r>
    </w:p>
    <w:p w:rsidR="00CB470F" w:rsidRPr="00CB470F" w:rsidRDefault="00CB470F" w:rsidP="00CB470F">
      <w:pPr>
        <w:rPr>
          <w:rFonts w:ascii="Verdana" w:hAnsi="Verdana"/>
          <w:sz w:val="20"/>
        </w:rPr>
      </w:pPr>
      <w:r w:rsidRPr="00CB470F">
        <w:rPr>
          <w:rFonts w:ascii="Verdana" w:hAnsi="Verdana"/>
          <w:b/>
          <w:bCs/>
          <w:sz w:val="20"/>
        </w:rPr>
        <w:t>e)</w:t>
      </w:r>
      <w:r w:rsidRPr="00CB470F">
        <w:rPr>
          <w:rFonts w:ascii="Verdana" w:hAnsi="Verdana"/>
          <w:sz w:val="20"/>
        </w:rPr>
        <w:t>    Institución financiera y clave interbancaria estandarizada en la cual se reciben los depósitos de los pagos.</w:t>
      </w:r>
    </w:p>
    <w:p w:rsidR="00CB470F" w:rsidRPr="00CB470F" w:rsidRDefault="00CB470F" w:rsidP="00CB470F">
      <w:pPr>
        <w:rPr>
          <w:rFonts w:ascii="Verdana" w:hAnsi="Verdana"/>
          <w:sz w:val="20"/>
        </w:rPr>
      </w:pPr>
      <w:r w:rsidRPr="00CB470F">
        <w:rPr>
          <w:rFonts w:ascii="Verdana" w:hAnsi="Verdana"/>
          <w:b/>
          <w:bCs/>
          <w:sz w:val="20"/>
        </w:rPr>
        <w:t>f)</w:t>
      </w:r>
      <w:r w:rsidRPr="00CB470F">
        <w:rPr>
          <w:rFonts w:ascii="Verdana" w:hAnsi="Verdana"/>
          <w:sz w:val="20"/>
        </w:rPr>
        <w:t>     Monto de las operaciones celebradas con su intermediación durante el período de que se trate, por cada enajenante de bienes, prestador de servicios u otorgante del uso o goce temporal de bienes.</w:t>
      </w:r>
    </w:p>
    <w:p w:rsidR="00CB470F" w:rsidRPr="00CB470F" w:rsidRDefault="00CB470F" w:rsidP="00CB470F">
      <w:pPr>
        <w:rPr>
          <w:rFonts w:ascii="Verdana" w:hAnsi="Verdana"/>
          <w:sz w:val="20"/>
        </w:rPr>
      </w:pPr>
      <w:r w:rsidRPr="00CB470F">
        <w:rPr>
          <w:rFonts w:ascii="Verdana" w:hAnsi="Verdana"/>
          <w:b/>
          <w:bCs/>
          <w:sz w:val="20"/>
        </w:rPr>
        <w:t>g)</w:t>
      </w:r>
      <w:r w:rsidRPr="00CB470F">
        <w:rPr>
          <w:rFonts w:ascii="Verdana" w:hAnsi="Verdana"/>
          <w:sz w:val="20"/>
        </w:rPr>
        <w:t>    Tratándose de servicios de hospedaje, la dirección del inmueble.</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         Dicha información deberá presentarse mensualmente a más tardar el día 10 del mes siguiente de que se trate, de conformidad con las reglas de carácter general que para tal efecto emita el Servicio de Administración Tributaria.</w:t>
      </w:r>
    </w:p>
    <w:p w:rsidR="00CB470F" w:rsidRPr="00CB470F" w:rsidRDefault="00CB470F" w:rsidP="00CB470F">
      <w:pPr>
        <w:rPr>
          <w:rFonts w:ascii="Verdana" w:hAnsi="Verdana"/>
          <w:sz w:val="20"/>
        </w:rPr>
      </w:pPr>
      <w:r w:rsidRPr="00CB470F">
        <w:rPr>
          <w:rFonts w:ascii="Verdana" w:hAnsi="Verdana"/>
          <w:sz w:val="20"/>
        </w:rPr>
        <w:t>         Para los efectos de lo dispuesto en los incisos a), b), c), d), e) y g) de esta fracción, las personas enajenantes de bienes, prestadores de servicios u otorgantes del uso o goce temporal de bienes, deberán proporcionar a los residentes en el extranjero sin establecimiento en México que les presten los servicios digitales de intermediación, la información a que se refieren los citados incisos.</w:t>
      </w:r>
    </w:p>
    <w:p w:rsidR="00CB470F" w:rsidRPr="00CB470F" w:rsidRDefault="00CB470F" w:rsidP="00CB470F">
      <w:pPr>
        <w:rPr>
          <w:rFonts w:ascii="Verdana" w:hAnsi="Verdana"/>
          <w:sz w:val="20"/>
        </w:rPr>
      </w:pPr>
      <w:r w:rsidRPr="00CB470F">
        <w:rPr>
          <w:rFonts w:ascii="Verdana" w:hAnsi="Verdana"/>
          <w:b/>
          <w:bCs/>
          <w:sz w:val="20"/>
        </w:rPr>
        <w:t>Artículo 18-K.-</w:t>
      </w:r>
      <w:r w:rsidRPr="00CB470F">
        <w:rPr>
          <w:rFonts w:ascii="Verdana" w:hAnsi="Verdana"/>
          <w:sz w:val="20"/>
        </w:rPr>
        <w:t> Las personas físicas y morales que realicen actividades sujetas al pago del impuesto al valor agregado por conducto de las personas a que se refiere el artículo 18-J de esta Ley, deberán estar a lo dispuesto por esta Ley y, adicionalmente, deberán ofertar el precio de sus bienes y servicios manifestando en forma expresa y por separado el monto del impuesto al valor agregado que corresponda.</w:t>
      </w:r>
    </w:p>
    <w:p w:rsidR="00CB470F" w:rsidRPr="00CB470F" w:rsidRDefault="00CB470F" w:rsidP="00CB470F">
      <w:pPr>
        <w:rPr>
          <w:rFonts w:ascii="Verdana" w:hAnsi="Verdana"/>
          <w:sz w:val="20"/>
        </w:rPr>
      </w:pPr>
      <w:r w:rsidRPr="00CB470F">
        <w:rPr>
          <w:rFonts w:ascii="Verdana" w:hAnsi="Verdana"/>
          <w:b/>
          <w:bCs/>
          <w:sz w:val="20"/>
        </w:rPr>
        <w:t>Artículo 18-L.-</w:t>
      </w:r>
      <w:r w:rsidRPr="00CB470F">
        <w:rPr>
          <w:rFonts w:ascii="Verdana" w:hAnsi="Verdana"/>
          <w:sz w:val="20"/>
        </w:rPr>
        <w:t> Para los efectos de lo dispuesto en el artículo 18-K de esta Ley, los contribuyentes personas físicas que hubieren obtenido ingresos hasta por un monto de $300,000.00 en el ejercicio inmediato anterior por las actividades realizadas con la intermediación de las personas a que se refiere el artículo 18-J de la misma, podrán ejercer la opción a que se refiere el artículo 18-M del presente ordenamiento, siempre que no reciban ingresos por otros conceptos, con excepción de los ingresos a que se refieren los Capítulos I y VI del Título IV de la Ley del Impuesto sobre la Renta, en cuyo caso sí podrán ejercer la opción mencionada.</w:t>
      </w:r>
    </w:p>
    <w:p w:rsidR="00CB470F" w:rsidRPr="00CB470F" w:rsidRDefault="00CB470F" w:rsidP="00CB470F">
      <w:pPr>
        <w:rPr>
          <w:rFonts w:ascii="Verdana" w:hAnsi="Verdana"/>
          <w:sz w:val="20"/>
        </w:rPr>
      </w:pPr>
      <w:r w:rsidRPr="00CB470F">
        <w:rPr>
          <w:rFonts w:ascii="Verdana" w:hAnsi="Verdana"/>
          <w:sz w:val="20"/>
        </w:rPr>
        <w:t xml:space="preserve">Los contribuyentes que inicien actividades podrán aplicar lo dispuesto en el párrafo anterior cuando estimen que sus ingresos del ejercicio no excederán al monto establecido en dicho párrafo. Cuando en el ejercicio inicial realicen operaciones por un período menor a doce meses, para determinar el monto citado, dividirán los ingresos obtenidos entre el número de días que comprenda el período y el resultado </w:t>
      </w:r>
      <w:r w:rsidRPr="00CB470F">
        <w:rPr>
          <w:rFonts w:ascii="Verdana" w:hAnsi="Verdana"/>
          <w:sz w:val="20"/>
        </w:rPr>
        <w:lastRenderedPageBreak/>
        <w:t>se multiplicará por 365 días. Si la cantidad obtenida excede del monto referido, en el ejercicio siguiente no se podrá tomar el beneficio del párrafo anterior.</w:t>
      </w:r>
    </w:p>
    <w:p w:rsidR="00CB470F" w:rsidRPr="00CB470F" w:rsidRDefault="00CB470F" w:rsidP="00CB470F">
      <w:pPr>
        <w:rPr>
          <w:rFonts w:ascii="Verdana" w:hAnsi="Verdana"/>
          <w:sz w:val="20"/>
        </w:rPr>
      </w:pPr>
      <w:r w:rsidRPr="00CB470F">
        <w:rPr>
          <w:rFonts w:ascii="Verdana" w:hAnsi="Verdana"/>
          <w:b/>
          <w:bCs/>
          <w:sz w:val="20"/>
        </w:rPr>
        <w:t>Artículo 18-M.-</w:t>
      </w:r>
      <w:r w:rsidRPr="00CB470F">
        <w:rPr>
          <w:rFonts w:ascii="Verdana" w:hAnsi="Verdana"/>
          <w:sz w:val="20"/>
        </w:rPr>
        <w:t> Los contribuyentes a que se refiere el artículo 18-L de esta Ley podrán optar por considerar la retención que se les haya efectuado en términos de la fracción II, inciso a) del artículo 18-J de la misma como definitiva, cuando las personas a que se refiere el citado artículo les haya efectuado la retención por la totalidad de las actividades realizadas con su intermediación.</w:t>
      </w:r>
    </w:p>
    <w:p w:rsidR="00CB470F" w:rsidRPr="00CB470F" w:rsidRDefault="00CB470F" w:rsidP="00CB470F">
      <w:pPr>
        <w:rPr>
          <w:rFonts w:ascii="Verdana" w:hAnsi="Verdana"/>
          <w:sz w:val="20"/>
        </w:rPr>
      </w:pPr>
      <w:r w:rsidRPr="00CB470F">
        <w:rPr>
          <w:rFonts w:ascii="Verdana" w:hAnsi="Verdana"/>
          <w:sz w:val="20"/>
        </w:rPr>
        <w:t>Los contribuyentes mencionados también podrán ejercer la opción cuando por las actividades celebradas con la intermediación de las personas a que se refiere el artículo 18-J de esta Ley, el cobro de algunas actividades se haya realizado por dichas personas y otras directamente por el contribuyente, siempre que en este último caso el contribuyente presente una declaración mensual por los cobros de las contraprestaciones realizados directamente, aplicando una tasa del 8%.</w:t>
      </w:r>
    </w:p>
    <w:p w:rsidR="00CB470F" w:rsidRPr="00CB470F" w:rsidRDefault="00CB470F" w:rsidP="00CB470F">
      <w:pPr>
        <w:rPr>
          <w:rFonts w:ascii="Verdana" w:hAnsi="Verdana"/>
          <w:sz w:val="20"/>
        </w:rPr>
      </w:pPr>
      <w:r w:rsidRPr="00CB470F">
        <w:rPr>
          <w:rFonts w:ascii="Verdana" w:hAnsi="Verdana"/>
          <w:sz w:val="20"/>
        </w:rPr>
        <w:t>Quienes ejerzan la opción mencionada estarán a lo siguiente:</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Deberán inscribirse en el Registro Federal de Contribuyentes ante el Servicio de Administración Tributaria.</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No tendrán derecho a efectuar acreditamiento o disminución alguna por sus gastos e inversiones respecto del impuesto calculado con la tasa del 8%.</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Conservarán el comprobante fiscal digital por Internet de retenciones e información de pagos que les proporcionen las personas que les efectuaron la retención del impuesto al valor agregado.</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Expedirán el comprobante fiscal digital por Internet a los adquirentes de bienes o servicios.</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Presentarán un aviso de opción ante el Servicio de Administración Tributaria, conforme a las reglas de carácter general que para tal efecto emita dicho órgano, dentro de los treinta días siguientes a aquél en el que el contribuyente perciba el primer cobro por las actividades celebradas por conducto de las personas a que se refiere el artículo 18-J de esta Ley.</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Quedarán relevados de presentar declaraciones informativas.</w:t>
      </w:r>
    </w:p>
    <w:p w:rsidR="00CB470F" w:rsidRPr="00CB470F" w:rsidRDefault="00CB470F" w:rsidP="00CB470F">
      <w:pPr>
        <w:rPr>
          <w:rFonts w:ascii="Verdana" w:hAnsi="Verdana"/>
          <w:sz w:val="20"/>
        </w:rPr>
      </w:pPr>
      <w:r w:rsidRPr="00CB470F">
        <w:rPr>
          <w:rFonts w:ascii="Verdana" w:hAnsi="Verdana"/>
          <w:sz w:val="20"/>
        </w:rPr>
        <w:t>Una vez ejercida la opción a que se refiere este artículo, ésta no podrá variarse durante el período de cinco años contados a partir de la fecha en que el contribuyente haya presentado el aviso a que se refiere la fracción IV del párrafo anterior. Cuando el contribuyente deje de estar en los supuestos a que se refiere el artículo 18-L de esta Ley, cesará el ejercicio de la opción prevista en el presente artículo y no podrá volver a ejercerla.</w:t>
      </w:r>
    </w:p>
    <w:p w:rsidR="00CB470F" w:rsidRPr="00CB470F" w:rsidRDefault="00CB470F" w:rsidP="00CB470F">
      <w:pPr>
        <w:rPr>
          <w:rFonts w:ascii="Verdana" w:hAnsi="Verdana"/>
          <w:sz w:val="20"/>
        </w:rPr>
      </w:pPr>
      <w:r w:rsidRPr="00CB470F">
        <w:rPr>
          <w:rFonts w:ascii="Verdana" w:hAnsi="Verdana"/>
          <w:b/>
          <w:bCs/>
          <w:sz w:val="20"/>
        </w:rPr>
        <w:t>Artículo 20.-</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lastRenderedPageBreak/>
        <w:t>I.</w:t>
      </w:r>
      <w:r w:rsidRPr="00CB470F">
        <w:rPr>
          <w:rFonts w:ascii="Verdana" w:hAnsi="Verdana"/>
          <w:sz w:val="20"/>
        </w:rPr>
        <w:t>        Los otorgados por las personas morales autorizadas para recibir donativos deducibles para los efectos del impuesto sobre la renta.</w:t>
      </w:r>
    </w:p>
    <w:p w:rsidR="00CB470F" w:rsidRPr="00CB470F" w:rsidRDefault="00CB470F" w:rsidP="00CB470F">
      <w:pPr>
        <w:rPr>
          <w:rFonts w:ascii="Verdana" w:hAnsi="Verdana"/>
          <w:sz w:val="20"/>
        </w:rPr>
      </w:pPr>
      <w:r w:rsidRPr="00CB470F">
        <w:rPr>
          <w:rFonts w:ascii="Verdana" w:hAnsi="Verdana"/>
          <w:b/>
          <w:bCs/>
          <w:sz w:val="20"/>
        </w:rPr>
        <w:t>II. </w:t>
      </w:r>
      <w:r w:rsidRPr="00CB470F">
        <w:rPr>
          <w:rFonts w:ascii="Verdana" w:hAnsi="Verdana"/>
          <w:sz w:val="20"/>
        </w:rPr>
        <w:t>a</w:t>
      </w:r>
      <w:r w:rsidRPr="00CB470F">
        <w:rPr>
          <w:rFonts w:ascii="Verdana" w:hAnsi="Verdana"/>
          <w:b/>
          <w:bCs/>
          <w:sz w:val="20"/>
        </w:rPr>
        <w:t> V. ...</w:t>
      </w:r>
    </w:p>
    <w:p w:rsidR="00CB470F" w:rsidRPr="00CB470F" w:rsidRDefault="00CB470F" w:rsidP="00CB470F">
      <w:pPr>
        <w:rPr>
          <w:rFonts w:ascii="Verdana" w:hAnsi="Verdana"/>
          <w:sz w:val="20"/>
        </w:rPr>
      </w:pPr>
      <w:r w:rsidRPr="00CB470F">
        <w:rPr>
          <w:rFonts w:ascii="Verdana" w:hAnsi="Verdana"/>
          <w:b/>
          <w:bCs/>
          <w:sz w:val="20"/>
        </w:rPr>
        <w:t>Artículo 26.-</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w:t>
      </w:r>
      <w:r w:rsidRPr="00CB470F">
        <w:rPr>
          <w:rFonts w:ascii="Verdana" w:hAnsi="Verdana"/>
          <w:b/>
          <w:bCs/>
          <w:sz w:val="20"/>
        </w:rPr>
        <w:t> III. ...</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En el caso de aprovechamiento en territorio nacional de servicios prestados por no residentes en el país, en el momento en el que se pague efectivamente la contraprestación.</w:t>
      </w:r>
    </w:p>
    <w:p w:rsidR="00CB470F" w:rsidRPr="00CB470F" w:rsidRDefault="00CB470F" w:rsidP="00CB470F">
      <w:pPr>
        <w:rPr>
          <w:rFonts w:ascii="Verdana" w:hAnsi="Verdana"/>
          <w:sz w:val="20"/>
        </w:rPr>
      </w:pPr>
      <w:r w:rsidRPr="00CB470F">
        <w:rPr>
          <w:rFonts w:ascii="Verdana" w:hAnsi="Verdana"/>
          <w:b/>
          <w:bCs/>
          <w:sz w:val="20"/>
        </w:rPr>
        <w:t>Artículo 29.-</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w:t>
      </w:r>
      <w:r w:rsidRPr="00CB470F">
        <w:rPr>
          <w:rFonts w:ascii="Verdana" w:hAnsi="Verdana"/>
          <w:b/>
          <w:bCs/>
          <w:sz w:val="20"/>
        </w:rPr>
        <w:t> V. ...</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La transportación aérea de personas y de bienes, prestada por residentes en el país, por la parte del servicio que en los términos del tercer párrafo del artículo 16 de esta Ley no se considera prestada en territorio nacional.</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32.-</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w:t>
      </w:r>
      <w:r w:rsidRPr="00CB470F">
        <w:rPr>
          <w:rFonts w:ascii="Verdana" w:hAnsi="Verdana"/>
          <w:b/>
          <w:bCs/>
          <w:sz w:val="20"/>
        </w:rPr>
        <w:t> IV. ...</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Las personas morales obligadas a efectuar la retención del impuesto en los términos del artículo 1o.-A, fracción II, inciso a) de esta Ley, podrán optar por no proporcionar el comprobante fiscal a que se refiere el primer párrafo de esta fracción, siempre que la persona física que preste los servicios profesionales o haya otorgado el uso o goce temporal de bienes, les expida un comprobante fiscal que cumpla con los requisitos a que se refieren los artículos 29 y 29-A del Código Fiscal de la Federación y en el comprobante se señale expresamente el monto del impuesto retenido. En este caso, las personas físicas que expidan el comprobante fiscal podrán considerarlo como constancia de retención del impuesto y efectuar el acreditamiento del mismo en los términos de las disposiciones fiscales. Lo previsto en este párrafo en ningún caso libera a las personas morales de efectuar, en tiempo y forma, la retención y entero del impuesto y la presentación de las declaraciones informativas correspondientes, en los términos de las disposiciones fiscales respecto de las personas a las que les hubieran efectuado dichas retenciones.</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y </w:t>
      </w:r>
      <w:r w:rsidRPr="00CB470F">
        <w:rPr>
          <w:rFonts w:ascii="Verdana" w:hAnsi="Verdana"/>
          <w:b/>
          <w:bCs/>
          <w:sz w:val="20"/>
        </w:rPr>
        <w:t>VII.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VIII.</w:t>
      </w:r>
      <w:r w:rsidRPr="00CB470F">
        <w:rPr>
          <w:rFonts w:ascii="Verdana" w:hAnsi="Verdana"/>
          <w:sz w:val="20"/>
        </w:rPr>
        <w:t>    Proporcionar mensualmente a las autoridades fiscales, a través de los medios y formatos electrónicos que señale el Servicio de Administración Tributaria, la información correspondiente sobre el pago, retención, acreditamiento y traslado del impuesto al valor agregado en las operaciones con sus proveedores, desglosando el valor de los actos o actividades por tasa a la cual trasladó o le fue trasladado el impuesto al valor agregado, incluyendo actividades por las que el contribuyente no está obligado al pago, dicha información se presentará, a más tardar el día 17 del mes inmediato posterior al que corresponda dicha información.</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33.-</w:t>
      </w:r>
      <w:r w:rsidRPr="00CB470F">
        <w:rPr>
          <w:rFonts w:ascii="Verdana" w:hAnsi="Verdana"/>
          <w:sz w:val="20"/>
        </w:rPr>
        <w:t> Cuando se enajene un bien o se preste un servicio en forma accidental, por los que se deba pagar impuesto en los términos de esta Ley, el contribuyente lo pagará mediante declaración que presentará en las oficinas autorizadas, dentro de los 15 días siguientes a aquél en el que obtenga la contraprestación, sin que contra dicho pago se acepte acreditamiento. En las importaciones a que se refieren las fracciones II, III y V del artículo 24 de esta Ley, que se realicen en forma ocasional, el pago se hará en los términos antes mencionados. En las importaciones ocasionales de bienes tangibles</w:t>
      </w:r>
      <w:r w:rsidRPr="00CB470F">
        <w:rPr>
          <w:rFonts w:ascii="Verdana" w:hAnsi="Verdana"/>
          <w:b/>
          <w:bCs/>
          <w:sz w:val="20"/>
        </w:rPr>
        <w:t> </w:t>
      </w:r>
      <w:r w:rsidRPr="00CB470F">
        <w:rPr>
          <w:rFonts w:ascii="Verdana" w:hAnsi="Verdana"/>
          <w:sz w:val="20"/>
        </w:rPr>
        <w:t>el pago se hará como lo establece el artículo 28 de esta Ley. En estos casos no formulará declaración mensual ni llevará contabilidad; pero deberá expedir los comprobantes fiscales a que se refiere la fracción III del artículo 32 de esta Ley y conservarlos durante el plazo a que se refiere el artículo 30, tercer párrafo del Código Fiscal de la Federación.</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Tratándose de juicios de arrendamiento inmobiliario en los que se condene al arrendatario al pago de las rentas vencidas, la autoridad judicial requerirá al acreedor que compruebe haber emitido los comprobantes fiscales correspondientes. En caso de que el acreedor no acredite haber emitido dichos comprobantes, la autoridad judicial deberá informar al Servicio de Administración Tributaria la omisión mencionada en un plazo</w:t>
      </w:r>
    </w:p>
    <w:p w:rsidR="00CB470F" w:rsidRPr="00CB470F" w:rsidRDefault="00CB470F" w:rsidP="00CB470F">
      <w:pPr>
        <w:rPr>
          <w:rFonts w:ascii="Verdana" w:hAnsi="Verdana"/>
          <w:sz w:val="20"/>
        </w:rPr>
      </w:pPr>
      <w:r w:rsidRPr="00CB470F">
        <w:rPr>
          <w:rFonts w:ascii="Verdana" w:hAnsi="Verdana"/>
          <w:sz w:val="20"/>
        </w:rPr>
        <w:t>máximo de 5 días contados a partir del vencimiento del plazo que la autoridad judicial haya otorgado al acreedor para cumplir el requerimiento. La información mencionada deberá enviarse al órgano desconcentrado mencionado de conformidad con las reglas de carácter general que al efecto emita dicho órgano.</w:t>
      </w:r>
    </w:p>
    <w:p w:rsidR="00CB470F" w:rsidRPr="00CB470F" w:rsidRDefault="00CB470F" w:rsidP="00CB470F">
      <w:pPr>
        <w:rPr>
          <w:rFonts w:ascii="Verdana" w:hAnsi="Verdana"/>
          <w:sz w:val="20"/>
        </w:rPr>
      </w:pPr>
      <w:r w:rsidRPr="00CB470F">
        <w:rPr>
          <w:rFonts w:ascii="Verdana" w:hAnsi="Verdana"/>
          <w:b/>
          <w:bCs/>
          <w:sz w:val="20"/>
        </w:rPr>
        <w:t>DISPOSICIONES TRANSITORIAS DE LA LEY DEL IMPUESTO AL VALOR AGREGADO</w:t>
      </w:r>
    </w:p>
    <w:p w:rsidR="00CB470F" w:rsidRPr="00CB470F" w:rsidRDefault="00CB470F" w:rsidP="00CB470F">
      <w:pPr>
        <w:rPr>
          <w:rFonts w:ascii="Verdana" w:hAnsi="Verdana"/>
          <w:sz w:val="20"/>
        </w:rPr>
      </w:pPr>
      <w:r w:rsidRPr="00CB470F">
        <w:rPr>
          <w:rFonts w:ascii="Verdana" w:hAnsi="Verdana"/>
          <w:b/>
          <w:bCs/>
          <w:sz w:val="20"/>
        </w:rPr>
        <w:t>Artículo Cuarto.-</w:t>
      </w:r>
      <w:r w:rsidRPr="00CB470F">
        <w:rPr>
          <w:rFonts w:ascii="Verdana" w:hAnsi="Verdana"/>
          <w:sz w:val="20"/>
        </w:rPr>
        <w:t> En relación con las modificaciones a que se refiere el Artículo Tercero de este Decreto, se estará a lo siguiente:</w:t>
      </w:r>
    </w:p>
    <w:p w:rsidR="00CB470F" w:rsidRPr="00CB470F" w:rsidRDefault="00CB470F" w:rsidP="00CB470F">
      <w:pPr>
        <w:rPr>
          <w:rFonts w:ascii="Verdana" w:hAnsi="Verdana"/>
          <w:sz w:val="20"/>
        </w:rPr>
      </w:pPr>
      <w:r w:rsidRPr="00CB470F">
        <w:rPr>
          <w:rFonts w:ascii="Verdana" w:hAnsi="Verdana"/>
          <w:b/>
          <w:bCs/>
          <w:sz w:val="20"/>
        </w:rPr>
        <w:lastRenderedPageBreak/>
        <w:t>I.</w:t>
      </w:r>
      <w:r w:rsidRPr="00CB470F">
        <w:rPr>
          <w:rFonts w:ascii="Verdana" w:hAnsi="Verdana"/>
          <w:sz w:val="20"/>
        </w:rPr>
        <w:t>        Las adiciones del artículo 1o.-A BIS, un cuarto párrafo al artículo 16 y el Capítulo III BIS a la Ley del Impuesto al Valor Agregado entrarán en vigor el 1 de junio de 2020.</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El Servicio de Administración Tributaria emitirá las reglas de carácter general a que se refiere el Capítulo III BIS de la Ley del Impuesto al Valor Agregado a más tardar el 31 de enero de 2020.</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Para los efectos de lo dispuesto en el artículo 18-D de la Ley del Impuesto al Valor Agregado, los residentes en el extranjero sin establecimiento en México que a la fecha de la entrada en vigor de las disposiciones a que se refiere la fracción I de este artículo, ya estén prestando servicios digitales a receptores ubicados en territorio nacional deberán cumplir con las obligaciones a que se refieren las fracciones I y VI del artículo 18-D, a más tardar el 30 de junio de 2020.</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Para los efectos de lo dispuesto en el artículo 18-M, fracción V de la Ley del Impuesto al Valor Agregado, los contribuyentes que a la fecha de la entrada en vigor de las disposiciones a que se refiere la fracción I de este artículo ya estén recibiendo cobros por las actividades celebradas mediante las personas a que se refiere el artículo 18-J de dicho ordenamiento, deberán presentar el aviso a más tardar el 30 de junio de 2020.</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Para los efectos de lo dispuesto en el artículo 18-J, fracción II, inciso c) de la Ley del Impuesto al Valor Agregado, durante 2020 los residentes en el extranjero sin establecimiento en México que proporcionen los servicios a que se refiere el artículo 18-B, fracción II de dicha Ley, en sustitución del comprobante fiscal digital por Internet de Retenciones e información de pagos, podrán expedir un comprobante de la retención efectuada que reúna los requisitos que establezca el Servicio de Administración Tributaria mediante reglas de carácter general que permitan identificar, entre otros aspectos, el monto, concepto, el tipo de operación y el registro federal de contribuyentes de la persona a quien se le retiene el impuesto.</w:t>
      </w:r>
    </w:p>
    <w:p w:rsidR="00CB470F" w:rsidRPr="00CB470F" w:rsidRDefault="00CB470F" w:rsidP="00CB470F">
      <w:pPr>
        <w:rPr>
          <w:rFonts w:ascii="Verdana" w:hAnsi="Verdana"/>
          <w:b/>
          <w:bCs/>
          <w:sz w:val="20"/>
        </w:rPr>
      </w:pPr>
      <w:r w:rsidRPr="00CB470F">
        <w:rPr>
          <w:rFonts w:ascii="Verdana" w:hAnsi="Verdana"/>
          <w:b/>
          <w:bCs/>
          <w:sz w:val="20"/>
        </w:rPr>
        <w:t>LEY DEL IMPUESTO ESPECIAL SOBRE PRODUCCIÓN Y SERVICIOS</w:t>
      </w:r>
    </w:p>
    <w:p w:rsidR="00CB470F" w:rsidRPr="00CB470F" w:rsidRDefault="00CB470F" w:rsidP="00CB470F">
      <w:pPr>
        <w:rPr>
          <w:rFonts w:ascii="Verdana" w:hAnsi="Verdana"/>
          <w:sz w:val="20"/>
        </w:rPr>
      </w:pPr>
      <w:r w:rsidRPr="00CB470F">
        <w:rPr>
          <w:rFonts w:ascii="Verdana" w:hAnsi="Verdana"/>
          <w:b/>
          <w:bCs/>
          <w:sz w:val="20"/>
        </w:rPr>
        <w:t>Artículo Quinto.- </w:t>
      </w:r>
      <w:r w:rsidRPr="00CB470F">
        <w:rPr>
          <w:rFonts w:ascii="Verdana" w:hAnsi="Verdana"/>
          <w:sz w:val="20"/>
        </w:rPr>
        <w:t>Se </w:t>
      </w:r>
      <w:r w:rsidRPr="00CB470F">
        <w:rPr>
          <w:rFonts w:ascii="Verdana" w:hAnsi="Verdana"/>
          <w:b/>
          <w:bCs/>
          <w:sz w:val="20"/>
        </w:rPr>
        <w:t>reforman</w:t>
      </w:r>
      <w:r w:rsidRPr="00CB470F">
        <w:rPr>
          <w:rFonts w:ascii="Verdana" w:hAnsi="Verdana"/>
          <w:sz w:val="20"/>
        </w:rPr>
        <w:t> los artículos 2o., fracción I, incisos D), numeral 1, subincisos a y b, y tercer párrafo, G), cuarto párrafo y H), tercer y cuarto párrafos; 2o.-A, fracciones I y II y tercer párrafo; 3o., fracciones IX, X, XVII, primer párrafo y XXII, incisos d) y g); 5o., actuales cuarto, quinto y sexto párrafos; 5o.-D, quinto, sexto y séptimo párrafos; 10, primer párrafo; 11, cuarto párrafo; 14, tercer párrafo y 19, fracciones I y XIX; se </w:t>
      </w:r>
      <w:r w:rsidRPr="00CB470F">
        <w:rPr>
          <w:rFonts w:ascii="Verdana" w:hAnsi="Verdana"/>
          <w:b/>
          <w:bCs/>
          <w:sz w:val="20"/>
        </w:rPr>
        <w:t>adicionan</w:t>
      </w:r>
      <w:r w:rsidRPr="00CB470F">
        <w:rPr>
          <w:rFonts w:ascii="Verdana" w:hAnsi="Verdana"/>
          <w:sz w:val="20"/>
        </w:rPr>
        <w:t> el artículo 2o., fracción I, incisos C), con un cuarto párrafo y D), con un cuarto párrafo, y se </w:t>
      </w:r>
      <w:r w:rsidRPr="00CB470F">
        <w:rPr>
          <w:rFonts w:ascii="Verdana" w:hAnsi="Verdana"/>
          <w:b/>
          <w:bCs/>
          <w:sz w:val="20"/>
        </w:rPr>
        <w:t>derogan</w:t>
      </w:r>
      <w:r w:rsidRPr="00CB470F">
        <w:rPr>
          <w:rFonts w:ascii="Verdana" w:hAnsi="Verdana"/>
          <w:sz w:val="20"/>
        </w:rPr>
        <w:t> los artículos 2o.-C; 3o., fracción XI; 5o., tercer párrafo, pasando los actuales cuarto a octavo párrafos a ser tercero a séptimo párrafos, respectivamente, y 19, fracciones XX y XXI, de la Ley del Impuesto Especial sobre Producción y Servicios, para quedar como sigue:</w:t>
      </w:r>
    </w:p>
    <w:p w:rsidR="00CB470F" w:rsidRPr="00CB470F" w:rsidRDefault="00CB470F" w:rsidP="00CB470F">
      <w:pPr>
        <w:rPr>
          <w:rFonts w:ascii="Verdana" w:hAnsi="Verdana"/>
          <w:sz w:val="20"/>
        </w:rPr>
      </w:pPr>
      <w:r w:rsidRPr="00CB470F">
        <w:rPr>
          <w:rFonts w:ascii="Verdana" w:hAnsi="Verdana"/>
          <w:b/>
          <w:bCs/>
          <w:sz w:val="20"/>
        </w:rPr>
        <w:t>Artículo 2o.-</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A) </w:t>
      </w:r>
      <w:r w:rsidRPr="00CB470F">
        <w:rPr>
          <w:rFonts w:ascii="Verdana" w:hAnsi="Verdana"/>
          <w:sz w:val="20"/>
        </w:rPr>
        <w:t>y</w:t>
      </w:r>
      <w:r w:rsidRPr="00CB470F">
        <w:rPr>
          <w:rFonts w:ascii="Verdana" w:hAnsi="Verdana"/>
          <w:b/>
          <w:bCs/>
          <w:sz w:val="20"/>
        </w:rPr>
        <w:t> B) ...</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La cuota a que se refieren los párrafos anteriores, se actualizará anualmente y entrará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w:t>
      </w:r>
    </w:p>
    <w:p w:rsidR="00CB470F" w:rsidRPr="00CB470F" w:rsidRDefault="00CB470F" w:rsidP="00CB470F">
      <w:pPr>
        <w:rPr>
          <w:rFonts w:ascii="Verdana" w:hAnsi="Verdana"/>
          <w:sz w:val="20"/>
        </w:rPr>
      </w:pPr>
      <w:r w:rsidRPr="00CB470F">
        <w:rPr>
          <w:rFonts w:ascii="Verdana" w:hAnsi="Verdana"/>
          <w:sz w:val="20"/>
        </w:rPr>
        <w:t>conformidad con el artículo 17-A del Código Fiscal de la Federación. La Secretaría de Hacienda y Crédito Público publicará el factor de actualización en el Diario Oficial de la Federación durante el mes de diciembre de cada año, así como la cuota actualizada, misma que se expresará hasta el diezmilésimo.</w:t>
      </w:r>
    </w:p>
    <w:p w:rsidR="00CB470F" w:rsidRPr="00CB470F" w:rsidRDefault="00CB470F" w:rsidP="00CB470F">
      <w:pPr>
        <w:rPr>
          <w:rFonts w:ascii="Verdana" w:hAnsi="Verdana"/>
          <w:sz w:val="20"/>
        </w:rPr>
      </w:pPr>
      <w:r w:rsidRPr="00CB470F">
        <w:rPr>
          <w:rFonts w:ascii="Verdana" w:hAnsi="Verdana"/>
          <w:b/>
          <w:bCs/>
          <w:sz w:val="20"/>
        </w:rPr>
        <w:t>D)</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1.</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Gasolina menor a 91 octanos .......................................... 4.81 pesos por litro.</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Gasolina mayor o igual a 91 octanos ................................. 4.06 pesos por litro.</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2.</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Las cantidades señaladas en el presente inciso, se actualizarán anualmente y entrarán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 así como la cuota actualizada, misma que se expresará hasta el diezmilésimo.</w:t>
      </w:r>
    </w:p>
    <w:p w:rsidR="00CB470F" w:rsidRPr="00CB470F" w:rsidRDefault="00CB470F" w:rsidP="00CB470F">
      <w:pPr>
        <w:rPr>
          <w:rFonts w:ascii="Verdana" w:hAnsi="Verdana"/>
          <w:sz w:val="20"/>
        </w:rPr>
      </w:pPr>
      <w:r w:rsidRPr="00CB470F">
        <w:rPr>
          <w:rFonts w:ascii="Verdana" w:hAnsi="Verdana"/>
          <w:sz w:val="20"/>
        </w:rPr>
        <w:t>       Cuando los bienes a que se refiere este inciso estén mezclados, la cuota se calculará conforme a la cantidad que en la mezcla tenga cada combustible. Tratándose de la importación o enajenación de dichas mezclas, los contribuyentes deberán consignar la cantidad de cada uno de los combustibles que se contengan en la mezcla en el pedimento de importación o en el comprobante fiscal, según corresponda.</w:t>
      </w:r>
    </w:p>
    <w:p w:rsidR="00CB470F" w:rsidRPr="00CB470F" w:rsidRDefault="00CB470F" w:rsidP="00CB470F">
      <w:pPr>
        <w:rPr>
          <w:rFonts w:ascii="Verdana" w:hAnsi="Verdana"/>
          <w:sz w:val="20"/>
        </w:rPr>
      </w:pPr>
      <w:r w:rsidRPr="00CB470F">
        <w:rPr>
          <w:rFonts w:ascii="Verdana" w:hAnsi="Verdana"/>
          <w:b/>
          <w:bCs/>
          <w:sz w:val="20"/>
        </w:rPr>
        <w:t>E) </w:t>
      </w:r>
      <w:r w:rsidRPr="00CB470F">
        <w:rPr>
          <w:rFonts w:ascii="Verdana" w:hAnsi="Verdana"/>
          <w:sz w:val="20"/>
        </w:rPr>
        <w:t>y </w:t>
      </w:r>
      <w:r w:rsidRPr="00CB470F">
        <w:rPr>
          <w:rFonts w:ascii="Verdana" w:hAnsi="Verdana"/>
          <w:b/>
          <w:bCs/>
          <w:sz w:val="20"/>
        </w:rPr>
        <w:t>F) ...</w:t>
      </w:r>
    </w:p>
    <w:p w:rsidR="00CB470F" w:rsidRPr="00CB470F" w:rsidRDefault="00CB470F" w:rsidP="00CB470F">
      <w:pPr>
        <w:rPr>
          <w:rFonts w:ascii="Verdana" w:hAnsi="Verdana"/>
          <w:sz w:val="20"/>
        </w:rPr>
      </w:pPr>
      <w:r w:rsidRPr="00CB470F">
        <w:rPr>
          <w:rFonts w:ascii="Verdana" w:hAnsi="Verdana"/>
          <w:b/>
          <w:bCs/>
          <w:sz w:val="20"/>
        </w:rPr>
        <w:lastRenderedPageBreak/>
        <w:t>G)</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La cuota a que se refiere este inciso se actualizará anualmente y entrará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 así como la cuota actualizada, misma que se expresará hasta el diezmilésimo.</w:t>
      </w:r>
    </w:p>
    <w:p w:rsidR="00CB470F" w:rsidRPr="00CB470F" w:rsidRDefault="00CB470F" w:rsidP="00CB470F">
      <w:pPr>
        <w:rPr>
          <w:rFonts w:ascii="Verdana" w:hAnsi="Verdana"/>
          <w:sz w:val="20"/>
        </w:rPr>
      </w:pPr>
      <w:r w:rsidRPr="00CB470F">
        <w:rPr>
          <w:rFonts w:ascii="Verdana" w:hAnsi="Verdana"/>
          <w:b/>
          <w:bCs/>
          <w:sz w:val="20"/>
        </w:rPr>
        <w:t>H)</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Cuando los bienes a que se refiere este inciso estén mezclados, la cuota se calculará conforme a la cantidad que en la mezcla tenga cada combustible. Tratándose de la importación o enajenación de dichas mezclas, los contribuyentes deberán consignar la cantidad de cada uno de los combustibles que se contengan en la mezcla en el pedimento de importación o en el comprobante fiscal, según corresponda.</w:t>
      </w:r>
    </w:p>
    <w:p w:rsidR="00CB470F" w:rsidRPr="00CB470F" w:rsidRDefault="00CB470F" w:rsidP="00CB470F">
      <w:pPr>
        <w:rPr>
          <w:rFonts w:ascii="Verdana" w:hAnsi="Verdana"/>
          <w:sz w:val="20"/>
        </w:rPr>
      </w:pPr>
      <w:r w:rsidRPr="00CB470F">
        <w:rPr>
          <w:rFonts w:ascii="Verdana" w:hAnsi="Verdana"/>
          <w:sz w:val="20"/>
        </w:rPr>
        <w:t>       Las cantidades señaladas en el presente inciso, se actualizarán anualmente y entrarán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w:t>
      </w:r>
    </w:p>
    <w:p w:rsidR="00CB470F" w:rsidRPr="00CB470F" w:rsidRDefault="00CB470F" w:rsidP="00CB470F">
      <w:pPr>
        <w:rPr>
          <w:rFonts w:ascii="Verdana" w:hAnsi="Verdana"/>
          <w:sz w:val="20"/>
        </w:rPr>
      </w:pPr>
      <w:r w:rsidRPr="00CB470F">
        <w:rPr>
          <w:rFonts w:ascii="Verdana" w:hAnsi="Verdana"/>
          <w:sz w:val="20"/>
        </w:rPr>
        <w:t>Federación durante el mes de diciembre de cada año, así como la cuota actualizada, misma que se expresará hasta el diezmilésimo.</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y </w:t>
      </w:r>
      <w:r w:rsidRPr="00CB470F">
        <w:rPr>
          <w:rFonts w:ascii="Verdana" w:hAnsi="Verdana"/>
          <w:b/>
          <w:bCs/>
          <w:sz w:val="20"/>
        </w:rPr>
        <w:t>J) ...</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y </w:t>
      </w:r>
      <w:r w:rsidRPr="00CB470F">
        <w:rPr>
          <w:rFonts w:ascii="Verdana" w:hAnsi="Verdana"/>
          <w:b/>
          <w:bCs/>
          <w:sz w:val="20"/>
        </w:rPr>
        <w:t>III.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2o.-A.-</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Gasolina menor a 91 octanos 42.43 centavos por litro.</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Gasolina mayor o igual a 91 octanos 51.77 centavos por litro.</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lastRenderedPageBreak/>
        <w:t>Las cuotas establecidas en el presente artículo, se actualizarán anualmente y entrarán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 así como la cuota actualizada, misma que se expresará hasta el diezmilésimo.</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2o.-C.-</w:t>
      </w:r>
      <w:r w:rsidRPr="00CB470F">
        <w:rPr>
          <w:rFonts w:ascii="Verdana" w:hAnsi="Verdana"/>
          <w:sz w:val="20"/>
        </w:rPr>
        <w:t> (Se deroga).</w:t>
      </w:r>
    </w:p>
    <w:p w:rsidR="00CB470F" w:rsidRPr="00CB470F" w:rsidRDefault="00CB470F" w:rsidP="00CB470F">
      <w:pPr>
        <w:rPr>
          <w:rFonts w:ascii="Verdana" w:hAnsi="Verdana"/>
          <w:sz w:val="20"/>
        </w:rPr>
      </w:pPr>
      <w:r w:rsidRPr="00CB470F">
        <w:rPr>
          <w:rFonts w:ascii="Verdana" w:hAnsi="Verdana"/>
          <w:b/>
          <w:bCs/>
          <w:sz w:val="20"/>
        </w:rPr>
        <w:t>Artículo 3o.- ...</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 </w:t>
      </w:r>
      <w:r w:rsidRPr="00CB470F">
        <w:rPr>
          <w:rFonts w:ascii="Verdana" w:hAnsi="Verdana"/>
          <w:b/>
          <w:bCs/>
          <w:sz w:val="20"/>
        </w:rPr>
        <w:t>VIII. ...</w:t>
      </w:r>
    </w:p>
    <w:p w:rsidR="00CB470F" w:rsidRPr="00CB470F" w:rsidRDefault="00CB470F" w:rsidP="00CB470F">
      <w:pPr>
        <w:rPr>
          <w:rFonts w:ascii="Verdana" w:hAnsi="Verdana"/>
          <w:sz w:val="20"/>
        </w:rPr>
      </w:pPr>
      <w:r w:rsidRPr="00CB470F">
        <w:rPr>
          <w:rFonts w:ascii="Verdana" w:hAnsi="Verdana"/>
          <w:b/>
          <w:bCs/>
          <w:sz w:val="20"/>
        </w:rPr>
        <w:t>IX.</w:t>
      </w:r>
      <w:r w:rsidRPr="00CB470F">
        <w:rPr>
          <w:rFonts w:ascii="Verdana" w:hAnsi="Verdana"/>
          <w:sz w:val="20"/>
        </w:rPr>
        <w:t>      Para los efectos de lo dispuesto en los artículos 2o., fracción I, incisos D) y H), y 2o.-A de esta Ley se entenderá por:</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Combustibles automotrices: gasolinas, diésel, combustibles no fósiles o la mezcla de cualquiera de los combustibles mencionados.</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Gasolina, combustible líquido que se puede obtener del proceso de refinación del petróleo crudo o mediante procesos alternativos que pueden utilizar como insumo materias primas que tuvieron su origen en el petróleo formado por la mezcla de hidrocarburos líquidos volátiles, principalmente parafinas ramificadas, aromáticos, naftenos y olefinas, pudiendo contener otros compuestos provenientes de otras fuentes, que se clasifica en función del número de octano.</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Diésel, combustible líquido que puede obtenerse del proceso de refinación del petróleo crudo o mediante procesos alternativos que pueden utilizar como insumo materias primas que tuvieron su origen en el petróleo, formado por la mezcla compleja de hidrocarburos, principalmente parafinas no ramificadas, pudiendo contener otros compuestos provenientes de otras fuentes, con independencia del uso al que se destine.</w:t>
      </w:r>
    </w:p>
    <w:p w:rsidR="00CB470F" w:rsidRPr="00CB470F" w:rsidRDefault="00CB470F" w:rsidP="00CB470F">
      <w:pPr>
        <w:rPr>
          <w:rFonts w:ascii="Verdana" w:hAnsi="Verdana"/>
          <w:sz w:val="20"/>
        </w:rPr>
      </w:pPr>
      <w:r w:rsidRPr="00CB470F">
        <w:rPr>
          <w:rFonts w:ascii="Verdana" w:hAnsi="Verdana"/>
          <w:b/>
          <w:bCs/>
          <w:sz w:val="20"/>
        </w:rPr>
        <w:t>d)</w:t>
      </w:r>
      <w:r w:rsidRPr="00CB470F">
        <w:rPr>
          <w:rFonts w:ascii="Verdana" w:hAnsi="Verdana"/>
          <w:sz w:val="20"/>
        </w:rPr>
        <w:t>    Combustibles no fósiles, combustibles o componentes de combustibles que no se obtienen o derivan de un proceso de destilación de petróleo crudo o del procesamiento de gas natural.</w:t>
      </w:r>
    </w:p>
    <w:p w:rsidR="00CB470F" w:rsidRPr="00CB470F" w:rsidRDefault="00CB470F" w:rsidP="00CB470F">
      <w:pPr>
        <w:rPr>
          <w:rFonts w:ascii="Verdana" w:hAnsi="Verdana"/>
          <w:sz w:val="20"/>
        </w:rPr>
      </w:pPr>
      <w:r w:rsidRPr="00CB470F">
        <w:rPr>
          <w:rFonts w:ascii="Verdana" w:hAnsi="Verdana"/>
          <w:b/>
          <w:bCs/>
          <w:sz w:val="20"/>
        </w:rPr>
        <w:lastRenderedPageBreak/>
        <w:t>X.</w:t>
      </w:r>
      <w:r w:rsidRPr="00CB470F">
        <w:rPr>
          <w:rFonts w:ascii="Verdana" w:hAnsi="Verdana"/>
          <w:sz w:val="20"/>
        </w:rPr>
        <w:t>       Etanol para uso automotriz, alcohol tipo etanol anhidro con contenido de agua menor o igual a 1 por ciento y que cumpla con las especificaciones de calidad y características como biocombustible puro, que emita la autoridad competente.</w:t>
      </w:r>
    </w:p>
    <w:p w:rsidR="00CB470F" w:rsidRPr="00CB470F" w:rsidRDefault="00CB470F" w:rsidP="00CB470F">
      <w:pPr>
        <w:rPr>
          <w:rFonts w:ascii="Verdana" w:hAnsi="Verdana"/>
          <w:sz w:val="20"/>
        </w:rPr>
      </w:pPr>
      <w:r w:rsidRPr="00CB470F">
        <w:rPr>
          <w:rFonts w:ascii="Verdana" w:hAnsi="Verdana"/>
          <w:b/>
          <w:bCs/>
          <w:sz w:val="20"/>
        </w:rPr>
        <w:t>XI.</w:t>
      </w:r>
      <w:r w:rsidRPr="00CB470F">
        <w:rPr>
          <w:rFonts w:ascii="Verdana" w:hAnsi="Verdana"/>
          <w:sz w:val="20"/>
        </w:rPr>
        <w:t>      (Se deroga).</w:t>
      </w:r>
    </w:p>
    <w:p w:rsidR="00CB470F" w:rsidRPr="00CB470F" w:rsidRDefault="00CB470F" w:rsidP="00CB470F">
      <w:pPr>
        <w:rPr>
          <w:rFonts w:ascii="Verdana" w:hAnsi="Verdana"/>
          <w:sz w:val="20"/>
        </w:rPr>
      </w:pPr>
      <w:r w:rsidRPr="00CB470F">
        <w:rPr>
          <w:rFonts w:ascii="Verdana" w:hAnsi="Verdana"/>
          <w:b/>
          <w:bCs/>
          <w:sz w:val="20"/>
        </w:rPr>
        <w:t>XII.</w:t>
      </w:r>
      <w:r w:rsidRPr="00CB470F">
        <w:rPr>
          <w:rFonts w:ascii="Verdana" w:hAnsi="Verdana"/>
          <w:sz w:val="20"/>
        </w:rPr>
        <w:t> a</w:t>
      </w:r>
      <w:r w:rsidRPr="00CB470F">
        <w:rPr>
          <w:rFonts w:ascii="Verdana" w:hAnsi="Verdana"/>
          <w:b/>
          <w:bCs/>
          <w:sz w:val="20"/>
        </w:rPr>
        <w:t> XVI. ...</w:t>
      </w:r>
    </w:p>
    <w:p w:rsidR="00CB470F" w:rsidRPr="00CB470F" w:rsidRDefault="00CB470F" w:rsidP="00CB470F">
      <w:pPr>
        <w:rPr>
          <w:rFonts w:ascii="Verdana" w:hAnsi="Verdana"/>
          <w:sz w:val="20"/>
        </w:rPr>
      </w:pPr>
      <w:r w:rsidRPr="00CB470F">
        <w:rPr>
          <w:rFonts w:ascii="Verdana" w:hAnsi="Verdana"/>
          <w:b/>
          <w:bCs/>
          <w:sz w:val="20"/>
        </w:rPr>
        <w:t>XVII.</w:t>
      </w:r>
      <w:r w:rsidRPr="00CB470F">
        <w:rPr>
          <w:rFonts w:ascii="Verdana" w:hAnsi="Verdana"/>
          <w:sz w:val="20"/>
        </w:rPr>
        <w:t>   Bebidas energetizantes, las bebidas no alcohólicas adicionadas con la mezcla de cafeína y taurina o glucoronolactona o tiamina y/o cualquier otra sustancia que produzca efectos estimulantes similares.</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XVIII. </w:t>
      </w:r>
      <w:r w:rsidRPr="00CB470F">
        <w:rPr>
          <w:rFonts w:ascii="Verdana" w:hAnsi="Verdana"/>
          <w:sz w:val="20"/>
        </w:rPr>
        <w:t>a </w:t>
      </w:r>
      <w:r w:rsidRPr="00CB470F">
        <w:rPr>
          <w:rFonts w:ascii="Verdana" w:hAnsi="Verdana"/>
          <w:b/>
          <w:bCs/>
          <w:sz w:val="20"/>
        </w:rPr>
        <w:t>XXI. ...</w:t>
      </w:r>
    </w:p>
    <w:p w:rsidR="00CB470F" w:rsidRPr="00CB470F" w:rsidRDefault="00CB470F" w:rsidP="00CB470F">
      <w:pPr>
        <w:rPr>
          <w:rFonts w:ascii="Verdana" w:hAnsi="Verdana"/>
          <w:sz w:val="20"/>
        </w:rPr>
      </w:pPr>
      <w:r w:rsidRPr="00CB470F">
        <w:rPr>
          <w:rFonts w:ascii="Verdana" w:hAnsi="Verdana"/>
          <w:b/>
          <w:bCs/>
          <w:sz w:val="20"/>
        </w:rPr>
        <w:t>XXII.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 </w:t>
      </w:r>
      <w:r w:rsidRPr="00CB470F">
        <w:rPr>
          <w:rFonts w:ascii="Verdana" w:hAnsi="Verdana"/>
          <w:sz w:val="20"/>
        </w:rPr>
        <w:t>a </w:t>
      </w:r>
      <w:r w:rsidRPr="00CB470F">
        <w:rPr>
          <w:rFonts w:ascii="Verdana" w:hAnsi="Verdana"/>
          <w:b/>
          <w:bCs/>
          <w:sz w:val="20"/>
        </w:rPr>
        <w:t>c) ...</w:t>
      </w:r>
    </w:p>
    <w:p w:rsidR="00CB470F" w:rsidRPr="00CB470F" w:rsidRDefault="00CB470F" w:rsidP="00CB470F">
      <w:pPr>
        <w:rPr>
          <w:rFonts w:ascii="Verdana" w:hAnsi="Verdana"/>
          <w:sz w:val="20"/>
        </w:rPr>
      </w:pPr>
      <w:r w:rsidRPr="00CB470F">
        <w:rPr>
          <w:rFonts w:ascii="Verdana" w:hAnsi="Verdana"/>
          <w:b/>
          <w:bCs/>
          <w:sz w:val="20"/>
        </w:rPr>
        <w:t>d)</w:t>
      </w:r>
      <w:r w:rsidRPr="00CB470F">
        <w:rPr>
          <w:rFonts w:ascii="Verdana" w:hAnsi="Verdana"/>
          <w:sz w:val="20"/>
        </w:rPr>
        <w:t>    Gasolina, el producto definido conforme a lo dispuesto en la fracción IX, inciso b) de este artículo.</w:t>
      </w:r>
    </w:p>
    <w:p w:rsidR="00CB470F" w:rsidRPr="00CB470F" w:rsidRDefault="00CB470F" w:rsidP="00CB470F">
      <w:pPr>
        <w:rPr>
          <w:rFonts w:ascii="Verdana" w:hAnsi="Verdana"/>
          <w:sz w:val="20"/>
        </w:rPr>
      </w:pPr>
      <w:r w:rsidRPr="00CB470F">
        <w:rPr>
          <w:rFonts w:ascii="Verdana" w:hAnsi="Verdana"/>
          <w:b/>
          <w:bCs/>
          <w:sz w:val="20"/>
        </w:rPr>
        <w:t>e) </w:t>
      </w:r>
      <w:r w:rsidRPr="00CB470F">
        <w:rPr>
          <w:rFonts w:ascii="Verdana" w:hAnsi="Verdana"/>
          <w:sz w:val="20"/>
        </w:rPr>
        <w:t>y </w:t>
      </w:r>
      <w:r w:rsidRPr="00CB470F">
        <w:rPr>
          <w:rFonts w:ascii="Verdana" w:hAnsi="Verdana"/>
          <w:b/>
          <w:bCs/>
          <w:sz w:val="20"/>
        </w:rPr>
        <w:t>f) ...</w:t>
      </w:r>
    </w:p>
    <w:p w:rsidR="00CB470F" w:rsidRPr="00CB470F" w:rsidRDefault="00CB470F" w:rsidP="00CB470F">
      <w:pPr>
        <w:rPr>
          <w:rFonts w:ascii="Verdana" w:hAnsi="Verdana"/>
          <w:sz w:val="20"/>
        </w:rPr>
      </w:pPr>
      <w:r w:rsidRPr="00CB470F">
        <w:rPr>
          <w:rFonts w:ascii="Verdana" w:hAnsi="Verdana"/>
          <w:b/>
          <w:bCs/>
          <w:sz w:val="20"/>
        </w:rPr>
        <w:t>g)</w:t>
      </w:r>
      <w:r w:rsidRPr="00CB470F">
        <w:rPr>
          <w:rFonts w:ascii="Verdana" w:hAnsi="Verdana"/>
          <w:sz w:val="20"/>
        </w:rPr>
        <w:t>    Diésel, el producto definido conforme a lo dispuesto en la fracción IX, inciso c) de este artículo.</w:t>
      </w:r>
    </w:p>
    <w:p w:rsidR="00CB470F" w:rsidRPr="00CB470F" w:rsidRDefault="00CB470F" w:rsidP="00CB470F">
      <w:pPr>
        <w:rPr>
          <w:rFonts w:ascii="Verdana" w:hAnsi="Verdana"/>
          <w:sz w:val="20"/>
        </w:rPr>
      </w:pPr>
      <w:r w:rsidRPr="00CB470F">
        <w:rPr>
          <w:rFonts w:ascii="Verdana" w:hAnsi="Verdana"/>
          <w:b/>
          <w:bCs/>
          <w:sz w:val="20"/>
        </w:rPr>
        <w:t>h) </w:t>
      </w:r>
      <w:r w:rsidRPr="00CB470F">
        <w:rPr>
          <w:rFonts w:ascii="Verdana" w:hAnsi="Verdana"/>
          <w:sz w:val="20"/>
        </w:rPr>
        <w:t>a </w:t>
      </w:r>
      <w:r w:rsidRPr="00CB470F">
        <w:rPr>
          <w:rFonts w:ascii="Verdana" w:hAnsi="Verdana"/>
          <w:b/>
          <w:bCs/>
          <w:sz w:val="20"/>
        </w:rPr>
        <w:t>l) ...</w:t>
      </w:r>
    </w:p>
    <w:p w:rsidR="00CB470F" w:rsidRPr="00CB470F" w:rsidRDefault="00CB470F" w:rsidP="00CB470F">
      <w:pPr>
        <w:rPr>
          <w:rFonts w:ascii="Verdana" w:hAnsi="Verdana"/>
          <w:sz w:val="20"/>
        </w:rPr>
      </w:pPr>
      <w:r w:rsidRPr="00CB470F">
        <w:rPr>
          <w:rFonts w:ascii="Verdana" w:hAnsi="Verdana"/>
          <w:b/>
          <w:bCs/>
          <w:sz w:val="20"/>
        </w:rPr>
        <w:t>XXIII. </w:t>
      </w:r>
      <w:r w:rsidRPr="00CB470F">
        <w:rPr>
          <w:rFonts w:ascii="Verdana" w:hAnsi="Verdana"/>
          <w:sz w:val="20"/>
        </w:rPr>
        <w:t>a </w:t>
      </w:r>
      <w:r w:rsidRPr="00CB470F">
        <w:rPr>
          <w:rFonts w:ascii="Verdana" w:hAnsi="Verdana"/>
          <w:b/>
          <w:bCs/>
          <w:sz w:val="20"/>
        </w:rPr>
        <w:t>XXXVI. ...</w:t>
      </w:r>
    </w:p>
    <w:p w:rsidR="00CB470F" w:rsidRPr="00CB470F" w:rsidRDefault="00CB470F" w:rsidP="00CB470F">
      <w:pPr>
        <w:rPr>
          <w:rFonts w:ascii="Verdana" w:hAnsi="Verdana"/>
          <w:sz w:val="20"/>
        </w:rPr>
      </w:pPr>
      <w:r w:rsidRPr="00CB470F">
        <w:rPr>
          <w:rFonts w:ascii="Verdana" w:hAnsi="Verdana"/>
          <w:b/>
          <w:bCs/>
          <w:sz w:val="20"/>
        </w:rPr>
        <w:t>Artículo 5o.-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Tercer párrafo.</w:t>
      </w:r>
      <w:r w:rsidRPr="00CB470F">
        <w:rPr>
          <w:rFonts w:ascii="Verdana" w:hAnsi="Verdana"/>
          <w:sz w:val="20"/>
        </w:rPr>
        <w:t> (Se deroga).</w:t>
      </w:r>
    </w:p>
    <w:p w:rsidR="00CB470F" w:rsidRPr="00CB470F" w:rsidRDefault="00CB470F" w:rsidP="00CB470F">
      <w:pPr>
        <w:rPr>
          <w:rFonts w:ascii="Verdana" w:hAnsi="Verdana"/>
          <w:sz w:val="20"/>
        </w:rPr>
      </w:pPr>
      <w:r w:rsidRPr="00CB470F">
        <w:rPr>
          <w:rFonts w:ascii="Verdana" w:hAnsi="Verdana"/>
          <w:sz w:val="20"/>
        </w:rPr>
        <w:t>Cuando en la declaración de pago mensual resulte saldo a favor, el contribuyente únicamente podrá compensarlo contra el mismo impuesto a su cargo que le corresponda en los pagos mensuales siguientes hasta agotarlo. Para estos efectos, se consideran impuestos distintos cada uno de los gravámenes aplicables a las categorías de bienes y servicios a que se refieren los incisos de las fracciones I y II, del artículo 2o., así como el impuesto establecido en el artículo 2o.-A de esta Ley.</w:t>
      </w:r>
    </w:p>
    <w:p w:rsidR="00CB470F" w:rsidRPr="00CB470F" w:rsidRDefault="00CB470F" w:rsidP="00CB470F">
      <w:pPr>
        <w:rPr>
          <w:rFonts w:ascii="Verdana" w:hAnsi="Verdana"/>
          <w:sz w:val="20"/>
        </w:rPr>
      </w:pPr>
      <w:r w:rsidRPr="00CB470F">
        <w:rPr>
          <w:rFonts w:ascii="Verdana" w:hAnsi="Verdana"/>
          <w:sz w:val="20"/>
        </w:rPr>
        <w:t xml:space="preserve">Tratándose de los contribuyentes que realicen exportaciones de conformidad con el artículo 2o., fracción III de esta Ley y dichas exportaciones representen, al menos, el 90% en el valor total de las actividades que el contribuyente realice en el mes de que se trate, podrán optar por compensar el saldo a favor en los términos del párrafo </w:t>
      </w:r>
      <w:r w:rsidRPr="00CB470F">
        <w:rPr>
          <w:rFonts w:ascii="Verdana" w:hAnsi="Verdana"/>
          <w:sz w:val="20"/>
        </w:rPr>
        <w:lastRenderedPageBreak/>
        <w:t>anterior o solicitar su devolución en los términos del artículo 22 del Código Fiscal de la Federación.</w:t>
      </w:r>
    </w:p>
    <w:p w:rsidR="00CB470F" w:rsidRPr="00CB470F" w:rsidRDefault="00CB470F" w:rsidP="00CB470F">
      <w:pPr>
        <w:rPr>
          <w:rFonts w:ascii="Verdana" w:hAnsi="Verdana"/>
          <w:sz w:val="20"/>
        </w:rPr>
      </w:pPr>
      <w:r w:rsidRPr="00CB470F">
        <w:rPr>
          <w:rFonts w:ascii="Verdana" w:hAnsi="Verdana"/>
          <w:sz w:val="20"/>
        </w:rPr>
        <w:t>Cuando el contribuyente no compense el saldo a favor contra el impuesto que le corresponda pagar en el mes de que se trate o en los dos siguientes, pudiendo haberlo hecho, perderá el derecho a hacerlo en los meses siguientes hasta por la cantidad en que pudo haberlo compensado.</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5o.-D.-</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Cuando en la declaración de pago bimestral resulte saldo a favor, el contribuyente únicamente podrá compensarlo contra el mismo impuesto a su cargo que le corresponda en los pagos bimestrales siguientes hasta agotarlo. Para estos efectos, se consideran impuestos distintos cada uno de los gravámenes aplicables a las categorías de bienes y servicios a que se refieren los incisos de las fracciones I y II, del artículo 2o., así como el impuesto establecido en el artículo 2o.-A de esta Ley.</w:t>
      </w:r>
    </w:p>
    <w:p w:rsidR="00CB470F" w:rsidRPr="00CB470F" w:rsidRDefault="00CB470F" w:rsidP="00CB470F">
      <w:pPr>
        <w:rPr>
          <w:rFonts w:ascii="Verdana" w:hAnsi="Verdana"/>
          <w:sz w:val="20"/>
        </w:rPr>
      </w:pPr>
      <w:r w:rsidRPr="00CB470F">
        <w:rPr>
          <w:rFonts w:ascii="Verdana" w:hAnsi="Verdana"/>
          <w:sz w:val="20"/>
        </w:rPr>
        <w:t>Tratándose de los contribuyentes que realicen exportaciones de conformidad con el artículo 2o., fracción III de esta Ley y dichas exportaciones representen, al menos, el 90% en el valor total de las actividades que el contribuyente realice en el bimestre de que se trate, podrán optar por compensar el saldo a favor en los términos del párrafo anterior o solicitar su devolución en los términos del artículo 22 del Código Fiscal de la Federación.</w:t>
      </w:r>
    </w:p>
    <w:p w:rsidR="00CB470F" w:rsidRPr="00CB470F" w:rsidRDefault="00CB470F" w:rsidP="00CB470F">
      <w:pPr>
        <w:rPr>
          <w:rFonts w:ascii="Verdana" w:hAnsi="Verdana"/>
          <w:sz w:val="20"/>
        </w:rPr>
      </w:pPr>
      <w:r w:rsidRPr="00CB470F">
        <w:rPr>
          <w:rFonts w:ascii="Verdana" w:hAnsi="Verdana"/>
          <w:sz w:val="20"/>
        </w:rPr>
        <w:t>Cuando el contribuyente no compense el saldo a favor contra el impuesto que le corresponda pagar en el bimestre de que se trate, o en los dos siguientes, pudiendo haberlo hecho, perderá el derecho a hacerlo en los bimestres siguientes hasta por la cantidad en que pudo haberlo compensado.</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10.-</w:t>
      </w:r>
      <w:r w:rsidRPr="00CB470F">
        <w:rPr>
          <w:rFonts w:ascii="Verdana" w:hAnsi="Verdana"/>
          <w:sz w:val="20"/>
        </w:rPr>
        <w:t xml:space="preserve"> En la enajenación de los bienes a que se refiere esta Ley, el impuesto se causa en el momento en el que se cobren las contraprestaciones y sobre el monto de lo cobrado. Cuando las contraprestaciones se cobren parcialmente, el impuesto se calculará aplicando a la parte de la contraprestación efectivamente percibida, la tasa que corresponda en términos del artículo 2o. de esta Ley. Tratándose de la cuota por enajenación de cigarros u otros tabacos labrados a que se refieren los </w:t>
      </w:r>
      <w:r w:rsidRPr="00CB470F">
        <w:rPr>
          <w:rFonts w:ascii="Verdana" w:hAnsi="Verdana"/>
          <w:sz w:val="20"/>
        </w:rPr>
        <w:lastRenderedPageBreak/>
        <w:t>párrafos segundo y tercero del inciso C) de la fracción I del artículo 2o. de esta Ley, se considerará la cantidad de</w:t>
      </w:r>
    </w:p>
    <w:p w:rsidR="00CB470F" w:rsidRPr="00CB470F" w:rsidRDefault="00CB470F" w:rsidP="00CB470F">
      <w:pPr>
        <w:rPr>
          <w:rFonts w:ascii="Verdana" w:hAnsi="Verdana"/>
          <w:sz w:val="20"/>
        </w:rPr>
      </w:pPr>
      <w:r w:rsidRPr="00CB470F">
        <w:rPr>
          <w:rFonts w:ascii="Verdana" w:hAnsi="Verdana"/>
          <w:sz w:val="20"/>
        </w:rPr>
        <w:t>cigarros efectivamente cobrados y, en el caso de otros tabacos labrados, la cantidad de gramos efectivamente cobrados. Por las enajenaciones de los bienes a que se refieren los incisos D), G) y H) de la fracción I del artículo 2o. y el artículo 2o.-A de esta Ley, el impuesto se causa en el momento en que se cobren las contraprestaciones.</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11.-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Tratándose de la cuota por enajenaciones de cigarros u otros tabacos labrados a que se refieren los párrafos segundo y tercero del inciso C) de la fracción I del artículo 2o. de esta Ley, se considerará la cantidad de cigarros enajenados y, en el caso de otros tabacos labrados, la cantidad de gramos enajenados. Por las enajenaciones de los bienes a que se refiere el inciso G) de la fracción I del artículo 2o. de esta Ley, los contribuyentes calcularán el impuesto sobre el total de litros enajenados de bebidas saborizadas con azúcares añadidos; tratándose de concentrados, polvos, jarabes, esencias o extractos de sabores, el impuesto se calculará tomando en cuenta el número de litros de bebidas saborizadas con azúcares añadidos que, de conformidad con las especificaciones del fabricante, se puedan obtener, del total de productos enajenados. Por las enajenaciones de los bienes a que se refieren los incisos D) y H) de la fracción I del artículo 2o. de esta Ley, los contribuyentes calcularán el impuesto sobre el total de las unidades de medida y, en su caso, fracciones de dichas unidades, según corresponda. Por las enajenaciones de los bienes a que se refiere el artículo 2o.-A de esta Ley, los contribuyentes calcularán el impuesto sobre el total de las unidades de medida, según corresponda.</w:t>
      </w:r>
    </w:p>
    <w:p w:rsidR="00CB470F" w:rsidRPr="00CB470F" w:rsidRDefault="00CB470F" w:rsidP="00CB470F">
      <w:pPr>
        <w:rPr>
          <w:rFonts w:ascii="Verdana" w:hAnsi="Verdana"/>
          <w:sz w:val="20"/>
        </w:rPr>
      </w:pPr>
      <w:r w:rsidRPr="00CB470F">
        <w:rPr>
          <w:rFonts w:ascii="Verdana" w:hAnsi="Verdana"/>
          <w:b/>
          <w:bCs/>
          <w:sz w:val="20"/>
        </w:rPr>
        <w:t>Artículo 14.-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xml:space="preserve">En las importaciones de cigarros u otros tabacos labrados en las que el impuesto se pague aplicando la cuota a que se refieren los párrafos segundo y tercero del inciso C) de la fracción I del artículo 2o. de esta Ley, se considerará la cantidad de cigarros importados y, en el caso de otros tabacos labrados, la cantidad de gramos importados. Tratándose de las importaciones de los bienes a que se refiere el inciso G) de la fracción I del artículo 2o. de esta Ley, los contribuyentes calcularán el impuesto por el total de litros importados de bebidas saborizadas o por el total de litros que se puedan obtener, de conformidad con las especificaciones del fabricante, por el total de concentrados, polvos, jarabes, esencias o extractos de sabores. Tratándose de las importaciones de los bienes a que se refieren los incisos D) y H) de la fracción I del </w:t>
      </w:r>
      <w:r w:rsidRPr="00CB470F">
        <w:rPr>
          <w:rFonts w:ascii="Verdana" w:hAnsi="Verdana"/>
          <w:sz w:val="20"/>
        </w:rPr>
        <w:lastRenderedPageBreak/>
        <w:t>artículo 2o. de esta Ley, los contribuyentes calcularán el impuesto sobre el total de las unidades de medida y, en su caso, fracciones de dichas unidades importadas, según corresponda.</w:t>
      </w:r>
    </w:p>
    <w:p w:rsidR="00CB470F" w:rsidRPr="00CB470F" w:rsidRDefault="00CB470F" w:rsidP="00CB470F">
      <w:pPr>
        <w:rPr>
          <w:rFonts w:ascii="Verdana" w:hAnsi="Verdana"/>
          <w:sz w:val="20"/>
        </w:rPr>
      </w:pPr>
      <w:r w:rsidRPr="00CB470F">
        <w:rPr>
          <w:rFonts w:ascii="Verdana" w:hAnsi="Verdana"/>
          <w:b/>
          <w:bCs/>
          <w:sz w:val="20"/>
        </w:rPr>
        <w:t>Artículo 19.- ...</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Llevar contabilidad de conformidad con el Código Fiscal de la Federación, su Reglamento y el Reglamento de esta Ley, y efectuar conforme a este último la separación de las operaciones, desglosadas por tasas. Asimismo, se deberán identificar las operaciones en las que se pague el impuesto mediante la aplicación de las cuotas previstas en los artículos 2o., fracción I, incisos C), segundo y tercer párrafos, D), G) y H) y 2o.-A de esta Ley.</w:t>
      </w:r>
    </w:p>
    <w:p w:rsidR="00CB470F" w:rsidRPr="00CB470F" w:rsidRDefault="00CB470F" w:rsidP="00CB470F">
      <w:pPr>
        <w:rPr>
          <w:rFonts w:ascii="Verdana" w:hAnsi="Verdana"/>
          <w:sz w:val="20"/>
        </w:rPr>
      </w:pPr>
      <w:r w:rsidRPr="00CB470F">
        <w:rPr>
          <w:rFonts w:ascii="Verdana" w:hAnsi="Verdana"/>
          <w:b/>
          <w:bCs/>
          <w:sz w:val="20"/>
        </w:rPr>
        <w:t>II. </w:t>
      </w:r>
      <w:r w:rsidRPr="00CB470F">
        <w:rPr>
          <w:rFonts w:ascii="Verdana" w:hAnsi="Verdana"/>
          <w:sz w:val="20"/>
        </w:rPr>
        <w:t>a </w:t>
      </w:r>
      <w:r w:rsidRPr="00CB470F">
        <w:rPr>
          <w:rFonts w:ascii="Verdana" w:hAnsi="Verdana"/>
          <w:b/>
          <w:bCs/>
          <w:sz w:val="20"/>
        </w:rPr>
        <w:t>XVIII. ...</w:t>
      </w:r>
    </w:p>
    <w:p w:rsidR="00CB470F" w:rsidRPr="00CB470F" w:rsidRDefault="00CB470F" w:rsidP="00CB470F">
      <w:pPr>
        <w:rPr>
          <w:rFonts w:ascii="Verdana" w:hAnsi="Verdana"/>
          <w:sz w:val="20"/>
        </w:rPr>
      </w:pPr>
      <w:r w:rsidRPr="00CB470F">
        <w:rPr>
          <w:rFonts w:ascii="Verdana" w:hAnsi="Verdana"/>
          <w:b/>
          <w:bCs/>
          <w:sz w:val="20"/>
        </w:rPr>
        <w:t>XIX.</w:t>
      </w:r>
      <w:r w:rsidRPr="00CB470F">
        <w:rPr>
          <w:rFonts w:ascii="Verdana" w:hAnsi="Verdana"/>
          <w:sz w:val="20"/>
        </w:rPr>
        <w:t>    Los importadores de los bienes a que se refiere el inciso B) de la fracción I del artículo 2o. de esta Ley, que no elaboren bebidas alcohólicas, deberán estar inscritos en el Padrón de Importadores a que se refiere el artículo 59, fracción IV de la Ley Aduanera.</w:t>
      </w:r>
    </w:p>
    <w:p w:rsidR="00CB470F" w:rsidRPr="00CB470F" w:rsidRDefault="00CB470F" w:rsidP="00CB470F">
      <w:pPr>
        <w:rPr>
          <w:rFonts w:ascii="Verdana" w:hAnsi="Verdana"/>
          <w:sz w:val="20"/>
        </w:rPr>
      </w:pPr>
      <w:r w:rsidRPr="00CB470F">
        <w:rPr>
          <w:rFonts w:ascii="Verdana" w:hAnsi="Verdana"/>
          <w:b/>
          <w:bCs/>
          <w:sz w:val="20"/>
        </w:rPr>
        <w:t>XX.</w:t>
      </w:r>
      <w:r w:rsidRPr="00CB470F">
        <w:rPr>
          <w:rFonts w:ascii="Verdana" w:hAnsi="Verdana"/>
          <w:sz w:val="20"/>
        </w:rPr>
        <w:t>     (Se deroga).</w:t>
      </w:r>
    </w:p>
    <w:p w:rsidR="00CB470F" w:rsidRPr="00CB470F" w:rsidRDefault="00CB470F" w:rsidP="00CB470F">
      <w:pPr>
        <w:rPr>
          <w:rFonts w:ascii="Verdana" w:hAnsi="Verdana"/>
          <w:sz w:val="20"/>
        </w:rPr>
      </w:pPr>
      <w:r w:rsidRPr="00CB470F">
        <w:rPr>
          <w:rFonts w:ascii="Verdana" w:hAnsi="Verdana"/>
          <w:b/>
          <w:bCs/>
          <w:sz w:val="20"/>
        </w:rPr>
        <w:t>XXI.</w:t>
      </w:r>
      <w:r w:rsidRPr="00CB470F">
        <w:rPr>
          <w:rFonts w:ascii="Verdana" w:hAnsi="Verdana"/>
          <w:sz w:val="20"/>
        </w:rPr>
        <w:t>    (Se deroga).</w:t>
      </w:r>
    </w:p>
    <w:p w:rsidR="00CB470F" w:rsidRPr="00CB470F" w:rsidRDefault="00CB470F" w:rsidP="00CB470F">
      <w:pPr>
        <w:rPr>
          <w:rFonts w:ascii="Verdana" w:hAnsi="Verdana"/>
          <w:sz w:val="20"/>
        </w:rPr>
      </w:pPr>
      <w:r w:rsidRPr="00CB470F">
        <w:rPr>
          <w:rFonts w:ascii="Verdana" w:hAnsi="Verdana"/>
          <w:b/>
          <w:bCs/>
          <w:sz w:val="20"/>
        </w:rPr>
        <w:t>XXII. </w:t>
      </w:r>
      <w:r w:rsidRPr="00CB470F">
        <w:rPr>
          <w:rFonts w:ascii="Verdana" w:hAnsi="Verdana"/>
          <w:sz w:val="20"/>
        </w:rPr>
        <w:t>y </w:t>
      </w:r>
      <w:r w:rsidRPr="00CB470F">
        <w:rPr>
          <w:rFonts w:ascii="Verdana" w:hAnsi="Verdana"/>
          <w:b/>
          <w:bCs/>
          <w:sz w:val="20"/>
        </w:rPr>
        <w:t>XXIII. ...</w:t>
      </w:r>
    </w:p>
    <w:p w:rsidR="00CB470F" w:rsidRPr="00CB470F" w:rsidRDefault="00CB470F" w:rsidP="00CB470F">
      <w:pPr>
        <w:rPr>
          <w:rFonts w:ascii="Verdana" w:hAnsi="Verdana"/>
          <w:sz w:val="20"/>
        </w:rPr>
      </w:pPr>
      <w:r w:rsidRPr="00CB470F">
        <w:rPr>
          <w:rFonts w:ascii="Verdana" w:hAnsi="Verdana"/>
          <w:b/>
          <w:bCs/>
          <w:sz w:val="20"/>
        </w:rPr>
        <w:t>DISPOSICIONES TRANSITORIAS DE LA LEY DEL IMPUESTO ESPECIAL SOBRE PRODUCCIÓN Y</w:t>
      </w:r>
      <w:r w:rsidRPr="00CB470F">
        <w:rPr>
          <w:rFonts w:ascii="Verdana" w:hAnsi="Verdana"/>
          <w:sz w:val="20"/>
        </w:rPr>
        <w:br/>
      </w:r>
      <w:r w:rsidRPr="00CB470F">
        <w:rPr>
          <w:rFonts w:ascii="Verdana" w:hAnsi="Verdana"/>
          <w:b/>
          <w:bCs/>
          <w:sz w:val="20"/>
        </w:rPr>
        <w:t>SERVICIOS</w:t>
      </w:r>
    </w:p>
    <w:p w:rsidR="00CB470F" w:rsidRPr="00CB470F" w:rsidRDefault="00CB470F" w:rsidP="00CB470F">
      <w:pPr>
        <w:rPr>
          <w:rFonts w:ascii="Verdana" w:hAnsi="Verdana"/>
          <w:sz w:val="20"/>
        </w:rPr>
      </w:pPr>
      <w:r w:rsidRPr="00CB470F">
        <w:rPr>
          <w:rFonts w:ascii="Verdana" w:hAnsi="Verdana"/>
          <w:b/>
          <w:bCs/>
          <w:sz w:val="20"/>
        </w:rPr>
        <w:t>Artículo Sexto.- </w:t>
      </w:r>
      <w:r w:rsidRPr="00CB470F">
        <w:rPr>
          <w:rFonts w:ascii="Verdana" w:hAnsi="Verdana"/>
          <w:sz w:val="20"/>
        </w:rPr>
        <w:t>En relación con las modificaciones a las que se refiere el Artículo Quinto de este Decreto, se estará a lo siguiente:</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Para los efectos del artículo 2o., fracción I, inciso C), segundo párrafo, de la Ley del Impuesto Especial sobre Producción y Servicios, la cuota aplicable a tabacos labrados para el ejercicio fiscal de 2020, se actualizará con el factor de actualización correspondiente al periodo comprendido</w:t>
      </w:r>
    </w:p>
    <w:p w:rsidR="00CB470F" w:rsidRPr="00CB470F" w:rsidRDefault="00CB470F" w:rsidP="00CB470F">
      <w:pPr>
        <w:rPr>
          <w:rFonts w:ascii="Verdana" w:hAnsi="Verdana"/>
          <w:sz w:val="20"/>
        </w:rPr>
      </w:pPr>
      <w:r w:rsidRPr="00CB470F">
        <w:rPr>
          <w:rFonts w:ascii="Verdana" w:hAnsi="Verdana"/>
          <w:sz w:val="20"/>
        </w:rPr>
        <w:t>desde el mes de diciembre de 2010, hasta el mes de diciembre de 2019, mismo que se obtendrá de conformidad con el artículo 17-A del Código Fiscal de la Federación. La Secretaría de Hacienda y Crédito Público, publicará el factor de actualización en el Diario Oficial de la Federación durante el mes de diciembre de 2019, así como la cuota actualizada, misma que se expresará hasta el diezmilésimo.</w:t>
      </w:r>
    </w:p>
    <w:p w:rsidR="00CB470F" w:rsidRPr="00CB470F" w:rsidRDefault="00CB470F" w:rsidP="00CB470F">
      <w:pPr>
        <w:rPr>
          <w:rFonts w:ascii="Verdana" w:hAnsi="Verdana"/>
          <w:sz w:val="20"/>
        </w:rPr>
      </w:pPr>
      <w:r w:rsidRPr="00CB470F">
        <w:rPr>
          <w:rFonts w:ascii="Verdana" w:hAnsi="Verdana"/>
          <w:sz w:val="20"/>
        </w:rPr>
        <w:t>         La presente disposición entrará en vigor al día siguiente de la publicación del presente Decreto en el Diario Oficial de la Federación.</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xml:space="preserve">       Para los efectos del artículo 2o., fracción I, inciso G), segundo párrafo, de la Ley del Impuesto Especial sobre Producción y Servicios, la cuota aplicable a bebidas saborizadas para el ejercicio fiscal de 2020, se actualizará con el factor de </w:t>
      </w:r>
      <w:r w:rsidRPr="00CB470F">
        <w:rPr>
          <w:rFonts w:ascii="Verdana" w:hAnsi="Verdana"/>
          <w:sz w:val="20"/>
        </w:rPr>
        <w:lastRenderedPageBreak/>
        <w:t>actualización correspondiente al periodo comprendido desde el mes de diciembre de 2017, hasta el mes de diciembre de 2019, mismo que se obtendrá de conformidad con el artículo 17-A del Código Fiscal de la Federación. La Secretaría de Hacienda y Crédito Público, publicará el factor de actualización en el Diario Oficial de la Federación durante el mes de diciembre de 2019, así como la cuota actualizada, misma que se expresará hasta el diezmilésimo.</w:t>
      </w:r>
    </w:p>
    <w:p w:rsidR="00CB470F" w:rsidRPr="00CB470F" w:rsidRDefault="00CB470F" w:rsidP="00CB470F">
      <w:pPr>
        <w:rPr>
          <w:rFonts w:ascii="Verdana" w:hAnsi="Verdana"/>
          <w:sz w:val="20"/>
        </w:rPr>
      </w:pPr>
      <w:r w:rsidRPr="00CB470F">
        <w:rPr>
          <w:rFonts w:ascii="Verdana" w:hAnsi="Verdana"/>
          <w:sz w:val="20"/>
        </w:rPr>
        <w:t>         La presente disposición entrará en vigor al día siguiente de la publicación del presente Decreto en el Diario Oficial de la Federación.</w:t>
      </w:r>
    </w:p>
    <w:p w:rsidR="00CB470F" w:rsidRPr="00CB470F" w:rsidRDefault="00CB470F" w:rsidP="00CB470F">
      <w:pPr>
        <w:rPr>
          <w:rFonts w:ascii="Verdana" w:hAnsi="Verdana"/>
          <w:b/>
          <w:bCs/>
          <w:sz w:val="20"/>
        </w:rPr>
      </w:pPr>
      <w:r w:rsidRPr="00CB470F">
        <w:rPr>
          <w:rFonts w:ascii="Verdana" w:hAnsi="Verdana"/>
          <w:b/>
          <w:bCs/>
          <w:sz w:val="20"/>
        </w:rPr>
        <w:t>CÓDIGO FISCAL DE LA FEDERACIÓN</w:t>
      </w:r>
    </w:p>
    <w:p w:rsidR="00CB470F" w:rsidRPr="00CB470F" w:rsidRDefault="00CB470F" w:rsidP="00CB470F">
      <w:pPr>
        <w:rPr>
          <w:rFonts w:ascii="Verdana" w:hAnsi="Verdana"/>
          <w:sz w:val="20"/>
        </w:rPr>
      </w:pPr>
      <w:r w:rsidRPr="00CB470F">
        <w:rPr>
          <w:rFonts w:ascii="Verdana" w:hAnsi="Verdana"/>
          <w:b/>
          <w:bCs/>
          <w:sz w:val="20"/>
        </w:rPr>
        <w:t>Artículo Séptimo.-</w:t>
      </w:r>
      <w:r w:rsidRPr="00CB470F">
        <w:rPr>
          <w:rFonts w:ascii="Verdana" w:hAnsi="Verdana"/>
          <w:sz w:val="20"/>
        </w:rPr>
        <w:t> Se </w:t>
      </w:r>
      <w:r w:rsidRPr="00CB470F">
        <w:rPr>
          <w:rFonts w:ascii="Verdana" w:hAnsi="Verdana"/>
          <w:b/>
          <w:bCs/>
          <w:sz w:val="20"/>
        </w:rPr>
        <w:t>reforman</w:t>
      </w:r>
      <w:r w:rsidRPr="00CB470F">
        <w:rPr>
          <w:rFonts w:ascii="Verdana" w:hAnsi="Verdana"/>
          <w:sz w:val="20"/>
        </w:rPr>
        <w:t> los artículos 17-D, quinto párrafo; 17-H, fracción X; 23, primer párrafo; 26, fracciones III, X, primer párrafo y XVII; 27; 30, último párrafo; 31-A, primer párrafo; 32-B, fracción V, primer párrafo; 32-D, párrafos primero y su fracción IV, tercero, sexto y séptimo; 33-B, 38, párrafo primero, fracción V; 42, primer párrafo; 49, primer párrafo y fracciones I y VI; 52, antepenúltimo párrafo, incisos b) y c); 53-B, último párrafo; 79, fracciones VII y VIII; 80, fracción VI; 81, fracción II; 83, fracción XVIII; 84, fracciones III y XVI; 134, fracción I, primer y quinto párrafos; 137, párrafos primero y segundo; se </w:t>
      </w:r>
      <w:r w:rsidRPr="00CB470F">
        <w:rPr>
          <w:rFonts w:ascii="Verdana" w:hAnsi="Verdana"/>
          <w:b/>
          <w:bCs/>
          <w:sz w:val="20"/>
        </w:rPr>
        <w:t>adicionan</w:t>
      </w:r>
      <w:r w:rsidRPr="00CB470F">
        <w:rPr>
          <w:rFonts w:ascii="Verdana" w:hAnsi="Verdana"/>
          <w:sz w:val="20"/>
        </w:rPr>
        <w:t> los artículos 5o-A;</w:t>
      </w:r>
      <w:r w:rsidRPr="00CB470F">
        <w:rPr>
          <w:rFonts w:ascii="Verdana" w:hAnsi="Verdana"/>
          <w:i/>
          <w:iCs/>
          <w:sz w:val="20"/>
        </w:rPr>
        <w:t> </w:t>
      </w:r>
      <w:r w:rsidRPr="00CB470F">
        <w:rPr>
          <w:rFonts w:ascii="Verdana" w:hAnsi="Verdana"/>
          <w:sz w:val="20"/>
        </w:rPr>
        <w:t>17-H, con un séptimo párrafo; 17-H Bis; 17-K, con un tercer y cuarto párrafos; 31-A, primer párrafo, con los incisos a), b), c), d) y e) y un segundo párrafo, pasando los actuales segundo y tercer párrafos a ser el tercer y cuarto párrafos; 32-D, con las fracciones V, VI, VII, VIII, y los párrafos noveno, décimo y décimo primero; 38, párrafo primero con una fracción VI y con un último párrafo; 42, con una fracción XI; 46-A, párrafo segundo con una fracción VII; 67, con un último párrafo; 69, décimo segundo párrafo con las fracciones VII, VIII y IX; 69-B Ter; 79, con una fracción X; 82-A; 82-B; 82-C; 82-D; 86-C; 86-D; 89, párrafo primero con una fracción IV; 146, con un último párrafo; con un Título Sexto denominado "De la Revelación de Esquemas Reportables", con un Capítulo Único que comprende los artículos 197, 198, 199, 200, 201 y 202, y se </w:t>
      </w:r>
      <w:r w:rsidRPr="00CB470F">
        <w:rPr>
          <w:rFonts w:ascii="Verdana" w:hAnsi="Verdana"/>
          <w:b/>
          <w:bCs/>
          <w:sz w:val="20"/>
        </w:rPr>
        <w:t>derogan</w:t>
      </w:r>
      <w:r w:rsidRPr="00CB470F">
        <w:rPr>
          <w:rFonts w:ascii="Verdana" w:hAnsi="Verdana"/>
          <w:sz w:val="20"/>
        </w:rPr>
        <w:t> los artículos 32-D, cuarto párrafo; 41-B; 134, fracción V y 152, segundo párrafo, del Código Fiscal de la Federación, para quedar como sigue:</w:t>
      </w:r>
    </w:p>
    <w:p w:rsidR="00CB470F" w:rsidRPr="00CB470F" w:rsidRDefault="00CB470F" w:rsidP="00CB470F">
      <w:pPr>
        <w:rPr>
          <w:rFonts w:ascii="Verdana" w:hAnsi="Verdana"/>
          <w:sz w:val="20"/>
        </w:rPr>
      </w:pPr>
      <w:r w:rsidRPr="00CB470F">
        <w:rPr>
          <w:rFonts w:ascii="Verdana" w:hAnsi="Verdana"/>
          <w:b/>
          <w:bCs/>
          <w:sz w:val="20"/>
        </w:rPr>
        <w:t>Artículo 5o.-A. </w:t>
      </w:r>
      <w:r w:rsidRPr="00CB470F">
        <w:rPr>
          <w:rFonts w:ascii="Verdana" w:hAnsi="Verdana"/>
          <w:sz w:val="20"/>
        </w:rPr>
        <w:t>Los actos jurídicos que carezcan de una razón de negocios y que</w:t>
      </w:r>
      <w:r w:rsidRPr="00CB470F">
        <w:rPr>
          <w:rFonts w:ascii="Verdana" w:hAnsi="Verdana"/>
          <w:b/>
          <w:bCs/>
          <w:sz w:val="20"/>
        </w:rPr>
        <w:t> </w:t>
      </w:r>
      <w:r w:rsidRPr="00CB470F">
        <w:rPr>
          <w:rFonts w:ascii="Verdana" w:hAnsi="Verdana"/>
          <w:sz w:val="20"/>
        </w:rPr>
        <w:t>generen un beneficio fiscal directo o indirecto, tendrán los efectos fiscales que correspondan a los que se habrían realizado para la obtención del beneficio económico razonablemente esperado por el contribuyente.</w:t>
      </w:r>
    </w:p>
    <w:p w:rsidR="00CB470F" w:rsidRPr="00CB470F" w:rsidRDefault="00CB470F" w:rsidP="00CB470F">
      <w:pPr>
        <w:rPr>
          <w:rFonts w:ascii="Verdana" w:hAnsi="Verdana"/>
          <w:sz w:val="20"/>
        </w:rPr>
      </w:pPr>
      <w:r w:rsidRPr="00CB470F">
        <w:rPr>
          <w:rFonts w:ascii="Verdana" w:hAnsi="Verdana"/>
          <w:sz w:val="20"/>
        </w:rPr>
        <w:t xml:space="preserve">En el ejercicio de sus facultades de comprobación, la autoridad fiscal podrá presumir que los actos jurídicos carecen de una razón de negocios con base en los hechos y circunstancias del contribuyente conocidos al amparo de dichas facultades, así como de la valoración de los elementos, la información y documentación obtenidos durante las mismas. No obstante lo anterior, dicha autoridad fiscal no podrá desconocer para efectos fiscales los actos jurídicos referidos, sin que antes se dé a conocer dicha situación en la última acta parcial a que se refiere la fracción IV, del artículo 46 de este Código, en el oficio de observaciones a que se refiere la fracción IV del artículo 48 de este Código o en la resolución provisional a que se refiere la fracción II el artículo 53-B de este Código, y hayan transcurrido los plazos a que se refieren los artículos </w:t>
      </w:r>
      <w:r w:rsidRPr="00CB470F">
        <w:rPr>
          <w:rFonts w:ascii="Verdana" w:hAnsi="Verdana"/>
          <w:sz w:val="20"/>
        </w:rPr>
        <w:lastRenderedPageBreak/>
        <w:t>anteriores, para que el contribuyente manifieste lo que a su derecho convenga y aporte la información y documentación tendiente a desvirtuar la referida presunción.</w:t>
      </w:r>
    </w:p>
    <w:p w:rsidR="00CB470F" w:rsidRPr="00CB470F" w:rsidRDefault="00CB470F" w:rsidP="00CB470F">
      <w:pPr>
        <w:rPr>
          <w:rFonts w:ascii="Verdana" w:hAnsi="Verdana"/>
          <w:sz w:val="20"/>
        </w:rPr>
      </w:pPr>
      <w:r w:rsidRPr="00CB470F">
        <w:rPr>
          <w:rFonts w:ascii="Verdana" w:hAnsi="Verdana"/>
          <w:sz w:val="20"/>
        </w:rPr>
        <w:t>Antes de la emisión de la última acta parcial, del oficio de observaciones o de la resolución provisional a que hace referencia el párrafo anterior, la autoridad fiscal deberá someter el caso a un órgano colegiado integrado por funcionarios de la Secretaría de Hacienda y Crédito Público y el Servicio de Administración Tributaria, y obtener una opinión favorable para la aplicación de este artículo. En caso de no recibir la opinión del órgano colegiado dentro del plazo de dos meses contados a partir de la presentación del caso por parte de la autoridad fiscal, se entenderá realizada en sentido negativo. Las disposiciones relativas al referido órgano colegiado se darán a conocer mediante reglas de carácter general que a su efecto expida el Servicio de Administración Tributaria.</w:t>
      </w:r>
    </w:p>
    <w:p w:rsidR="00CB470F" w:rsidRPr="00CB470F" w:rsidRDefault="00CB470F" w:rsidP="00CB470F">
      <w:pPr>
        <w:rPr>
          <w:rFonts w:ascii="Verdana" w:hAnsi="Verdana"/>
          <w:sz w:val="20"/>
        </w:rPr>
      </w:pPr>
      <w:r w:rsidRPr="00CB470F">
        <w:rPr>
          <w:rFonts w:ascii="Verdana" w:hAnsi="Verdana"/>
          <w:sz w:val="20"/>
        </w:rPr>
        <w:t>La autoridad fiscal podrá presumir, salvo prueba en contrario, que no existe una razón de negocios, cuando el beneficio económico cuantificable razonablemente esperado, sea menor al beneficio fiscal. Adicionalmente, la autoridad fiscal podrá presumir, salvo prueba en contrario, que una serie de actos jurídicos</w:t>
      </w:r>
    </w:p>
    <w:p w:rsidR="00CB470F" w:rsidRPr="00CB470F" w:rsidRDefault="00CB470F" w:rsidP="00CB470F">
      <w:pPr>
        <w:rPr>
          <w:rFonts w:ascii="Verdana" w:hAnsi="Verdana"/>
          <w:sz w:val="20"/>
        </w:rPr>
      </w:pPr>
      <w:r w:rsidRPr="00CB470F">
        <w:rPr>
          <w:rFonts w:ascii="Verdana" w:hAnsi="Verdana"/>
          <w:sz w:val="20"/>
        </w:rPr>
        <w:t>carece de razón de negocios, cuando el beneficio económico razonablemente esperado pudiera alcanzarse a través de la realización de un menor número de actos jurídicos y el efecto fiscal de estos hubiera sido más gravoso.</w:t>
      </w:r>
    </w:p>
    <w:p w:rsidR="00CB470F" w:rsidRPr="00CB470F" w:rsidRDefault="00CB470F" w:rsidP="00CB470F">
      <w:pPr>
        <w:rPr>
          <w:rFonts w:ascii="Verdana" w:hAnsi="Verdana"/>
          <w:sz w:val="20"/>
        </w:rPr>
      </w:pPr>
      <w:r w:rsidRPr="00CB470F">
        <w:rPr>
          <w:rFonts w:ascii="Verdana" w:hAnsi="Verdana"/>
          <w:sz w:val="20"/>
        </w:rPr>
        <w:t>Se consideran beneficios fiscales cualquier reducción, eliminación o diferimiento temporal de una contribución. Esto incluye los alcanzados a través de deducciones, exenciones, no sujeciones, no reconocimiento de una ganancia o ingreso acumulable, ajustes o ausencia de ajustes de la base imponible de la contribución, el acreditamiento de contribuciones, la recaracterización de un pago o actividad, un cambio de régimen fiscal, entre otros.</w:t>
      </w:r>
    </w:p>
    <w:p w:rsidR="00CB470F" w:rsidRPr="00CB470F" w:rsidRDefault="00CB470F" w:rsidP="00CB470F">
      <w:pPr>
        <w:rPr>
          <w:rFonts w:ascii="Verdana" w:hAnsi="Verdana"/>
          <w:sz w:val="20"/>
        </w:rPr>
      </w:pPr>
      <w:r w:rsidRPr="00CB470F">
        <w:rPr>
          <w:rFonts w:ascii="Verdana" w:hAnsi="Verdana"/>
          <w:sz w:val="20"/>
        </w:rPr>
        <w:t>Se considera que existe un beneficio económico razonablemente esperado, cuando las operaciones del contribuyente busquen generar ingresos, reducir costos, aumentar el valor de los bienes que sean de su propiedad, mejorar su posicionamiento en el mercado, entre otros casos. Para cuantificar el beneficio económico razonablemente esperado, se considerará la información contemporánea relacionada a la operación objeto de análisis, incluyendo el beneficio económico proyectado, en la medida en que dicha información esté soportada y sea razonable. Para efectos de este artículo, el beneficio fiscal no se considerará como parte del beneficio económico razonablemente esperado.</w:t>
      </w:r>
    </w:p>
    <w:p w:rsidR="00CB470F" w:rsidRPr="00CB470F" w:rsidRDefault="00CB470F" w:rsidP="00CB470F">
      <w:pPr>
        <w:rPr>
          <w:rFonts w:ascii="Verdana" w:hAnsi="Verdana"/>
          <w:sz w:val="20"/>
        </w:rPr>
      </w:pPr>
      <w:r w:rsidRPr="00CB470F">
        <w:rPr>
          <w:rFonts w:ascii="Verdana" w:hAnsi="Verdana"/>
          <w:sz w:val="20"/>
        </w:rPr>
        <w:t>La expresión razón de negocios será aplicable con independencia de las leyes que regulen el beneficio económico razonablemente esperado por el contribuyente. Los efectos fiscales generados en términos del presente artículo en ningún caso generarán consecuencias en materia penal.</w:t>
      </w:r>
    </w:p>
    <w:p w:rsidR="00CB470F" w:rsidRPr="00CB470F" w:rsidRDefault="00CB470F" w:rsidP="00CB470F">
      <w:pPr>
        <w:rPr>
          <w:rFonts w:ascii="Verdana" w:hAnsi="Verdana"/>
          <w:sz w:val="20"/>
        </w:rPr>
      </w:pPr>
      <w:r w:rsidRPr="00CB470F">
        <w:rPr>
          <w:rFonts w:ascii="Verdana" w:hAnsi="Verdana"/>
          <w:b/>
          <w:bCs/>
          <w:sz w:val="20"/>
        </w:rPr>
        <w:t>Artículo 17-D.</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Los datos de creación de firmas electrónicas avanzadas podrán ser tramitados por los contribuyentes ante el Servicio de Administración Tributaria o cualquier prestador de servicios de certificación autorizado por el Banco de México. Para tales efectos, el Servicio de Administración Tributaria validará la información relacionada con su identidad, domicilio y, en su caso, sobre su situación fiscal, en términos del artículo 27 del presente Código; de no hacerlo, la autoridad podrá negar el otorgamiento de la firma electrónica avanzada. El Servicio de Administración Tributaria, mediante reglas de carácter general, podrá establecer los documentos y el procedimiento para validar la información proporcionada por los contribuyentes.</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17-H.</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a </w:t>
      </w:r>
      <w:r w:rsidRPr="00CB470F">
        <w:rPr>
          <w:rFonts w:ascii="Verdana" w:hAnsi="Verdana"/>
          <w:b/>
          <w:bCs/>
          <w:sz w:val="20"/>
        </w:rPr>
        <w:t>IX. ...</w:t>
      </w:r>
    </w:p>
    <w:p w:rsidR="00CB470F" w:rsidRPr="00CB470F" w:rsidRDefault="00CB470F" w:rsidP="00CB470F">
      <w:pPr>
        <w:rPr>
          <w:rFonts w:ascii="Verdana" w:hAnsi="Verdana"/>
          <w:sz w:val="20"/>
        </w:rPr>
      </w:pPr>
      <w:r w:rsidRPr="00CB470F">
        <w:rPr>
          <w:rFonts w:ascii="Verdana" w:hAnsi="Verdana"/>
          <w:b/>
          <w:bCs/>
          <w:sz w:val="20"/>
        </w:rPr>
        <w:t>X.</w:t>
      </w:r>
      <w:r w:rsidRPr="00CB470F">
        <w:rPr>
          <w:rFonts w:ascii="Verdana" w:hAnsi="Verdana"/>
          <w:sz w:val="20"/>
        </w:rPr>
        <w:t>       Se agote el procedimiento previsto en el artículo 17-H Bis de este Código y no se hayan subsanado las irregularidades detectadas o desvirtuado las causas que motivaron la restricción temporal del certificado.</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Cuando se haya dejado sin efectos el certificado de sello digital por la realización de conductas que resulten materialmente imposibles de subsanar o desvirtuar conforme al párrafo anterior, el Servicio de Administración Tributaria podrá, mediante reglas de carácter general, establecer condiciones y requisitos para que los contribuyentes estén en posibilidad de obtener un nuevo certificado.</w:t>
      </w:r>
    </w:p>
    <w:p w:rsidR="00CB470F" w:rsidRPr="00CB470F" w:rsidRDefault="00CB470F" w:rsidP="00CB470F">
      <w:pPr>
        <w:rPr>
          <w:rFonts w:ascii="Verdana" w:hAnsi="Verdana"/>
          <w:sz w:val="20"/>
        </w:rPr>
      </w:pPr>
      <w:r w:rsidRPr="00CB470F">
        <w:rPr>
          <w:rFonts w:ascii="Verdana" w:hAnsi="Verdana"/>
          <w:b/>
          <w:bCs/>
          <w:sz w:val="20"/>
        </w:rPr>
        <w:lastRenderedPageBreak/>
        <w:t>Artículo 17-H Bis. </w:t>
      </w:r>
      <w:r w:rsidRPr="00CB470F">
        <w:rPr>
          <w:rFonts w:ascii="Verdana" w:hAnsi="Verdana"/>
          <w:sz w:val="20"/>
        </w:rPr>
        <w:t>Tratándose de certificados de sello digital para la expedición de comprobantes fiscales digitales por Internet, previo a que se dejen sin efectos los referidos certificados, las autoridades fiscales podrán restringir temporalmente el uso de los mismos cuando:</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       Detecten que los contribuyentes, en un ejercicio fiscal y estando obligados a ello, omitan la presentación de la declaración anual transcurrido un mes posterior a la fecha en que se encontraban obligados a hacerlo en términos de las disposiciones fiscales, o de dos o más declaraciones provisionales o definitivas consecutivas o no consecutivas.</w:t>
      </w:r>
    </w:p>
    <w:p w:rsidR="00CB470F" w:rsidRPr="00CB470F" w:rsidRDefault="00CB470F" w:rsidP="00CB470F">
      <w:pPr>
        <w:rPr>
          <w:rFonts w:ascii="Verdana" w:hAnsi="Verdana"/>
          <w:sz w:val="20"/>
        </w:rPr>
      </w:pPr>
      <w:r w:rsidRPr="00CB470F">
        <w:rPr>
          <w:rFonts w:ascii="Verdana" w:hAnsi="Verdana"/>
          <w:b/>
          <w:bCs/>
          <w:sz w:val="20"/>
        </w:rPr>
        <w:t>II. </w:t>
      </w:r>
      <w:r w:rsidRPr="00CB470F">
        <w:rPr>
          <w:rFonts w:ascii="Verdana" w:hAnsi="Verdana"/>
          <w:sz w:val="20"/>
        </w:rPr>
        <w:t>      Durante el procedimiento administrativo de ejecución no localicen al contribuyente o éste desaparezca.</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En el ejercicio de sus facultades, detecten que el contribuyente no puede ser localizado en su domicilio fiscal, desaparezca durante el procedimiento, desocupe su domicilio fiscal sin presentar el aviso de cambio correspondiente en el registro federal de contribuyentes, se ignore su domicilio, o bien, dentro de dicho ejercicio de facultades se tenga conocimiento de que los comprobantes fiscales emitidos se utilizaron para amparar operaciones inexistentes, simuladas o ilícitas.</w:t>
      </w:r>
    </w:p>
    <w:p w:rsidR="00CB470F" w:rsidRPr="00CB470F" w:rsidRDefault="00CB470F" w:rsidP="00CB470F">
      <w:pPr>
        <w:rPr>
          <w:rFonts w:ascii="Verdana" w:hAnsi="Verdana"/>
          <w:sz w:val="20"/>
        </w:rPr>
      </w:pPr>
      <w:r w:rsidRPr="00CB470F">
        <w:rPr>
          <w:rFonts w:ascii="Verdana" w:hAnsi="Verdana"/>
          <w:sz w:val="20"/>
        </w:rPr>
        <w:t>         Para efectos de esta fracción, se entenderá que las autoridades fiscales actúan en el ejercicio de sus facultades de comprobación desde el momento en que realizan la primera gestión para la notificación del documento que ordene su práctica.</w:t>
      </w:r>
    </w:p>
    <w:p w:rsidR="00CB470F" w:rsidRPr="00CB470F" w:rsidRDefault="00CB470F" w:rsidP="00CB470F">
      <w:pPr>
        <w:rPr>
          <w:rFonts w:ascii="Verdana" w:hAnsi="Verdana"/>
          <w:sz w:val="20"/>
        </w:rPr>
      </w:pPr>
      <w:r w:rsidRPr="00CB470F">
        <w:rPr>
          <w:rFonts w:ascii="Verdana" w:hAnsi="Verdana"/>
          <w:b/>
          <w:bCs/>
          <w:sz w:val="20"/>
        </w:rPr>
        <w:t>IV. </w:t>
      </w:r>
      <w:r w:rsidRPr="00CB470F">
        <w:rPr>
          <w:rFonts w:ascii="Verdana" w:hAnsi="Verdana"/>
          <w:sz w:val="20"/>
        </w:rPr>
        <w:t>     Detecten que el contribuyente emisor de comprobantes fiscales no desvirtuó la presunción de la inexistencia de las operaciones amparadas en tales comprobantes y, por tanto, se encuentra definitivamente en dicha situación, en términos del artículo 69-B, cuarto párrafo de este Código.</w:t>
      </w:r>
    </w:p>
    <w:p w:rsidR="00CB470F" w:rsidRPr="00CB470F" w:rsidRDefault="00CB470F" w:rsidP="00CB470F">
      <w:pPr>
        <w:rPr>
          <w:rFonts w:ascii="Verdana" w:hAnsi="Verdana"/>
          <w:sz w:val="20"/>
        </w:rPr>
      </w:pPr>
      <w:r w:rsidRPr="00CB470F">
        <w:rPr>
          <w:rFonts w:ascii="Verdana" w:hAnsi="Verdana"/>
          <w:b/>
          <w:bCs/>
          <w:sz w:val="20"/>
        </w:rPr>
        <w:t>V. </w:t>
      </w:r>
      <w:r w:rsidRPr="00CB470F">
        <w:rPr>
          <w:rFonts w:ascii="Verdana" w:hAnsi="Verdana"/>
          <w:sz w:val="20"/>
        </w:rPr>
        <w:t>      Detecten que se trata de contribuyentes que se ubiquen en el supuesto a que se refiere el octavo párrafo del artículo 69-B de este Código y, que una vez transcurrido el plazo previsto en dicho párrafo no acreditaron la efectiva adquisición de los bienes o recepción de los servicios, ni corrigieron su situación fiscal.</w:t>
      </w:r>
    </w:p>
    <w:p w:rsidR="00CB470F" w:rsidRPr="00CB470F" w:rsidRDefault="00CB470F" w:rsidP="00CB470F">
      <w:pPr>
        <w:rPr>
          <w:rFonts w:ascii="Verdana" w:hAnsi="Verdana"/>
          <w:sz w:val="20"/>
        </w:rPr>
      </w:pPr>
      <w:r w:rsidRPr="00CB470F">
        <w:rPr>
          <w:rFonts w:ascii="Verdana" w:hAnsi="Verdana"/>
          <w:b/>
          <w:bCs/>
          <w:sz w:val="20"/>
        </w:rPr>
        <w:t>VI. </w:t>
      </w:r>
      <w:r w:rsidRPr="00CB470F">
        <w:rPr>
          <w:rFonts w:ascii="Verdana" w:hAnsi="Verdana"/>
          <w:sz w:val="20"/>
        </w:rPr>
        <w:t>     Derivado de la verificación prevista en el artículo 27 de este Código, detecten que el domicilio fiscal señalado por el contribuyente no cumple con los supuestos del artículo 10 de este Código.</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Detecten que el ingreso declarado, así como el impuesto retenido por el contribuyente, manifestados en las declaraciones de pagos provisionales, retenciones, definitivos o anuales, no concuerden con los señalados en los comprobantes fiscales digitales por Internet, expedientes, documentos o bases de datos que lleven las autoridades fiscales, tengan en su poder o a las que tengan acceso.</w:t>
      </w:r>
    </w:p>
    <w:p w:rsidR="00CB470F" w:rsidRPr="00CB470F" w:rsidRDefault="00CB470F" w:rsidP="00CB470F">
      <w:pPr>
        <w:rPr>
          <w:rFonts w:ascii="Verdana" w:hAnsi="Verdana"/>
          <w:sz w:val="20"/>
        </w:rPr>
      </w:pPr>
      <w:r w:rsidRPr="00CB470F">
        <w:rPr>
          <w:rFonts w:ascii="Verdana" w:hAnsi="Verdana"/>
          <w:b/>
          <w:bCs/>
          <w:sz w:val="20"/>
        </w:rPr>
        <w:t>VIII.</w:t>
      </w:r>
      <w:r w:rsidRPr="00CB470F">
        <w:rPr>
          <w:rFonts w:ascii="Verdana" w:hAnsi="Verdana"/>
          <w:sz w:val="20"/>
        </w:rPr>
        <w:t>    Detecten que, por causas imputables a los contribuyentes, los medios de contacto establecidos por el Servicio de Administración Tributaria mediante reglas de carácter general, registrados para el uso del buzón tributario, no son correctos o auténticos.</w:t>
      </w:r>
    </w:p>
    <w:p w:rsidR="00CB470F" w:rsidRPr="00CB470F" w:rsidRDefault="00CB470F" w:rsidP="00CB470F">
      <w:pPr>
        <w:rPr>
          <w:rFonts w:ascii="Verdana" w:hAnsi="Verdana"/>
          <w:sz w:val="20"/>
        </w:rPr>
      </w:pPr>
      <w:r w:rsidRPr="00CB470F">
        <w:rPr>
          <w:rFonts w:ascii="Verdana" w:hAnsi="Verdana"/>
          <w:b/>
          <w:bCs/>
          <w:sz w:val="20"/>
        </w:rPr>
        <w:lastRenderedPageBreak/>
        <w:t>IX. </w:t>
      </w:r>
      <w:r w:rsidRPr="00CB470F">
        <w:rPr>
          <w:rFonts w:ascii="Verdana" w:hAnsi="Verdana"/>
          <w:sz w:val="20"/>
        </w:rPr>
        <w:t>     Detecten la comisión de una o más de las conductas infractoras previstas en los artículos 79, 81 y 83 de este ordenamiento, y la conducta sea realizada por el contribuyente titular del certificado de sello digital.</w:t>
      </w:r>
    </w:p>
    <w:p w:rsidR="00CB470F" w:rsidRPr="00CB470F" w:rsidRDefault="00CB470F" w:rsidP="00CB470F">
      <w:pPr>
        <w:rPr>
          <w:rFonts w:ascii="Verdana" w:hAnsi="Verdana"/>
          <w:sz w:val="20"/>
        </w:rPr>
      </w:pPr>
      <w:r w:rsidRPr="00CB470F">
        <w:rPr>
          <w:rFonts w:ascii="Verdana" w:hAnsi="Verdana"/>
          <w:b/>
          <w:bCs/>
          <w:sz w:val="20"/>
        </w:rPr>
        <w:t>X. </w:t>
      </w:r>
      <w:r w:rsidRPr="00CB470F">
        <w:rPr>
          <w:rFonts w:ascii="Verdana" w:hAnsi="Verdana"/>
          <w:sz w:val="20"/>
        </w:rPr>
        <w:t>      Detecten que se trata de contribuyentes que no desvirtuaron la presunción de transmitir indebidamente pérdidas fiscales y, por tanto, se encuentren en el listado a que se refiere el octavo párrafo del artículo 69-B Bis de este Código.</w:t>
      </w:r>
    </w:p>
    <w:p w:rsidR="00CB470F" w:rsidRPr="00CB470F" w:rsidRDefault="00CB470F" w:rsidP="00CB470F">
      <w:pPr>
        <w:rPr>
          <w:rFonts w:ascii="Verdana" w:hAnsi="Verdana"/>
          <w:sz w:val="20"/>
        </w:rPr>
      </w:pPr>
      <w:r w:rsidRPr="00CB470F">
        <w:rPr>
          <w:rFonts w:ascii="Verdana" w:hAnsi="Verdana"/>
          <w:sz w:val="20"/>
        </w:rPr>
        <w:t>Los contribuyentes a quienes se les haya restringido temporalmente el uso del certificado de sello digital para la expedición de comprobantes fiscales digitales por Internet podrán presentar la solicitud de aclaración a través del procedimiento que, mediante reglas de carácter general, determine el Servicio de Administración Tributaria para subsanar las irregularidades detectadas, o bien, para desvirtuar las causas que motivaron la aplicación de tal medida, en el cual podrán aportar las pruebas que a su derecho convenga, a fin de que, al día siguiente al de la solicitud se restablezca el uso de dicho certificado. La autoridad fiscal deberá emitir la resolución sobre dicho procedimiento en un plazo máximo de diez días, contado a partir del día siguiente a aquél en que se reciba la solicitud correspondiente; hasta en tanto se emita la resolución correspondiente, la autoridad fiscal permitirá el uso del certificado de sello digital para la expedición de comprobantes fiscales digitales por Internet. La resolución a que se refiere este párrafo se dará a conocer al contribuyente a través del buzón tributario.</w:t>
      </w:r>
    </w:p>
    <w:p w:rsidR="00CB470F" w:rsidRPr="00CB470F" w:rsidRDefault="00CB470F" w:rsidP="00CB470F">
      <w:pPr>
        <w:rPr>
          <w:rFonts w:ascii="Verdana" w:hAnsi="Verdana"/>
          <w:sz w:val="20"/>
        </w:rPr>
      </w:pPr>
      <w:r w:rsidRPr="00CB470F">
        <w:rPr>
          <w:rFonts w:ascii="Verdana" w:hAnsi="Verdana"/>
          <w:sz w:val="20"/>
        </w:rPr>
        <w:t>Para los efectos del párrafo anterior, la autoridad fiscal podrá requerir al contribuyente mediante oficio que se notificará por medio del buzón tributario, dentro de los cinco días siguientes a aquél en que el contribuyente haya presentado su solicitud de aclaración, los datos, información o documentación adicional que considere necesarios, otorgándole un plazo máximo de cinco días para su presentación, contados a partir de la fecha en que surta efectos la notificación del requerimiento.</w:t>
      </w:r>
    </w:p>
    <w:p w:rsidR="00CB470F" w:rsidRPr="00CB470F" w:rsidRDefault="00CB470F" w:rsidP="00CB470F">
      <w:pPr>
        <w:rPr>
          <w:rFonts w:ascii="Verdana" w:hAnsi="Verdana"/>
          <w:sz w:val="20"/>
        </w:rPr>
      </w:pPr>
      <w:r w:rsidRPr="00CB470F">
        <w:rPr>
          <w:rFonts w:ascii="Verdana" w:hAnsi="Verdana"/>
          <w:sz w:val="20"/>
        </w:rPr>
        <w:t>Los contribuyentes podrán solicitar a través del buzón tributario, por única ocasión, una prórroga de cinco</w:t>
      </w:r>
    </w:p>
    <w:p w:rsidR="00CB470F" w:rsidRPr="00CB470F" w:rsidRDefault="00CB470F" w:rsidP="00CB470F">
      <w:pPr>
        <w:rPr>
          <w:rFonts w:ascii="Verdana" w:hAnsi="Verdana"/>
          <w:sz w:val="20"/>
        </w:rPr>
      </w:pPr>
      <w:r w:rsidRPr="00CB470F">
        <w:rPr>
          <w:rFonts w:ascii="Verdana" w:hAnsi="Verdana"/>
          <w:sz w:val="20"/>
        </w:rPr>
        <w:t>días al plazo a que se refiere el párrafo anterior, para aportar los datos, información o documentación requerida, siempre y cuando la solicitud de prórroga se efectúe dentro de dicho plazo. La prórroga solicitada se entenderá otorgada sin necesidad de que exista pronunciamiento por parte de la autoridad y se comenzará a computar a partir del día siguiente al del vencimiento del plazo previsto en el párrafo anterior.</w:t>
      </w:r>
    </w:p>
    <w:p w:rsidR="00CB470F" w:rsidRPr="00CB470F" w:rsidRDefault="00CB470F" w:rsidP="00CB470F">
      <w:pPr>
        <w:rPr>
          <w:rFonts w:ascii="Verdana" w:hAnsi="Verdana"/>
          <w:sz w:val="20"/>
        </w:rPr>
      </w:pPr>
      <w:r w:rsidRPr="00CB470F">
        <w:rPr>
          <w:rFonts w:ascii="Verdana" w:hAnsi="Verdana"/>
          <w:sz w:val="20"/>
        </w:rPr>
        <w:t>Transcurrido el plazo para aportar los datos, información o documentación requeridos y, en su caso, el de la prórroga, sin que el contribuyente conteste el requerimiento, se tendrá por no presentada su solicitud. El plazo de diez días para resolver la solicitud de aclaración comenzará a computarse a partir del día siguiente a aquél en que concluya el plazo para aportar los datos, información o documentación requeridos o, en su caso, el de la prórroga.</w:t>
      </w:r>
    </w:p>
    <w:p w:rsidR="00CB470F" w:rsidRPr="00CB470F" w:rsidRDefault="00CB470F" w:rsidP="00CB470F">
      <w:pPr>
        <w:rPr>
          <w:rFonts w:ascii="Verdana" w:hAnsi="Verdana"/>
          <w:sz w:val="20"/>
        </w:rPr>
      </w:pPr>
      <w:r w:rsidRPr="00CB470F">
        <w:rPr>
          <w:rFonts w:ascii="Verdana" w:hAnsi="Verdana"/>
          <w:sz w:val="20"/>
        </w:rPr>
        <w:t xml:space="preserve">Asimismo, si del análisis a los datos, información o documentación presentada por el contribuyente a través de su solicitud de aclaración o en atención al requerimiento, </w:t>
      </w:r>
      <w:r w:rsidRPr="00CB470F">
        <w:rPr>
          <w:rFonts w:ascii="Verdana" w:hAnsi="Verdana"/>
          <w:sz w:val="20"/>
        </w:rPr>
        <w:lastRenderedPageBreak/>
        <w:t>resulta necesario que la autoridad fiscal realice alguna diligencia o desahogue algún procedimiento para estar en aptitud de resolver la solicitud de aclaración respectiva, la autoridad fiscal deberá informar tal circunstancia al contribuyente, mediante oficio que se notificará por medio del buzón tributario, dentro de los cinco días siguientes a aquél en que éste haya presentado la solicitud de aclaración o haya atendido el requerimiento, en cuyo caso la diligencia o el procedimiento de que se trate deberá efectuarse en un plazo no mayor a cinco días, contados a partir de la fecha en que surta efectos la notificación del oficio correspondiente. El plazo de diez días para resolver la solicitud de aclaración comenzará a computarse a partir de la fecha en que la diligencia o procedimiento se haya desahogado.</w:t>
      </w:r>
    </w:p>
    <w:p w:rsidR="00CB470F" w:rsidRPr="00CB470F" w:rsidRDefault="00CB470F" w:rsidP="00CB470F">
      <w:pPr>
        <w:rPr>
          <w:rFonts w:ascii="Verdana" w:hAnsi="Verdana"/>
          <w:sz w:val="20"/>
        </w:rPr>
      </w:pPr>
      <w:r w:rsidRPr="00CB470F">
        <w:rPr>
          <w:rFonts w:ascii="Verdana" w:hAnsi="Verdana"/>
          <w:sz w:val="20"/>
        </w:rPr>
        <w:t>Cuando derivado de la valoración realizada por la autoridad fiscal respecto de la solicitud de aclaración del contribuyente, se determine que éste no subsanó las irregularidades detectadas, o bien, no desvirtúo las causas que motivaron la restricción provisional del certificado de sello digital, la autoridad emitirá resolución para dejar sin efectos el certificado de sello digital.</w:t>
      </w:r>
    </w:p>
    <w:p w:rsidR="00CB470F" w:rsidRPr="00CB470F" w:rsidRDefault="00CB470F" w:rsidP="00CB470F">
      <w:pPr>
        <w:rPr>
          <w:rFonts w:ascii="Verdana" w:hAnsi="Verdana"/>
          <w:sz w:val="20"/>
        </w:rPr>
      </w:pPr>
      <w:r w:rsidRPr="00CB470F">
        <w:rPr>
          <w:rFonts w:ascii="Verdana" w:hAnsi="Verdana"/>
          <w:b/>
          <w:bCs/>
          <w:sz w:val="20"/>
        </w:rPr>
        <w:t>Artículo 17-K.</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Para efectos de lo previsto en el párrafo anterior, los contribuyentes deberán habilitar el buzón tributario, registrar y mantener actualizados los medios de contacto, de acuerdo con el procedimiento que al efecto establezca el Servicio de Administración Tributaria mediante reglas de carácter general.</w:t>
      </w:r>
    </w:p>
    <w:p w:rsidR="00CB470F" w:rsidRPr="00CB470F" w:rsidRDefault="00CB470F" w:rsidP="00CB470F">
      <w:pPr>
        <w:rPr>
          <w:rFonts w:ascii="Verdana" w:hAnsi="Verdana"/>
          <w:sz w:val="20"/>
        </w:rPr>
      </w:pPr>
      <w:r w:rsidRPr="00CB470F">
        <w:rPr>
          <w:rFonts w:ascii="Verdana" w:hAnsi="Verdana"/>
          <w:sz w:val="20"/>
        </w:rPr>
        <w:t>Cuando el contribuyente no habilite el buzón tributario o señale medios de contacto erróneos o inexistentes, o bien, no los mantenga actualizados, se entenderá que se opone a la notificación y la autoridad podrá notificarle conforme a lo señalado en el artículo 134, fracción III de este Código.</w:t>
      </w:r>
    </w:p>
    <w:p w:rsidR="00CB470F" w:rsidRPr="00CB470F" w:rsidRDefault="00CB470F" w:rsidP="00CB470F">
      <w:pPr>
        <w:rPr>
          <w:rFonts w:ascii="Verdana" w:hAnsi="Verdana"/>
          <w:sz w:val="20"/>
        </w:rPr>
      </w:pPr>
      <w:r w:rsidRPr="00CB470F">
        <w:rPr>
          <w:rFonts w:ascii="Verdana" w:hAnsi="Verdana"/>
          <w:b/>
          <w:bCs/>
          <w:sz w:val="20"/>
        </w:rPr>
        <w:t>Artículo 23.</w:t>
      </w:r>
      <w:r w:rsidRPr="00CB470F">
        <w:rPr>
          <w:rFonts w:ascii="Verdana" w:hAnsi="Verdana"/>
          <w:sz w:val="20"/>
        </w:rPr>
        <w:t> Los contribuyentes obligados a pagar mediante declaración únicamente podrán optar por compensar las cantidades que tengan a su favor contra las que estén obligados a pagar por adeudo propio, siempre que ambas deriven de un mismo impuesto, incluyendo sus accesorios. Al efecto, bastará que efectúen la compensación de dichas cantidades actualizadas, conforme a lo previsto en el artículo 17-A de este Código, desde el mes en que se realizó el pago de lo indebido o se presentó la declaración que contenga el saldo a favor, hasta aquel en que la compensación se realice. Los contribuyentes que presenten el aviso de compensación, deben acompañar los documentos que establezca el Servicio de Administración Tributaria mediante reglas de carácter general. En dichas reglas también se establecerán los plazos para la presentación del aviso mencionado. Lo dispuesto en este párrafo no será aplicable tratándose de los impuestos que se causen con motivo de la importación ni aquéllos que tengan un fin específico.</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26.</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y</w:t>
      </w:r>
      <w:r w:rsidRPr="00CB470F">
        <w:rPr>
          <w:rFonts w:ascii="Verdana" w:hAnsi="Verdana"/>
          <w:b/>
          <w:bCs/>
          <w:sz w:val="20"/>
        </w:rPr>
        <w:t> II. ...</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Los liquidadores y síndicos por las contribuciones que debieron pagar a cargo de la sociedad en liquidación o quiebra, así como de aquellas que se causaron durante su gestión.</w:t>
      </w:r>
    </w:p>
    <w:p w:rsidR="00CB470F" w:rsidRPr="00CB470F" w:rsidRDefault="00CB470F" w:rsidP="00CB470F">
      <w:pPr>
        <w:rPr>
          <w:rFonts w:ascii="Verdana" w:hAnsi="Verdana"/>
          <w:sz w:val="20"/>
        </w:rPr>
      </w:pPr>
      <w:r w:rsidRPr="00CB470F">
        <w:rPr>
          <w:rFonts w:ascii="Verdana" w:hAnsi="Verdana"/>
          <w:sz w:val="20"/>
        </w:rPr>
        <w:t>         La persona o personas cualquiera que sea el nombre con que se les designe, que tengan conferida la dirección general, la gerencia general, o la administración única de las personas morales, serán responsables solidarios por las contribuciones causadas o no retenidas por dichas personas morales durante su gestión, así como por las que debieron pagarse o enterarse durante la misma,</w:t>
      </w:r>
    </w:p>
    <w:p w:rsidR="00CB470F" w:rsidRPr="00CB470F" w:rsidRDefault="00CB470F" w:rsidP="00CB470F">
      <w:pPr>
        <w:rPr>
          <w:rFonts w:ascii="Verdana" w:hAnsi="Verdana"/>
          <w:sz w:val="20"/>
        </w:rPr>
      </w:pPr>
      <w:r w:rsidRPr="00CB470F">
        <w:rPr>
          <w:rFonts w:ascii="Verdana" w:hAnsi="Verdana"/>
          <w:sz w:val="20"/>
        </w:rPr>
        <w:t>en la parte del interés fiscal que no alcance a ser garantizada con los bienes de la persona moral que dirigen, cuando dicha persona moral incurra en cualquiera de los supuestos a que se refieren los incisos a), b), c), d), e), f), g), h) e i) de la fracción X de este artículo.</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a </w:t>
      </w:r>
      <w:r w:rsidRPr="00CB470F">
        <w:rPr>
          <w:rFonts w:ascii="Verdana" w:hAnsi="Verdana"/>
          <w:b/>
          <w:bCs/>
          <w:sz w:val="20"/>
        </w:rPr>
        <w:t>IX</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X.</w:t>
      </w:r>
      <w:r w:rsidRPr="00CB470F">
        <w:rPr>
          <w:rFonts w:ascii="Verdana" w:hAnsi="Verdana"/>
          <w:sz w:val="20"/>
        </w:rPr>
        <w:t>       Los socios o accionistas, respecto de las contribuciones que se hubieran causado en relación con las actividades realizadas por la sociedad cuando tenía tal calidad, en la parte del interés fiscal que no alcance a ser garantizada con los bienes de la misma, sin que la responsabilidad exceda de la participación que tenía en el capital social de la sociedad durante el período o a la fecha de que se trate, cuando dicha persona moral incurra en cualquiera de los siguientes supuestos:</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No solicite su inscripción en el Registro Federal de Contribuyentes.</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Cambie su domicilio sin presentar el aviso correspondiente en los términos del Reglamento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éste se haya cubierto o hubiera quedado sin efectos.</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No lleve contabilidad, la oculte o la destruya.</w:t>
      </w:r>
    </w:p>
    <w:p w:rsidR="00CB470F" w:rsidRPr="00CB470F" w:rsidRDefault="00CB470F" w:rsidP="00CB470F">
      <w:pPr>
        <w:rPr>
          <w:rFonts w:ascii="Verdana" w:hAnsi="Verdana"/>
          <w:sz w:val="20"/>
        </w:rPr>
      </w:pPr>
      <w:r w:rsidRPr="00CB470F">
        <w:rPr>
          <w:rFonts w:ascii="Verdana" w:hAnsi="Verdana"/>
          <w:b/>
          <w:bCs/>
          <w:sz w:val="20"/>
        </w:rPr>
        <w:t>d)</w:t>
      </w:r>
      <w:r w:rsidRPr="00CB470F">
        <w:rPr>
          <w:rFonts w:ascii="Verdana" w:hAnsi="Verdana"/>
          <w:sz w:val="20"/>
        </w:rPr>
        <w:t>    Desocupe el local donde tenga su domicilio fiscal, sin presentar el aviso de cambio de domicilio en los términos del Reglamento de este Código.</w:t>
      </w:r>
    </w:p>
    <w:p w:rsidR="00CB470F" w:rsidRPr="00CB470F" w:rsidRDefault="00CB470F" w:rsidP="00CB470F">
      <w:pPr>
        <w:rPr>
          <w:rFonts w:ascii="Verdana" w:hAnsi="Verdana"/>
          <w:sz w:val="20"/>
        </w:rPr>
      </w:pPr>
      <w:r w:rsidRPr="00CB470F">
        <w:rPr>
          <w:rFonts w:ascii="Verdana" w:hAnsi="Verdana"/>
          <w:b/>
          <w:bCs/>
          <w:sz w:val="20"/>
        </w:rPr>
        <w:t>e)</w:t>
      </w:r>
      <w:r w:rsidRPr="00CB470F">
        <w:rPr>
          <w:rFonts w:ascii="Verdana" w:hAnsi="Verdana"/>
          <w:sz w:val="20"/>
        </w:rPr>
        <w:t>    No se localice en el domicilio fiscal registrado ante el Registro Federal de Contribuyentes.</w:t>
      </w:r>
    </w:p>
    <w:p w:rsidR="00CB470F" w:rsidRPr="00CB470F" w:rsidRDefault="00CB470F" w:rsidP="00CB470F">
      <w:pPr>
        <w:rPr>
          <w:rFonts w:ascii="Verdana" w:hAnsi="Verdana"/>
          <w:sz w:val="20"/>
        </w:rPr>
      </w:pPr>
      <w:r w:rsidRPr="00CB470F">
        <w:rPr>
          <w:rFonts w:ascii="Verdana" w:hAnsi="Verdana"/>
          <w:b/>
          <w:bCs/>
          <w:sz w:val="20"/>
        </w:rPr>
        <w:lastRenderedPageBreak/>
        <w:t>f)</w:t>
      </w:r>
      <w:r w:rsidRPr="00CB470F">
        <w:rPr>
          <w:rFonts w:ascii="Verdana" w:hAnsi="Verdana"/>
          <w:sz w:val="20"/>
        </w:rPr>
        <w:t>     Omita enterar a las autoridades fiscales, dentro del plazo que las leyes establezcan, las cantidades que por concepto de contribuciones hubiere retenido o recaudado.</w:t>
      </w:r>
    </w:p>
    <w:p w:rsidR="00CB470F" w:rsidRPr="00CB470F" w:rsidRDefault="00CB470F" w:rsidP="00CB470F">
      <w:pPr>
        <w:rPr>
          <w:rFonts w:ascii="Verdana" w:hAnsi="Verdana"/>
          <w:sz w:val="20"/>
        </w:rPr>
      </w:pPr>
      <w:r w:rsidRPr="00CB470F">
        <w:rPr>
          <w:rFonts w:ascii="Verdana" w:hAnsi="Verdana"/>
          <w:b/>
          <w:bCs/>
          <w:sz w:val="20"/>
        </w:rPr>
        <w:t>g)</w:t>
      </w:r>
      <w:r w:rsidRPr="00CB470F">
        <w:rPr>
          <w:rFonts w:ascii="Verdana" w:hAnsi="Verdana"/>
          <w:sz w:val="20"/>
        </w:rPr>
        <w:t>    Se encuentre en el listado a que se refiere el artículo 69-B, cuarto párrafo de este Código, por haberse ubicado en definitiva en el supuesto de presunción de haber emitido comprobantes que amparan operaciones inexistentes a que se refiere dicho artículo.</w:t>
      </w:r>
    </w:p>
    <w:p w:rsidR="00CB470F" w:rsidRPr="00CB470F" w:rsidRDefault="00CB470F" w:rsidP="00CB470F">
      <w:pPr>
        <w:rPr>
          <w:rFonts w:ascii="Verdana" w:hAnsi="Verdana"/>
          <w:sz w:val="20"/>
        </w:rPr>
      </w:pPr>
      <w:r w:rsidRPr="00CB470F">
        <w:rPr>
          <w:rFonts w:ascii="Verdana" w:hAnsi="Verdana"/>
          <w:b/>
          <w:bCs/>
          <w:sz w:val="20"/>
        </w:rPr>
        <w:t>h)</w:t>
      </w:r>
      <w:r w:rsidRPr="00CB470F">
        <w:rPr>
          <w:rFonts w:ascii="Verdana" w:hAnsi="Verdana"/>
          <w:sz w:val="20"/>
        </w:rPr>
        <w:t>    Se encuentre en el supuesto a que se refiere el artículo 69-B, octavo párrafo de este Código, por no haber acreditado la efectiva adquisición de los bienes o recepción de los servicios, ni corregido su situación fiscal, cuando en un ejercicio fiscal dicha persona moral haya recibido comprobantes fiscales de uno o varios contribuyentes que se encuentren en el supuesto a que se refiere el cuarto párrafo del artículo 69-B del este código, por un monto superior a $7'804,230.00.</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Se encuentre en el listado a que se refiere el artículo 69-B Bis, octavo párrafo de este Código, por haberse ubicado en definitiva en el supuesto de presunción de haber transmitido indebidamente pérdidas fiscales a que se refiere dicho artículo. Cuando la transmisión indebida de pérdidas fiscales sea consecuencia del supuesto a que se refiere la fracción III del mencionado artículo, también se considerarán responsables solidarios los socios o accionistas de la sociedad que adquirió y disminuyó indebidamente las pérdidas fiscales, siempre que con motivo de la reestructuración, escisión o fusión de sociedades, o bien, de cambio de socios o accionistas, la sociedad deje de formar parte del grupo al que perteneció.</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XI. </w:t>
      </w:r>
      <w:r w:rsidRPr="00CB470F">
        <w:rPr>
          <w:rFonts w:ascii="Verdana" w:hAnsi="Verdana"/>
          <w:sz w:val="20"/>
        </w:rPr>
        <w:t>a</w:t>
      </w:r>
      <w:r w:rsidRPr="00CB470F">
        <w:rPr>
          <w:rFonts w:ascii="Verdana" w:hAnsi="Verdana"/>
          <w:b/>
          <w:bCs/>
          <w:sz w:val="20"/>
        </w:rPr>
        <w:t> XVI. ...</w:t>
      </w:r>
    </w:p>
    <w:p w:rsidR="00CB470F" w:rsidRPr="00CB470F" w:rsidRDefault="00CB470F" w:rsidP="00CB470F">
      <w:pPr>
        <w:rPr>
          <w:rFonts w:ascii="Verdana" w:hAnsi="Verdana"/>
          <w:sz w:val="20"/>
        </w:rPr>
      </w:pPr>
      <w:r w:rsidRPr="00CB470F">
        <w:rPr>
          <w:rFonts w:ascii="Verdana" w:hAnsi="Verdana"/>
          <w:b/>
          <w:bCs/>
          <w:sz w:val="20"/>
        </w:rPr>
        <w:t>XVII.</w:t>
      </w:r>
      <w:r w:rsidRPr="00CB470F">
        <w:rPr>
          <w:rFonts w:ascii="Verdana" w:hAnsi="Verdana"/>
          <w:sz w:val="20"/>
        </w:rPr>
        <w:t>   Los asociantes, respecto de las contribuciones que se hubieran causado en relación con las actividades realizadas mediante la asociación en participación, cuando tenían tal calidad, en la parte del interés fiscal que no alcance a ser garantizada por los bienes de la misma, siempre que la asociación en participación incurra en cualquiera de los supuestos a que se refieren los incisos a), b), c), d), e), f), g), h) e i) de la fracción X de este artículo, sin que la responsabilidad exceda de la aportación hecha a la asociación en participación durante el período o la fecha de que se trate.</w:t>
      </w:r>
    </w:p>
    <w:p w:rsidR="00CB470F" w:rsidRPr="00CB470F" w:rsidRDefault="00CB470F" w:rsidP="00CB470F">
      <w:pPr>
        <w:rPr>
          <w:rFonts w:ascii="Verdana" w:hAnsi="Verdana"/>
          <w:sz w:val="20"/>
        </w:rPr>
      </w:pPr>
      <w:r w:rsidRPr="00CB470F">
        <w:rPr>
          <w:rFonts w:ascii="Verdana" w:hAnsi="Verdana"/>
          <w:b/>
          <w:bCs/>
          <w:sz w:val="20"/>
        </w:rPr>
        <w:t>XVIII.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27. </w:t>
      </w:r>
      <w:r w:rsidRPr="00CB470F">
        <w:rPr>
          <w:rFonts w:ascii="Verdana" w:hAnsi="Verdana"/>
          <w:sz w:val="20"/>
        </w:rPr>
        <w:t>En materia del Registro Federal de Contribuyentes, se estará a lo siguiente:</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Sujetos y sus obligaciones específicas:</w:t>
      </w:r>
    </w:p>
    <w:p w:rsidR="00CB470F" w:rsidRPr="00CB470F" w:rsidRDefault="00CB470F" w:rsidP="00CB470F">
      <w:pPr>
        <w:rPr>
          <w:rFonts w:ascii="Verdana" w:hAnsi="Verdana"/>
          <w:sz w:val="20"/>
        </w:rPr>
      </w:pPr>
      <w:r w:rsidRPr="00CB470F">
        <w:rPr>
          <w:rFonts w:ascii="Verdana" w:hAnsi="Verdana"/>
          <w:b/>
          <w:bCs/>
          <w:sz w:val="20"/>
        </w:rPr>
        <w:lastRenderedPageBreak/>
        <w:t>I.</w:t>
      </w:r>
      <w:r w:rsidRPr="00CB470F">
        <w:rPr>
          <w:rFonts w:ascii="Verdana" w:hAnsi="Verdana"/>
          <w:sz w:val="20"/>
        </w:rPr>
        <w:t>     Las personas físicas y personas morales están obligadas a dar cumplimiento a las fracciones</w:t>
      </w:r>
    </w:p>
    <w:p w:rsidR="00CB470F" w:rsidRPr="00CB470F" w:rsidRDefault="00CB470F" w:rsidP="00CB470F">
      <w:pPr>
        <w:rPr>
          <w:rFonts w:ascii="Verdana" w:hAnsi="Verdana"/>
          <w:sz w:val="20"/>
        </w:rPr>
      </w:pPr>
      <w:r w:rsidRPr="00CB470F">
        <w:rPr>
          <w:rFonts w:ascii="Verdana" w:hAnsi="Verdana"/>
          <w:sz w:val="20"/>
        </w:rPr>
        <w:t>I, II, III y IV del apartado B del presente artículo, siempre que:</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Deban presentar declaraciones periódicas, o</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Estén obligadas a expedir comprobantes fiscales digitales por Internet por los actos o actividades que realicen o por los ingresos que perciban.</w:t>
      </w:r>
    </w:p>
    <w:p w:rsidR="00CB470F" w:rsidRPr="00CB470F" w:rsidRDefault="00CB470F" w:rsidP="00CB470F">
      <w:pPr>
        <w:rPr>
          <w:rFonts w:ascii="Verdana" w:hAnsi="Verdana"/>
          <w:sz w:val="20"/>
        </w:rPr>
      </w:pPr>
      <w:r w:rsidRPr="00CB470F">
        <w:rPr>
          <w:rFonts w:ascii="Verdana" w:hAnsi="Verdana"/>
          <w:sz w:val="20"/>
        </w:rPr>
        <w:t>       Tratándose de personas físicas y personas morales que hayan abierto una cuenta a su nombre en las entidades del sistema financiero o en las sociedades cooperativas de ahorro y préstamo, en las que reciban depósitos o realicen operaciones susceptibles de ser sujetas de contribuciones, sólo están obligadas a dar cumplimiento a las fracciones I, II y III del apartado B del presente artículo, siempre que no se ubiquen en los supuestos de los incisos a) y b) de esta fracción.</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Las personas morales, además están obligadas a dar cumplimiento a las fracciones V y VI del apartado B del presente artículo.</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Los representantes legales, socios y accionistas de las personas morales están obligados a dar cumplimiento a las fracciones I, II, III y IV del apartado B de este artículo, así como las personas que hubiesen adquirido sus acciones a través de mercados reconocidos o de amplia bursatilidad y dichas acciones se consideren colocadas entre el gran público inversionista, siempre que, en este último supuesto, el socio o accionista no hubiere solicitado su registro en el libro de socios y accionistas.</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Las personas que hagan los pagos a que se refiere el Capítulo I del Título IV de la Ley del Impuesto sobre la Renta, deberán dar cumplimiento a la obligación prevista en la fracción VII del apartado B del presente artículo.</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Los fedatarios públicos deberán dar cumplimiento a las obligaciones previstas en las fracciones VIII, IX y X del apartado B del presente artículo.</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Las unidades administrativas y los órganos administrativos desconcentrados de las dependencias y las demás áreas u órganos de la Federación, de las Entidades Federativas, de los municipios, de los organismos descentralizados y de los órganos constitucionales autónomos, que cuenten con autorización del ente público al que pertenezcan, que tengan el carácter de retenedor o de contribuyente, de conformidad con las leyes fiscales, en forma separada del ente público al que pertenezcan, deberán dar cumplimiento a las obligaciones previstas en las fracciones I, II y III del apartado B del presente artículo.</w:t>
      </w:r>
    </w:p>
    <w:p w:rsidR="00CB470F" w:rsidRPr="00CB470F" w:rsidRDefault="00CB470F" w:rsidP="00CB470F">
      <w:pPr>
        <w:rPr>
          <w:rFonts w:ascii="Verdana" w:hAnsi="Verdana"/>
          <w:sz w:val="20"/>
        </w:rPr>
      </w:pPr>
      <w:r w:rsidRPr="00CB470F">
        <w:rPr>
          <w:rFonts w:ascii="Verdana" w:hAnsi="Verdana"/>
          <w:sz w:val="20"/>
        </w:rPr>
        <w:t>         En todos los casos, los sujetos obligados deberán conservar en el domicilio fiscal, la documentación que compruebe el cumplimiento de las obligaciones previstas en este artículo y en el Reglamento de este Código.</w:t>
      </w:r>
    </w:p>
    <w:p w:rsidR="00CB470F" w:rsidRPr="00CB470F" w:rsidRDefault="00CB470F" w:rsidP="00CB470F">
      <w:pPr>
        <w:rPr>
          <w:rFonts w:ascii="Verdana" w:hAnsi="Verdana"/>
          <w:sz w:val="20"/>
        </w:rPr>
      </w:pPr>
      <w:r w:rsidRPr="00CB470F">
        <w:rPr>
          <w:rFonts w:ascii="Verdana" w:hAnsi="Verdana"/>
          <w:sz w:val="20"/>
        </w:rPr>
        <w:t xml:space="preserve">         Las personas físicas y morales que presenten algún documento ante las autoridades fiscales y jurisdiccionales, en los asuntos en que la Secretaría de Hacienda </w:t>
      </w:r>
      <w:r w:rsidRPr="00CB470F">
        <w:rPr>
          <w:rFonts w:ascii="Verdana" w:hAnsi="Verdana"/>
          <w:sz w:val="20"/>
        </w:rPr>
        <w:lastRenderedPageBreak/>
        <w:t>y Crédito Público o el Servicio de Administración Tributaria sean parte, deberán citar en todo momento, la clave que el Servicio de Administración Tributaria le haya asignado al momento de inscribirla en el padrón del Registro Federal de Contribuyentes.</w:t>
      </w:r>
    </w:p>
    <w:p w:rsidR="00CB470F" w:rsidRPr="00CB470F" w:rsidRDefault="00CB470F" w:rsidP="00CB470F">
      <w:pPr>
        <w:rPr>
          <w:rFonts w:ascii="Verdana" w:hAnsi="Verdana"/>
          <w:sz w:val="20"/>
        </w:rPr>
      </w:pPr>
      <w:r w:rsidRPr="00CB470F">
        <w:rPr>
          <w:rFonts w:ascii="Verdana" w:hAnsi="Verdana"/>
          <w:sz w:val="20"/>
        </w:rPr>
        <w:t>         No son sujetos obligados en términos del presente artículo, los socios o accionistas residentes en el extranjero de personas morales residentes en México, así como los asociados residentes en el extranjero de asociaciones en participación, siempre que la persona moral o el asociante, residentes en México, presente ante las autoridades fiscales dentro de los tres primeros meses siguientes al cierre de cada ejercicio, una relación de los socios, accionistas o asociados, residentes en el extranjero, en la que se indique su domicilio, residencia fiscal y número de identificación fiscal.</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Catálogo general de obligaciones: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Solicitar la inscripción en el registro federal de contribuyentes.</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Proporcionar la información relacionada con la identidad, domicilio y, en general, sobre la situación fiscal, mediante los avisos que se establecen en el Reglamento de este Código, así como señalar un correo electrónico y número telefónico, o bien, los medios de contacto que determine la autoridad fiscal a través de reglas de carácter general.</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Manifestar al registro federal de contribuyentes el domicilio fiscal.</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Solicitar el certificado de firma electrónica avanzada.</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Anotar en el libro de socios y accionistas, la clave en el registro federal de contribuyentes de cada socio y accionista y, en cada acta de asamblea, la clave de los socios o accionistas que concurran a la misma.</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Presentar un aviso en el registro federal de contribuyentes, a través del cual informen el nombre y la clave en el Registro Federal de Contribuyentes de los socios o accionistas, cada vez que se realice alguna modificación o incorporación respecto a estos, en términos de lo que establezca el Reglamento de este Código.</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Solicitar la inscripción de los contribuyentes a los que se realicen los pagos a que se refiere el Capítulo I del Título IV de la Ley del Impuesto sobre la Renta, así como proporcionar correo electrónico y número telefónico de los mismos, o bien, los medios de contacto que determine la autoridad fiscal a través de reglas de carácter general.</w:t>
      </w:r>
    </w:p>
    <w:p w:rsidR="00CB470F" w:rsidRPr="00CB470F" w:rsidRDefault="00CB470F" w:rsidP="00CB470F">
      <w:pPr>
        <w:rPr>
          <w:rFonts w:ascii="Verdana" w:hAnsi="Verdana"/>
          <w:sz w:val="20"/>
        </w:rPr>
      </w:pPr>
      <w:r w:rsidRPr="00CB470F">
        <w:rPr>
          <w:rFonts w:ascii="Verdana" w:hAnsi="Verdana"/>
          <w:b/>
          <w:bCs/>
          <w:sz w:val="20"/>
        </w:rPr>
        <w:t>VIII.</w:t>
      </w:r>
      <w:r w:rsidRPr="00CB470F">
        <w:rPr>
          <w:rFonts w:ascii="Verdana" w:hAnsi="Verdana"/>
          <w:sz w:val="20"/>
        </w:rPr>
        <w:t xml:space="preserve">  Exigir a los otorgantes de las escrituras públicas en que se hagan constar actas constitutivas, de fusión, escisión o de liquidación de personas morales, que comprueben dentro del mes siguiente a la firma, que han presentado solicitud de inscripción, o aviso de liquidación o de cancelación, según sea el caso, en el registro </w:t>
      </w:r>
      <w:r w:rsidRPr="00CB470F">
        <w:rPr>
          <w:rFonts w:ascii="Verdana" w:hAnsi="Verdana"/>
          <w:sz w:val="20"/>
        </w:rPr>
        <w:lastRenderedPageBreak/>
        <w:t>federal de contribuyentes, de la persona moral de que se trate, debiendo asentar en su protocolo la fecha de su presentación; en caso contrario, el fedatario deberá informar de dicha omisión al Servicio de Administración Tributaria dentro del mes siguiente.</w:t>
      </w:r>
    </w:p>
    <w:p w:rsidR="00CB470F" w:rsidRPr="00CB470F" w:rsidRDefault="00CB470F" w:rsidP="00CB470F">
      <w:pPr>
        <w:rPr>
          <w:rFonts w:ascii="Verdana" w:hAnsi="Verdana"/>
          <w:sz w:val="20"/>
        </w:rPr>
      </w:pPr>
      <w:r w:rsidRPr="00CB470F">
        <w:rPr>
          <w:rFonts w:ascii="Verdana" w:hAnsi="Verdana"/>
          <w:sz w:val="20"/>
        </w:rPr>
        <w:t>       Lo anterior no será aplicable, cuando el fedatario público que protocolice el instrumento de que se trate, solicite la inscripción en el registro federal de contribuyentes de la persona moral.</w:t>
      </w:r>
    </w:p>
    <w:p w:rsidR="00CB470F" w:rsidRPr="00CB470F" w:rsidRDefault="00CB470F" w:rsidP="00CB470F">
      <w:pPr>
        <w:rPr>
          <w:rFonts w:ascii="Verdana" w:hAnsi="Verdana"/>
          <w:sz w:val="20"/>
        </w:rPr>
      </w:pPr>
      <w:r w:rsidRPr="00CB470F">
        <w:rPr>
          <w:rFonts w:ascii="Verdana" w:hAnsi="Verdana"/>
          <w:b/>
          <w:bCs/>
          <w:sz w:val="20"/>
        </w:rPr>
        <w:t>IX.</w:t>
      </w:r>
      <w:r w:rsidRPr="00CB470F">
        <w:rPr>
          <w:rFonts w:ascii="Verdana" w:hAnsi="Verdana"/>
          <w:sz w:val="20"/>
        </w:rPr>
        <w:t>   Asentar en las escrituras públicas en las que hagan constar actas constitutivas o demás actas de asamblea, la clave en el registro federal de contribuyentes que corresponda a cada socio y accionista o representantes legales, o en su caso, verificar que dicha clave aparezca en los documentos señalados, cerciorándose que la misma concuerda con la cédula respectiva.</w:t>
      </w:r>
    </w:p>
    <w:p w:rsidR="00CB470F" w:rsidRPr="00CB470F" w:rsidRDefault="00CB470F" w:rsidP="00CB470F">
      <w:pPr>
        <w:rPr>
          <w:rFonts w:ascii="Verdana" w:hAnsi="Verdana"/>
          <w:sz w:val="20"/>
        </w:rPr>
      </w:pPr>
      <w:r w:rsidRPr="00CB470F">
        <w:rPr>
          <w:rFonts w:ascii="Verdana" w:hAnsi="Verdana"/>
          <w:b/>
          <w:bCs/>
          <w:sz w:val="20"/>
        </w:rPr>
        <w:t>X.</w:t>
      </w:r>
      <w:r w:rsidRPr="00CB470F">
        <w:rPr>
          <w:rFonts w:ascii="Verdana" w:hAnsi="Verdana"/>
          <w:sz w:val="20"/>
        </w:rPr>
        <w:t>    Presentar la declaración informativa relativa a las operaciones consignadas en escrituras públicas celebradas ante los fedatarios públicos, respecto de las operaciones realizadas en el mes inmediato anterior.</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Facultades de la autoridad fiscal:</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Llevar a cabo verificaciones conforme al procedimiento establecido en el artículo 49 de este Código, sin que por ello se considere que inician sus facultades de comprobación, para constatar los siguientes datos:</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Los proporcionados en el registro federal de contribuyentes, relacionados con la identidad, domicilio y demás datos que se hayan manifestado para los efectos de dicho registro;</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Los señalados en los comprobantes fiscales digitales por Internet, declaraciones, expedientes, documentos o bases de datos que lleven las autoridades fiscales, tengan en su poder o a las que tengan acceso.</w:t>
      </w:r>
    </w:p>
    <w:p w:rsidR="00CB470F" w:rsidRPr="00CB470F" w:rsidRDefault="00CB470F" w:rsidP="00CB470F">
      <w:pPr>
        <w:rPr>
          <w:rFonts w:ascii="Verdana" w:hAnsi="Verdana"/>
          <w:sz w:val="20"/>
        </w:rPr>
      </w:pPr>
      <w:r w:rsidRPr="00CB470F">
        <w:rPr>
          <w:rFonts w:ascii="Verdana" w:hAnsi="Verdana"/>
          <w:sz w:val="20"/>
        </w:rPr>
        <w:t>       En la verificación de la existencia y localización del domicilio fiscal, las autoridades fiscales podrán utilizar servicios o medios tecnológicos que proporcionen georreferenciación, vistas panorámicas o satelitales, cuya información también podrá ser utilizada para la elaboración y diseño de un marco geográfico fiscal.</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Considerar como domicilio fiscal del contribuyente aquél en el que se verifique alguno de los supuestos establecidos en el artículo 10 de este Código, cuando el manifestado en las solicitudes y avisos a que se refiere este artículo no corresponda a alguno de los supuestos de dicho precepto.</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Establecer mediante reglas de carácter general, mecanismos simplificados de inscripción en el registro federal de contribuyentes, atendiendo a las características del régimen de tributación del contribuyente.</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xml:space="preserve">   Establecer a través de reglas de carácter general, los términos en que las personas físicas y morales, residentes en el extranjero sin establecimiento permanente </w:t>
      </w:r>
      <w:r w:rsidRPr="00CB470F">
        <w:rPr>
          <w:rFonts w:ascii="Verdana" w:hAnsi="Verdana"/>
          <w:sz w:val="20"/>
        </w:rPr>
        <w:lastRenderedPageBreak/>
        <w:t>en el país, que no se ubiquen en los supuestos previstos en el presente artículo, podrán solicitar su inscripción en el registro federal de contribuyentes.</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Realizar la inscripción o actualización en el registro federal de contribuyentes basándose en los datos que las personas le proporcionen de conformidad con este artículo o en los que</w:t>
      </w:r>
    </w:p>
    <w:p w:rsidR="00CB470F" w:rsidRPr="00CB470F" w:rsidRDefault="00CB470F" w:rsidP="00CB470F">
      <w:pPr>
        <w:rPr>
          <w:rFonts w:ascii="Verdana" w:hAnsi="Verdana"/>
          <w:sz w:val="20"/>
        </w:rPr>
      </w:pPr>
      <w:r w:rsidRPr="00CB470F">
        <w:rPr>
          <w:rFonts w:ascii="Verdana" w:hAnsi="Verdana"/>
          <w:sz w:val="20"/>
        </w:rPr>
        <w:t>obtenga por cualquier otro medio.</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Requerir aclaraciones, información o documentación a los contribuyentes, a los fedatarios públicos o alguna otra autoridad ante la que se haya protocolizado o apostillado un documento, según corresponda.</w:t>
      </w:r>
    </w:p>
    <w:p w:rsidR="00CB470F" w:rsidRPr="00CB470F" w:rsidRDefault="00CB470F" w:rsidP="00CB470F">
      <w:pPr>
        <w:rPr>
          <w:rFonts w:ascii="Verdana" w:hAnsi="Verdana"/>
          <w:sz w:val="20"/>
        </w:rPr>
      </w:pPr>
      <w:r w:rsidRPr="00CB470F">
        <w:rPr>
          <w:rFonts w:ascii="Verdana" w:hAnsi="Verdana"/>
          <w:sz w:val="20"/>
        </w:rPr>
        <w:t>       Cuando la autoridad fiscal requiera al fedatario público que haya realizado alguna inscripción en el registro federal de contribuyentes y éste no atienda el requerimiento correspondiente, el Servicio de Administración Tributaria requerirá de manera directa al contribuyente la información relacionada con su identidad, domicilio y, en su caso sobre su situación fiscal, como lo establece el artículo 17-D, quinto párrafo de este Código.</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Corregir los datos del registro federal de contribuyentes con base en evidencias que recabe, incluyendo aquéllas proporcionadas por terceros.</w:t>
      </w:r>
    </w:p>
    <w:p w:rsidR="00CB470F" w:rsidRPr="00CB470F" w:rsidRDefault="00CB470F" w:rsidP="00CB470F">
      <w:pPr>
        <w:rPr>
          <w:rFonts w:ascii="Verdana" w:hAnsi="Verdana"/>
          <w:sz w:val="20"/>
        </w:rPr>
      </w:pPr>
      <w:r w:rsidRPr="00CB470F">
        <w:rPr>
          <w:rFonts w:ascii="Verdana" w:hAnsi="Verdana"/>
          <w:b/>
          <w:bCs/>
          <w:sz w:val="20"/>
        </w:rPr>
        <w:t>VIII.</w:t>
      </w:r>
      <w:r w:rsidRPr="00CB470F">
        <w:rPr>
          <w:rFonts w:ascii="Verdana" w:hAnsi="Verdana"/>
          <w:sz w:val="20"/>
        </w:rPr>
        <w:t>  Asignar la clave que corresponda a cada contribuyente que se inscriba en el Registro Federal de Contribuyentes.</w:t>
      </w:r>
    </w:p>
    <w:p w:rsidR="00CB470F" w:rsidRPr="00CB470F" w:rsidRDefault="00CB470F" w:rsidP="00CB470F">
      <w:pPr>
        <w:rPr>
          <w:rFonts w:ascii="Verdana" w:hAnsi="Verdana"/>
          <w:sz w:val="20"/>
        </w:rPr>
      </w:pPr>
      <w:r w:rsidRPr="00CB470F">
        <w:rPr>
          <w:rFonts w:ascii="Verdana" w:hAnsi="Verdana"/>
          <w:sz w:val="20"/>
        </w:rPr>
        <w:t>       Dicha clave será proporcionada a través de la cédula de identificación fiscal o la constancia de registro fiscal.</w:t>
      </w:r>
    </w:p>
    <w:p w:rsidR="00CB470F" w:rsidRPr="00CB470F" w:rsidRDefault="00CB470F" w:rsidP="00CB470F">
      <w:pPr>
        <w:rPr>
          <w:rFonts w:ascii="Verdana" w:hAnsi="Verdana"/>
          <w:sz w:val="20"/>
        </w:rPr>
      </w:pPr>
      <w:r w:rsidRPr="00CB470F">
        <w:rPr>
          <w:rFonts w:ascii="Verdana" w:hAnsi="Verdana"/>
          <w:b/>
          <w:bCs/>
          <w:sz w:val="20"/>
        </w:rPr>
        <w:t>IX.</w:t>
      </w:r>
      <w:r w:rsidRPr="00CB470F">
        <w:rPr>
          <w:rFonts w:ascii="Verdana" w:hAnsi="Verdana"/>
          <w:sz w:val="20"/>
        </w:rPr>
        <w:t>   Establecer mediante reglas de carácter general, las características que deberán contener la cédula de identificación fiscal y la constancia de registro fiscal.</w:t>
      </w:r>
    </w:p>
    <w:p w:rsidR="00CB470F" w:rsidRPr="00CB470F" w:rsidRDefault="00CB470F" w:rsidP="00CB470F">
      <w:pPr>
        <w:rPr>
          <w:rFonts w:ascii="Verdana" w:hAnsi="Verdana"/>
          <w:sz w:val="20"/>
        </w:rPr>
      </w:pPr>
      <w:r w:rsidRPr="00CB470F">
        <w:rPr>
          <w:rFonts w:ascii="Verdana" w:hAnsi="Verdana"/>
          <w:b/>
          <w:bCs/>
          <w:sz w:val="20"/>
        </w:rPr>
        <w:t>X.</w:t>
      </w:r>
      <w:r w:rsidRPr="00CB470F">
        <w:rPr>
          <w:rFonts w:ascii="Verdana" w:hAnsi="Verdana"/>
          <w:sz w:val="20"/>
        </w:rPr>
        <w:t>    Designar al personal auxiliar que podrá verificar la existencia y localización del domicilio fiscal manifestado por el contribuyente en la inscripción o en el aviso de cambio de domicilio.</w:t>
      </w:r>
    </w:p>
    <w:p w:rsidR="00CB470F" w:rsidRPr="00CB470F" w:rsidRDefault="00CB470F" w:rsidP="00CB470F">
      <w:pPr>
        <w:rPr>
          <w:rFonts w:ascii="Verdana" w:hAnsi="Verdana"/>
          <w:sz w:val="20"/>
        </w:rPr>
      </w:pPr>
      <w:r w:rsidRPr="00CB470F">
        <w:rPr>
          <w:rFonts w:ascii="Verdana" w:hAnsi="Verdana"/>
          <w:sz w:val="20"/>
        </w:rPr>
        <w:t>       La verificación a que se refiere esta fracción, podrá realizarse utilizando herramientas que provean vistas panorámicas o satelitales.</w:t>
      </w:r>
    </w:p>
    <w:p w:rsidR="00CB470F" w:rsidRPr="00CB470F" w:rsidRDefault="00CB470F" w:rsidP="00CB470F">
      <w:pPr>
        <w:rPr>
          <w:rFonts w:ascii="Verdana" w:hAnsi="Verdana"/>
          <w:sz w:val="20"/>
        </w:rPr>
      </w:pPr>
      <w:r w:rsidRPr="00CB470F">
        <w:rPr>
          <w:rFonts w:ascii="Verdana" w:hAnsi="Verdana"/>
          <w:b/>
          <w:bCs/>
          <w:sz w:val="20"/>
        </w:rPr>
        <w:t>XI.</w:t>
      </w:r>
      <w:r w:rsidRPr="00CB470F">
        <w:rPr>
          <w:rFonts w:ascii="Verdana" w:hAnsi="Verdana"/>
          <w:sz w:val="20"/>
        </w:rPr>
        <w:t>   Emitir a través de reglas de carácter general, los requisitos a través de los cuales, las personas físicas que no sean sujetos obligados en términos del presente artículo, podrán solicitar su inscripción en el registro federal de contribuyentes.</w:t>
      </w:r>
    </w:p>
    <w:p w:rsidR="00CB470F" w:rsidRPr="00CB470F" w:rsidRDefault="00CB470F" w:rsidP="00CB470F">
      <w:pPr>
        <w:rPr>
          <w:rFonts w:ascii="Verdana" w:hAnsi="Verdana"/>
          <w:sz w:val="20"/>
        </w:rPr>
      </w:pPr>
      <w:r w:rsidRPr="00CB470F">
        <w:rPr>
          <w:rFonts w:ascii="Verdana" w:hAnsi="Verdana"/>
          <w:b/>
          <w:bCs/>
          <w:sz w:val="20"/>
        </w:rPr>
        <w:t>D.</w:t>
      </w:r>
      <w:r w:rsidRPr="00CB470F">
        <w:rPr>
          <w:rFonts w:ascii="Verdana" w:hAnsi="Verdana"/>
          <w:sz w:val="20"/>
        </w:rPr>
        <w:t>      Casos especiales: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xml:space="preserve">     Para efectos de la fracción I del apartado B del presente artículo, podrán solicitar su inscripción en el registro federal de contribuyentes, las personas físicas y personas morales, residentes en el extranjero sin establecimiento permanente en el país, que no se encuentren obligadas a ello. Para tal efecto, deberán proporcionar su número de identificación fiscal, cuando tengan obligación de contar con éste en el país en que </w:t>
      </w:r>
      <w:r w:rsidRPr="00CB470F">
        <w:rPr>
          <w:rFonts w:ascii="Verdana" w:hAnsi="Verdana"/>
          <w:sz w:val="20"/>
        </w:rPr>
        <w:lastRenderedPageBreak/>
        <w:t>residan, así como cumplir con los términos y requisitos que establezca el Servicio de Administración Tributaria mediante reglas de carácter general. Dicha inscripción no les otorga la posibilidad de solicitar la devolución de contribuciones.</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Para efectos de las fracciones II y III del apartado B del presente artículo, se estará a lo siguiente:</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En caso de cambio de domicilio fiscal, las personas físicas y morales deberán presentar el aviso correspondiente dentro de los diez días siguientes al día en el que tenga lugar dicho cambio, salvo que al contribuyente se le hayan iniciado facultades de comprobación y no se le haya notificado la resolución a que se refiere el artículo 50 de este Código, en cuyo caso deberá presentar el aviso previo a dicho cambio con cinco días de anticipación.</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En caso de que, dentro del citado ejercicio de facultades, el contribuyente no sea localizado en el domicilio que haya señalado para efectos del registro federal de contribuyentes, y presente un aviso de cambio de domicilio, la sola presentación del referido aviso de cambio no implicará que el contribuyente está localizado.</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Cuando por virtud de la verificación que realice el personal auxiliar designado por la autoridad fiscal, se concluya que el lugar señalado como domicilio fiscal no cumple con los requisitos del artículo 10 de este Código, el aviso de cambio de domicilio no surtirá efectos, sin que sea necesaria la emisión de alguna resolución. Dicha circunstancia se hará del conocimiento a los contribuyentes mediante buzón tributario.</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Para efectos de la fracción V del apartado B del presente artículo, la persona moral deberá</w:t>
      </w:r>
    </w:p>
    <w:p w:rsidR="00CB470F" w:rsidRPr="00CB470F" w:rsidRDefault="00CB470F" w:rsidP="00CB470F">
      <w:pPr>
        <w:rPr>
          <w:rFonts w:ascii="Verdana" w:hAnsi="Verdana"/>
          <w:sz w:val="20"/>
        </w:rPr>
      </w:pPr>
      <w:r w:rsidRPr="00CB470F">
        <w:rPr>
          <w:rFonts w:ascii="Verdana" w:hAnsi="Verdana"/>
          <w:sz w:val="20"/>
        </w:rPr>
        <w:t>cerciorarse de que el registro proporcionado por el socio o accionista concuerde con el que aparece en la cédula respectiva.</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Para efectos de la fracción VII del apartado B del presente artículo, los contribuyentes a los que se hagan los pagos a que se refiere el Capítulo I del Título IV de la Ley del Impuesto sobre la Renta, deberán proporcionar a las personas morales en las que recae la obligación de inscribirlos en el Registro Federal de Contribuyentes, los datos necesarios para dar el cumplimiento correspondiente, así como su correo electrónico y número telefónico, o bien, los medios de contacto que determine la autoridad fiscal a través de reglas de carácter general.</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Para efectos de la fracción IX del apartado B del presente artículo, en aquellos casos en el que las actas constitutivas y demás actas de asamblea, sí contengan la clave en el registro federal de contribuyentes de los socios o accionistas, los fedatarios públicos deberán cerciorarse que la referida clave concuerde con las constancias de situación fiscal.</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xml:space="preserve">   Para efectos de la fracción X del apartado B del presente artículo, la declaración informativa deberá ser presentada a más tardar el día 17 del mes siguiente a aquél al que se refieren las operaciones realizadas ante el Servicio de Administración </w:t>
      </w:r>
      <w:r w:rsidRPr="00CB470F">
        <w:rPr>
          <w:rFonts w:ascii="Verdana" w:hAnsi="Verdana"/>
          <w:sz w:val="20"/>
        </w:rPr>
        <w:lastRenderedPageBreak/>
        <w:t>Tributaria, de conformidad con las reglas de carácter general que al efecto emita dicho órgano.</w:t>
      </w:r>
    </w:p>
    <w:p w:rsidR="00CB470F" w:rsidRPr="00CB470F" w:rsidRDefault="00CB470F" w:rsidP="00CB470F">
      <w:pPr>
        <w:rPr>
          <w:rFonts w:ascii="Verdana" w:hAnsi="Verdana"/>
          <w:sz w:val="20"/>
        </w:rPr>
      </w:pPr>
      <w:r w:rsidRPr="00CB470F">
        <w:rPr>
          <w:rFonts w:ascii="Verdana" w:hAnsi="Verdana"/>
          <w:sz w:val="20"/>
        </w:rPr>
        <w:t>       La declaración informativa a que se refiere esta fracción, deberá contener al menos, la información necesaria para identificar a los contratantes, a las sociedades que se constituyan, el número de escritura pública que le corresponda a cada operación y la fecha de firma de la citada escritura, el valor de avalúo de cada bien enajenado, el monto de la contraprestación pactada y de los impuestos que en los términos de las disposiciones fiscales correspondieron a las operaciones manifestadas.</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La solicitud o los avisos a que se refieren las fracciones I, II y III del apartado B del presente artículo que se presenten en forma extemporánea, surtirán sus efectos a partir de la fecha en que sean presentados.</w:t>
      </w:r>
    </w:p>
    <w:p w:rsidR="00CB470F" w:rsidRPr="00CB470F" w:rsidRDefault="00CB470F" w:rsidP="00CB470F">
      <w:pPr>
        <w:rPr>
          <w:rFonts w:ascii="Verdana" w:hAnsi="Verdana"/>
          <w:sz w:val="20"/>
        </w:rPr>
      </w:pPr>
      <w:r w:rsidRPr="00CB470F">
        <w:rPr>
          <w:rFonts w:ascii="Verdana" w:hAnsi="Verdana"/>
          <w:b/>
          <w:bCs/>
          <w:sz w:val="20"/>
        </w:rPr>
        <w:t>VIII.</w:t>
      </w:r>
      <w:r w:rsidRPr="00CB470F">
        <w:rPr>
          <w:rFonts w:ascii="Verdana" w:hAnsi="Verdana"/>
          <w:sz w:val="20"/>
        </w:rPr>
        <w:t>  Las personas morales residentes en el extranjero sin establecimiento permanente en el país y entidades o figuras jurídicas extranjeras, deberán cumplir con la obligación prevista en el artículo 113-C, fracción I de la Ley del Impuesto sobre la Renta, en los términos señalados por el Servicio de Administración Tributaria mediante reglas de carácter general.</w:t>
      </w:r>
    </w:p>
    <w:p w:rsidR="00CB470F" w:rsidRPr="00CB470F" w:rsidRDefault="00CB470F" w:rsidP="00CB470F">
      <w:pPr>
        <w:rPr>
          <w:rFonts w:ascii="Verdana" w:hAnsi="Verdana"/>
          <w:sz w:val="20"/>
        </w:rPr>
      </w:pPr>
      <w:r w:rsidRPr="00CB470F">
        <w:rPr>
          <w:rFonts w:ascii="Verdana" w:hAnsi="Verdana"/>
          <w:b/>
          <w:bCs/>
          <w:sz w:val="20"/>
        </w:rPr>
        <w:t>Artículo 30.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No obstante lo dispuesto en el párrafo anterior, los contribuyentes que en los lugares señalados en el citado párrafo tengan su cédula de identificación fiscal o la solicitud de inscripción en el registro federal de contribuyentes o copia certificada de cualesquiera de dichos documentos, y el aviso de apertura a que se refiere el Reglamento de este Código, en relación con el artículo 27, apartado B, fracción II del presente Código, no estarán obligados a tener a disposición de las autoridades fiscales en esos lugares, los comprobantes que amparen la legal posesión o propiedad de las mercancías, en cuyo caso deberán conservar dichos comprobantes a disposición de las autoridades en su domicilio fiscal de acuerdo con las disposiciones de este Código.</w:t>
      </w:r>
    </w:p>
    <w:p w:rsidR="00CB470F" w:rsidRPr="00CB470F" w:rsidRDefault="00CB470F" w:rsidP="00CB470F">
      <w:pPr>
        <w:rPr>
          <w:rFonts w:ascii="Verdana" w:hAnsi="Verdana"/>
          <w:sz w:val="20"/>
        </w:rPr>
      </w:pPr>
      <w:r w:rsidRPr="00CB470F">
        <w:rPr>
          <w:rFonts w:ascii="Verdana" w:hAnsi="Verdana"/>
          <w:b/>
          <w:bCs/>
          <w:sz w:val="20"/>
        </w:rPr>
        <w:t>Artículo 31-A. </w:t>
      </w:r>
      <w:r w:rsidRPr="00CB470F">
        <w:rPr>
          <w:rFonts w:ascii="Verdana" w:hAnsi="Verdana"/>
          <w:sz w:val="20"/>
        </w:rPr>
        <w:t>Los contribuyentes deberán presentar, con base en su contabilidad, la información de las siguientes operaciones:</w:t>
      </w:r>
    </w:p>
    <w:p w:rsidR="00CB470F" w:rsidRPr="00CB470F" w:rsidRDefault="00CB470F" w:rsidP="00CB470F">
      <w:pPr>
        <w:rPr>
          <w:rFonts w:ascii="Verdana" w:hAnsi="Verdana"/>
          <w:sz w:val="20"/>
        </w:rPr>
      </w:pPr>
      <w:r w:rsidRPr="00CB470F">
        <w:rPr>
          <w:rFonts w:ascii="Verdana" w:hAnsi="Verdana"/>
          <w:b/>
          <w:bCs/>
          <w:sz w:val="20"/>
        </w:rPr>
        <w:lastRenderedPageBreak/>
        <w:t>a)</w:t>
      </w:r>
      <w:r w:rsidRPr="00CB470F">
        <w:rPr>
          <w:rFonts w:ascii="Verdana" w:hAnsi="Verdana"/>
          <w:sz w:val="20"/>
        </w:rPr>
        <w:t>       Las operaciones financieras a que se refieren los artículos 20 y 21 de la Ley del Impuesto sobre la Renta.</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Las operaciones con partes relacionadas.</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Las relativas a la participación en el capital de sociedades y a cambios en la residencia fiscal.</w:t>
      </w:r>
    </w:p>
    <w:p w:rsidR="00CB470F" w:rsidRPr="00CB470F" w:rsidRDefault="00CB470F" w:rsidP="00CB470F">
      <w:pPr>
        <w:rPr>
          <w:rFonts w:ascii="Verdana" w:hAnsi="Verdana"/>
          <w:sz w:val="20"/>
        </w:rPr>
      </w:pPr>
      <w:r w:rsidRPr="00CB470F">
        <w:rPr>
          <w:rFonts w:ascii="Verdana" w:hAnsi="Verdana"/>
          <w:b/>
          <w:bCs/>
          <w:sz w:val="20"/>
        </w:rPr>
        <w:t>d)</w:t>
      </w:r>
      <w:r w:rsidRPr="00CB470F">
        <w:rPr>
          <w:rFonts w:ascii="Verdana" w:hAnsi="Verdana"/>
          <w:sz w:val="20"/>
        </w:rPr>
        <w:t>       Las relativas a reorganizaciones y reestructuras corporativas.</w:t>
      </w:r>
    </w:p>
    <w:p w:rsidR="00CB470F" w:rsidRPr="00CB470F" w:rsidRDefault="00CB470F" w:rsidP="00CB470F">
      <w:pPr>
        <w:rPr>
          <w:rFonts w:ascii="Verdana" w:hAnsi="Verdana"/>
          <w:sz w:val="20"/>
        </w:rPr>
      </w:pPr>
      <w:r w:rsidRPr="00CB470F">
        <w:rPr>
          <w:rFonts w:ascii="Verdana" w:hAnsi="Verdana"/>
          <w:b/>
          <w:bCs/>
          <w:sz w:val="20"/>
        </w:rPr>
        <w:t>e)</w:t>
      </w:r>
      <w:r w:rsidRPr="00CB470F">
        <w:rPr>
          <w:rFonts w:ascii="Verdana" w:hAnsi="Verdana"/>
          <w:sz w:val="20"/>
        </w:rPr>
        <w:t>       Las relativas a enajenaciones y aportaciones, de bienes y activos financieros; operaciones con países con sistema de tributación territorial; operaciones de financiamiento y sus intereses; pérdidas fiscales; reembolsos de capital y pago de dividendos.</w:t>
      </w:r>
    </w:p>
    <w:p w:rsidR="00CB470F" w:rsidRPr="00CB470F" w:rsidRDefault="00CB470F" w:rsidP="00CB470F">
      <w:pPr>
        <w:rPr>
          <w:rFonts w:ascii="Verdana" w:hAnsi="Verdana"/>
          <w:sz w:val="20"/>
        </w:rPr>
      </w:pPr>
      <w:r w:rsidRPr="00CB470F">
        <w:rPr>
          <w:rFonts w:ascii="Verdana" w:hAnsi="Verdana"/>
          <w:sz w:val="20"/>
        </w:rPr>
        <w:t>La información a que se refiere este artículo deberá presentarse trimestralmente a través de los medios y formatos que señale el Servicio de Administración Tributaria mediante reglas de carácter general, dentro de los sesenta días siguientes a aquél en que concluya el trimestre de que se trate.</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32-B.</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 </w:t>
      </w:r>
      <w:r w:rsidRPr="00CB470F">
        <w:rPr>
          <w:rFonts w:ascii="Verdana" w:hAnsi="Verdana"/>
          <w:b/>
          <w:bCs/>
          <w:sz w:val="20"/>
        </w:rPr>
        <w:t>IV. ...</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Obtener el nombre, denominación o razón social; nacionalidad; residencia; fecha y lugar de nacimiento; domicilio; correo electrónico, número telefónico, así como los medios de contacto que determine la autoridad fiscal mediante reglas de carácter general; clave en el registro federal de contribuyentes, la que la sustituya o su número de identificación fiscal, tratándose de residentes en el extranjero y, en su caso, clave única de registro de población de sus cuentahabientes. Cuando las formas aprobadas requieran dicha información, las entidades financieras y sociedades cooperativas de ahorro y préstamo deberán proporcionarla.</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a </w:t>
      </w:r>
      <w:r w:rsidRPr="00CB470F">
        <w:rPr>
          <w:rFonts w:ascii="Verdana" w:hAnsi="Verdana"/>
          <w:b/>
          <w:bCs/>
          <w:sz w:val="20"/>
        </w:rPr>
        <w:t>X.</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32-D.</w:t>
      </w:r>
      <w:r w:rsidRPr="00CB470F">
        <w:rPr>
          <w:rFonts w:ascii="Verdana" w:hAnsi="Verdana"/>
          <w:sz w:val="20"/>
        </w:rPr>
        <w:t> Cualquier autoridad, ente</w:t>
      </w:r>
      <w:r w:rsidRPr="00CB470F">
        <w:rPr>
          <w:rFonts w:ascii="Verdana" w:hAnsi="Verdana"/>
          <w:b/>
          <w:bCs/>
          <w:sz w:val="20"/>
        </w:rPr>
        <w:t> </w:t>
      </w:r>
      <w:r w:rsidRPr="00CB470F">
        <w:rPr>
          <w:rFonts w:ascii="Verdana" w:hAnsi="Verdana"/>
          <w:sz w:val="20"/>
        </w:rPr>
        <w:t>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en ningún caso contratarán adquisiciones, arrendamientos, servicios u obra pública con las personas físicas, morales o entes jurídicos que:</w:t>
      </w:r>
    </w:p>
    <w:p w:rsidR="00CB470F" w:rsidRPr="00CB470F" w:rsidRDefault="00CB470F" w:rsidP="00CB470F">
      <w:pPr>
        <w:rPr>
          <w:rFonts w:ascii="Verdana" w:hAnsi="Verdana"/>
          <w:sz w:val="20"/>
        </w:rPr>
      </w:pPr>
      <w:r w:rsidRPr="00CB470F">
        <w:rPr>
          <w:rFonts w:ascii="Verdana" w:hAnsi="Verdana"/>
          <w:b/>
          <w:bCs/>
          <w:sz w:val="20"/>
        </w:rPr>
        <w:lastRenderedPageBreak/>
        <w:t>I.</w:t>
      </w:r>
      <w:r w:rsidRPr="00CB470F">
        <w:rPr>
          <w:rFonts w:ascii="Verdana" w:hAnsi="Verdana"/>
          <w:sz w:val="20"/>
        </w:rPr>
        <w:t> a </w:t>
      </w:r>
      <w:r w:rsidRPr="00CB470F">
        <w:rPr>
          <w:rFonts w:ascii="Verdana" w:hAnsi="Verdana"/>
          <w:b/>
          <w:bCs/>
          <w:sz w:val="20"/>
        </w:rPr>
        <w:t>III. ...</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Habiendo vencido el plazo para presentar alguna declaración, provisional o no,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 que establezca el Servicio de Administración Tributaria mediante reglas de carácter general.</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Estando inscritos en el registro federal de contribuyentes, se encuentren como no localizados.</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Tengan sentencia condenatoria firme por algún delito fiscal. El impedimento para contratar será por un periodo igual al de la pena impuesta, a partir de que cause firmeza la sentencia.</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No hayan desvirtuado la presunción de emitir comprobantes fiscales que amparan operaciones inexistentes o transmitir indebidamente pérdidas fiscales y, por tanto, se encuentren en los listados a que se refieren los artículos 69-B, cuarto párrafo o 69-B Bis, octavo párrafo de este Código.</w:t>
      </w:r>
    </w:p>
    <w:p w:rsidR="00CB470F" w:rsidRPr="00CB470F" w:rsidRDefault="00CB470F" w:rsidP="00CB470F">
      <w:pPr>
        <w:rPr>
          <w:rFonts w:ascii="Verdana" w:hAnsi="Verdana"/>
          <w:sz w:val="20"/>
        </w:rPr>
      </w:pPr>
      <w:r w:rsidRPr="00CB470F">
        <w:rPr>
          <w:rFonts w:ascii="Verdana" w:hAnsi="Verdana"/>
          <w:b/>
          <w:bCs/>
          <w:sz w:val="20"/>
        </w:rPr>
        <w:t>VIII.</w:t>
      </w:r>
      <w:r w:rsidRPr="00CB470F">
        <w:rPr>
          <w:rFonts w:ascii="Verdana" w:hAnsi="Verdana"/>
          <w:sz w:val="20"/>
        </w:rPr>
        <w:t>    Hayan manifestado en las declaraciones de pagos provisionales, retenciones, definitivos o anuales, ingresos y retenciones que no concuerden con los comprobantes fiscales digitales por Internet, expedientes, documentos o bases de datos que lleven las autoridades fiscales, tengan en su poder o a las que tengan acceso.</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Para estos efectos, en el convenio se establecerá que los sujetos a que se refiere el primer párrafo de este artículo retengan una parte de la contraprestación para ser enterada al fisco federal para el pago de los adeudos correspondientes.</w:t>
      </w:r>
    </w:p>
    <w:p w:rsidR="00CB470F" w:rsidRPr="00CB470F" w:rsidRDefault="00CB470F" w:rsidP="00CB470F">
      <w:pPr>
        <w:rPr>
          <w:rFonts w:ascii="Verdana" w:hAnsi="Verdana"/>
          <w:sz w:val="20"/>
        </w:rPr>
      </w:pPr>
      <w:r w:rsidRPr="00CB470F">
        <w:rPr>
          <w:rFonts w:ascii="Verdana" w:hAnsi="Verdana"/>
          <w:b/>
          <w:bCs/>
          <w:sz w:val="20"/>
        </w:rPr>
        <w:t>Cuarto párrafo.</w:t>
      </w:r>
      <w:r w:rsidRPr="00CB470F">
        <w:rPr>
          <w:rFonts w:ascii="Verdana" w:hAnsi="Verdana"/>
          <w:sz w:val="20"/>
        </w:rPr>
        <w:t> (Se deroga).</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r w:rsidRPr="00CB470F">
        <w:rPr>
          <w:rFonts w:ascii="Verdana" w:hAnsi="Verdana"/>
          <w:b/>
          <w:bCs/>
          <w:sz w:val="20"/>
        </w:rPr>
        <w:t> </w:t>
      </w:r>
      <w:r w:rsidRPr="00CB470F">
        <w:rPr>
          <w:rFonts w:ascii="Verdana" w:hAnsi="Verdana"/>
          <w:sz w:val="20"/>
        </w:rPr>
        <w:t>Asimismo, deberán abstenerse de aplicar subsidios o estímulos a los contribuyentes que se ubiquen en los supuestos previstos en el cuarto párrafo del artículo 69-B u octavo párrafo del artículo 69-B Bis de este Código.</w:t>
      </w:r>
    </w:p>
    <w:p w:rsidR="00CB470F" w:rsidRPr="00CB470F" w:rsidRDefault="00CB470F" w:rsidP="00CB470F">
      <w:pPr>
        <w:rPr>
          <w:rFonts w:ascii="Verdana" w:hAnsi="Verdana"/>
          <w:sz w:val="20"/>
        </w:rPr>
      </w:pPr>
      <w:r w:rsidRPr="00CB470F">
        <w:rPr>
          <w:rFonts w:ascii="Verdana" w:hAnsi="Verdana"/>
          <w:sz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w:t>
      </w:r>
      <w:r w:rsidRPr="00CB470F">
        <w:rPr>
          <w:rFonts w:ascii="Verdana" w:hAnsi="Verdana"/>
          <w:sz w:val="20"/>
        </w:rPr>
        <w:lastRenderedPageBreak/>
        <w:t>pago diferido o en parcialidades, los adeudos fiscales que tengan a su cargo. Cuando se ubiquen en los supuestos de las fracciones III, IV y VIII, los particulares contarán con un plazo de quince días para corregir su situación fiscal, a partir del día siguiente a aquél en que la autoridad les notifique la irregularidad detectada.</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Las sociedades anónimas que coloquen acciones en el mercado de valores bursátil y extrabursátil a que se refiere la Ley del Mercado de Valores, deberán obtener la opinión del cumplimiento de obligaciones fiscales de forma mensual.</w:t>
      </w:r>
    </w:p>
    <w:p w:rsidR="00CB470F" w:rsidRPr="00CB470F" w:rsidRDefault="00CB470F" w:rsidP="00CB470F">
      <w:pPr>
        <w:rPr>
          <w:rFonts w:ascii="Verdana" w:hAnsi="Verdana"/>
          <w:sz w:val="20"/>
        </w:rPr>
      </w:pPr>
      <w:r w:rsidRPr="00CB470F">
        <w:rPr>
          <w:rFonts w:ascii="Verdana" w:hAnsi="Verdana"/>
          <w:sz w:val="20"/>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a través de las reglas de carácter general.</w:t>
      </w:r>
    </w:p>
    <w:p w:rsidR="00CB470F" w:rsidRPr="00CB470F" w:rsidRDefault="00CB470F" w:rsidP="00CB470F">
      <w:pPr>
        <w:rPr>
          <w:rFonts w:ascii="Verdana" w:hAnsi="Verdana"/>
          <w:sz w:val="20"/>
        </w:rPr>
      </w:pPr>
      <w:r w:rsidRPr="00CB470F">
        <w:rPr>
          <w:rFonts w:ascii="Verdana" w:hAnsi="Verdana"/>
          <w:sz w:val="20"/>
        </w:rPr>
        <w:t>Para participar como proveedores de los sujetos señalados en el primer párrafo de este artículo, los contribuyentes estarán obligados a autorizar al Servicio de Administración Tributaria para que haga público el resultado de la opinión del cumplimiento, a través del procedimiento que establezca el Servicio de Administración Tributaria, mediante reglas de carácter general, además de cumplir con lo establecido en las fracciones anteriores.</w:t>
      </w:r>
    </w:p>
    <w:p w:rsidR="00CB470F" w:rsidRPr="00CB470F" w:rsidRDefault="00CB470F" w:rsidP="00CB470F">
      <w:pPr>
        <w:rPr>
          <w:rFonts w:ascii="Verdana" w:hAnsi="Verdana"/>
          <w:sz w:val="20"/>
        </w:rPr>
      </w:pPr>
      <w:r w:rsidRPr="00CB470F">
        <w:rPr>
          <w:rFonts w:ascii="Verdana" w:hAnsi="Verdana"/>
          <w:b/>
          <w:bCs/>
          <w:sz w:val="20"/>
        </w:rPr>
        <w:t>Artículo 33-B. </w:t>
      </w:r>
      <w:r w:rsidRPr="00CB470F">
        <w:rPr>
          <w:rFonts w:ascii="Verdana" w:hAnsi="Verdana"/>
          <w:sz w:val="20"/>
        </w:rPr>
        <w:t>Se faculta al Servicio de Administración Tributaria para que lleve a cabo la celebración de sorteos de lotería fiscal, en los que participen las personas que determine dicho órgano, tomando en cuenta los siguientes lineamientos: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Cuando la participación en el sorteo se base en los comprobantes fiscales digitales por Internet emitidos por los contribuyentes que realicen la enajenación de bienes, la prestación de servicios o la concesión del uso o goce temporal de bienes inmuebles, no podrán participar las personas que realicen actividades empresariales.</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Cuando en algún sorteo el premio ofrecido se pague por terceros por cuenta del Gobierno Federal, el monto entregado por los pagadores podrá ser acreditable contra los impuestos federales que el Servicio de Administración Tributaria determine en las bases del sorteo, sin que dé lugar a la devolución.</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Cuando los premios consistan en bienes, el Servicio de Administración Tributaria deberá observar las normas presupuestales aplicables a la adquisición y enajenación de dichos bienes.</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El Servicio de Administración Tributaria, mediante reglas de carácter general, establecerá las bases para los sorteos, los premios, las fechas, las personas que podrán participar y demás requisitos a que se sujetará su realización.</w:t>
      </w:r>
    </w:p>
    <w:p w:rsidR="00CB470F" w:rsidRPr="00CB470F" w:rsidRDefault="00CB470F" w:rsidP="00CB470F">
      <w:pPr>
        <w:rPr>
          <w:rFonts w:ascii="Verdana" w:hAnsi="Verdana"/>
          <w:sz w:val="20"/>
        </w:rPr>
      </w:pPr>
      <w:r w:rsidRPr="00CB470F">
        <w:rPr>
          <w:rFonts w:ascii="Verdana" w:hAnsi="Verdana"/>
          <w:b/>
          <w:bCs/>
          <w:sz w:val="20"/>
        </w:rPr>
        <w:lastRenderedPageBreak/>
        <w:t>V.</w:t>
      </w:r>
      <w:r w:rsidRPr="00CB470F">
        <w:rPr>
          <w:rFonts w:ascii="Verdana" w:hAnsi="Verdana"/>
          <w:sz w:val="20"/>
        </w:rPr>
        <w:t>       Cuando el monto de los premios a repartir no consista en bienes, la Secretaría de Hacienda y Crédito Público fijará el monto total máximo a repartir por sorteo, previa solicitud que el Servicio de Administración Tributaria formule a la dependencia mencionada.</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Los sorteos a que se refiere el presente artículo deberán cumplir con lo dispuesto en la Ley Federal de Juegos y Sorteos.</w:t>
      </w:r>
    </w:p>
    <w:p w:rsidR="00CB470F" w:rsidRPr="00CB470F" w:rsidRDefault="00CB470F" w:rsidP="00CB470F">
      <w:pPr>
        <w:rPr>
          <w:rFonts w:ascii="Verdana" w:hAnsi="Verdana"/>
          <w:sz w:val="20"/>
        </w:rPr>
      </w:pPr>
      <w:r w:rsidRPr="00CB470F">
        <w:rPr>
          <w:rFonts w:ascii="Verdana" w:hAnsi="Verdana"/>
          <w:sz w:val="20"/>
        </w:rPr>
        <w:t>Los premios obtenidos por los ganadores de los sorteos de conformidad con el presente artículo, no serán ingresos acumulables para los efectos del artículo 16 de la Ley del Impuesto sobre la Renta y quedan comprendidos en la exención establecida en el artículo 93, fracción XXIV de dicha ley, según corresponda.</w:t>
      </w:r>
    </w:p>
    <w:p w:rsidR="00CB470F" w:rsidRPr="00CB470F" w:rsidRDefault="00CB470F" w:rsidP="00CB470F">
      <w:pPr>
        <w:rPr>
          <w:rFonts w:ascii="Verdana" w:hAnsi="Verdana"/>
          <w:sz w:val="20"/>
        </w:rPr>
      </w:pPr>
      <w:r w:rsidRPr="00CB470F">
        <w:rPr>
          <w:rFonts w:ascii="Verdana" w:hAnsi="Verdana"/>
          <w:sz w:val="20"/>
        </w:rPr>
        <w:t>Los sorteos a que se refiere este artículo, no estarán afectos al pago del impuesto especial sobre producción y servicios.</w:t>
      </w:r>
    </w:p>
    <w:p w:rsidR="00CB470F" w:rsidRPr="00CB470F" w:rsidRDefault="00CB470F" w:rsidP="00CB470F">
      <w:pPr>
        <w:rPr>
          <w:rFonts w:ascii="Verdana" w:hAnsi="Verdana"/>
          <w:sz w:val="20"/>
        </w:rPr>
      </w:pPr>
      <w:r w:rsidRPr="00CB470F">
        <w:rPr>
          <w:rFonts w:ascii="Verdana" w:hAnsi="Verdana"/>
          <w:sz w:val="20"/>
        </w:rPr>
        <w:t>El monto de los impuestos estatales que se generen por la obtención de los premios a que se refiere el presente artículo será cubierto por la Federación a la Entidad Federativa en donde se entregue el premio correspondiente, a través del procedimiento de compensación permanente de fondos a que se refiere el segundo párrafo del artículo 15 de la Ley de Coordinación Fiscal y a lo establecido en los convenios de colaboración administrativa en materia fiscal federal que tienen celebrados las Entidades Federativas adheridas al Sistema Nacional de Coordinación Fiscal.</w:t>
      </w:r>
    </w:p>
    <w:p w:rsidR="00CB470F" w:rsidRPr="00CB470F" w:rsidRDefault="00CB470F" w:rsidP="00CB470F">
      <w:pPr>
        <w:rPr>
          <w:rFonts w:ascii="Verdana" w:hAnsi="Verdana"/>
          <w:sz w:val="20"/>
        </w:rPr>
      </w:pPr>
      <w:r w:rsidRPr="00CB470F">
        <w:rPr>
          <w:rFonts w:ascii="Verdana" w:hAnsi="Verdana"/>
          <w:sz w:val="20"/>
        </w:rPr>
        <w:t>La Federación cubrirá a los municipios, a través de la Entidad Federativa en donde se entregue el premio respectivo, las cantidades que correspondan por la aplicación del impuesto municipal a la obtención de premios.</w:t>
      </w:r>
    </w:p>
    <w:p w:rsidR="00CB470F" w:rsidRPr="00CB470F" w:rsidRDefault="00CB470F" w:rsidP="00CB470F">
      <w:pPr>
        <w:rPr>
          <w:rFonts w:ascii="Verdana" w:hAnsi="Verdana"/>
          <w:sz w:val="20"/>
        </w:rPr>
      </w:pPr>
      <w:r w:rsidRPr="00CB470F">
        <w:rPr>
          <w:rFonts w:ascii="Verdana" w:hAnsi="Verdana"/>
          <w:sz w:val="20"/>
        </w:rPr>
        <w:t>La Secretaría de Hacienda y Crédito Público informará a la entidad federativa los montos que le correspondan a ésta y, en su caso, a sus municipios, derivados de la aplicación de sus respectivos impuestos locales a la obtención de premios, de conformidad con las reglas de carácter general que establezca el Servicio de Administración Tributaria para estos efectos.</w:t>
      </w:r>
    </w:p>
    <w:p w:rsidR="00CB470F" w:rsidRPr="00CB470F" w:rsidRDefault="00CB470F" w:rsidP="00CB470F">
      <w:pPr>
        <w:rPr>
          <w:rFonts w:ascii="Verdana" w:hAnsi="Verdana"/>
          <w:sz w:val="20"/>
        </w:rPr>
      </w:pPr>
      <w:r w:rsidRPr="00CB470F">
        <w:rPr>
          <w:rFonts w:ascii="Verdana" w:hAnsi="Verdana"/>
          <w:b/>
          <w:bCs/>
          <w:sz w:val="20"/>
        </w:rPr>
        <w:t>Artículo 38.</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w:t>
      </w:r>
      <w:r w:rsidRPr="00CB470F">
        <w:rPr>
          <w:rFonts w:ascii="Verdana" w:hAnsi="Verdana"/>
          <w:b/>
          <w:bCs/>
          <w:sz w:val="20"/>
        </w:rPr>
        <w:t> IV. ...</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Ostentar la firma del funcionario competente</w:t>
      </w:r>
      <w:r w:rsidRPr="00CB470F">
        <w:rPr>
          <w:rFonts w:ascii="Verdana" w:hAnsi="Verdana"/>
          <w:b/>
          <w:bCs/>
          <w:sz w:val="20"/>
        </w:rPr>
        <w:t>.</w:t>
      </w:r>
      <w:r w:rsidRPr="00CB470F">
        <w:rPr>
          <w:rFonts w:ascii="Verdana" w:hAnsi="Verdana"/>
          <w:sz w:val="20"/>
        </w:rPr>
        <w:t> En el caso de resoluciones administrativas que consten en documentos digitales, deberán contener la firma electrónica avanzada del funcionario competente, la que tendrá el mismo valor que la firma autógrafa.</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Señalar el nombre o nombres de las personas a las que vaya dirigido. Cuando se ignore el nombre de la persona a la que va dirigido, se señalarán los datos suficientes que permitan su identificación.</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Adicionalmente, los funcionarios de la Secretaría de Hacienda y Crédito Público y del Servicio de Administración Tributaria, podrán utilizar su firma electrónica avanzada en cualquier documento que emitan en ejercicio de sus atribuciones, además de las resoluciones administrativas que se deban notificar, siendo aplicable para tal efecto lo dispuesto en los párrafos segundo a sexto del presente artículo.</w:t>
      </w:r>
    </w:p>
    <w:p w:rsidR="00CB470F" w:rsidRPr="00CB470F" w:rsidRDefault="00CB470F" w:rsidP="00CB470F">
      <w:pPr>
        <w:rPr>
          <w:rFonts w:ascii="Verdana" w:hAnsi="Verdana"/>
          <w:sz w:val="20"/>
        </w:rPr>
      </w:pPr>
      <w:r w:rsidRPr="00CB470F">
        <w:rPr>
          <w:rFonts w:ascii="Verdana" w:hAnsi="Verdana"/>
          <w:b/>
          <w:bCs/>
          <w:sz w:val="20"/>
        </w:rPr>
        <w:t>Artículo 41-B.</w:t>
      </w:r>
      <w:r w:rsidRPr="00CB470F">
        <w:rPr>
          <w:rFonts w:ascii="Verdana" w:hAnsi="Verdana"/>
          <w:sz w:val="20"/>
        </w:rPr>
        <w:t> (Se deroga).</w:t>
      </w:r>
    </w:p>
    <w:p w:rsidR="00CB470F" w:rsidRPr="00CB470F" w:rsidRDefault="00CB470F" w:rsidP="00CB470F">
      <w:pPr>
        <w:rPr>
          <w:rFonts w:ascii="Verdana" w:hAnsi="Verdana"/>
          <w:sz w:val="20"/>
        </w:rPr>
      </w:pPr>
      <w:r w:rsidRPr="00CB470F">
        <w:rPr>
          <w:rFonts w:ascii="Verdana" w:hAnsi="Verdana"/>
          <w:b/>
          <w:bCs/>
          <w:sz w:val="20"/>
        </w:rPr>
        <w:t>Artículo 42.</w:t>
      </w:r>
      <w:r w:rsidRPr="00CB470F">
        <w:rPr>
          <w:rFonts w:ascii="Verdana" w:hAnsi="Verdana"/>
          <w:sz w:val="20"/>
        </w:rPr>
        <w:t> Las autoridades fiscales a fin de comprobar que los contribuyentes, los responsables solidarios, los terceros con ellos relacionados o los asesores fiscales han cumplido con las disposiciones fiscales y aduaneras y, en su caso, determinar las contribuciones omitidas o los créditos fiscales, así como para comprobar la comisión de delitos fiscales y para proporcionar información a otras autoridades fiscales, estarán facultadas para:</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 </w:t>
      </w:r>
      <w:r w:rsidRPr="00CB470F">
        <w:rPr>
          <w:rFonts w:ascii="Verdana" w:hAnsi="Verdana"/>
          <w:b/>
          <w:bCs/>
          <w:sz w:val="20"/>
        </w:rPr>
        <w:t>X. ...</w:t>
      </w:r>
    </w:p>
    <w:p w:rsidR="00CB470F" w:rsidRPr="00CB470F" w:rsidRDefault="00CB470F" w:rsidP="00CB470F">
      <w:pPr>
        <w:rPr>
          <w:rFonts w:ascii="Verdana" w:hAnsi="Verdana"/>
          <w:sz w:val="20"/>
        </w:rPr>
      </w:pPr>
      <w:r w:rsidRPr="00CB470F">
        <w:rPr>
          <w:rFonts w:ascii="Verdana" w:hAnsi="Verdana"/>
          <w:b/>
          <w:bCs/>
          <w:sz w:val="20"/>
        </w:rPr>
        <w:t>XI.</w:t>
      </w:r>
      <w:r w:rsidRPr="00CB470F">
        <w:rPr>
          <w:rFonts w:ascii="Verdana" w:hAnsi="Verdana"/>
          <w:sz w:val="20"/>
        </w:rPr>
        <w:t>      Practicar visitas domiciliarias a los asesores fiscales a fin de verificar que hayan cumplido con las obligaciones previstas en los artículos 197 a 202 de este Código.</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46-A.</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w:t>
      </w:r>
      <w:r w:rsidRPr="00CB470F">
        <w:rPr>
          <w:rFonts w:ascii="Verdana" w:hAnsi="Verdana"/>
          <w:b/>
          <w:bCs/>
          <w:sz w:val="20"/>
        </w:rPr>
        <w:t> VI.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VII.</w:t>
      </w:r>
      <w:r w:rsidRPr="00CB470F">
        <w:rPr>
          <w:rFonts w:ascii="Verdana" w:hAnsi="Verdana"/>
          <w:sz w:val="20"/>
        </w:rPr>
        <w:t>     Cuando la autoridad solicite la opinión favorable del órgano colegiado al que se refiere el artículo 5o-A de este Código, hasta que dicho órgano colegiado emita la opinión solicitada. Dicha suspensión no podrá exceder de dos meses.</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49.</w:t>
      </w:r>
      <w:r w:rsidRPr="00CB470F">
        <w:rPr>
          <w:rFonts w:ascii="Verdana" w:hAnsi="Verdana"/>
          <w:sz w:val="20"/>
        </w:rPr>
        <w:t> Para los efectos de lo dispuesto por las fracciones V y XI del artículo 42 de este Código, las visitas domiciliarias se realizarán conforme a lo siguiente:</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Se llevará a cabo en el domicilio fiscal, establecimientos, sucursales, locales, puestos fijos y semifijos en la vía pública, de los contribuyentes o asesores fiscales, siempre que se encuentren abiertos al público en general, donde se realicen enajenaciones, presten servicios o contraten el uso o goce temporal de bienes, así como en los lugares donde se almacenen las mercancías o en donde se realicen las actividades relacionadas con las concesiones o autorizaciones o de cualquier padrón o registro en materia aduanera, o donde presente sus servicios de asesoría fiscal a que se refieren los artículos 197 a 202 de este Código.</w:t>
      </w:r>
    </w:p>
    <w:p w:rsidR="00CB470F" w:rsidRPr="00CB470F" w:rsidRDefault="00CB470F" w:rsidP="00CB470F">
      <w:pPr>
        <w:rPr>
          <w:rFonts w:ascii="Verdana" w:hAnsi="Verdana"/>
          <w:sz w:val="20"/>
        </w:rPr>
      </w:pPr>
      <w:r w:rsidRPr="00CB470F">
        <w:rPr>
          <w:rFonts w:ascii="Verdana" w:hAnsi="Verdana"/>
          <w:b/>
          <w:bCs/>
          <w:sz w:val="20"/>
        </w:rPr>
        <w:t>II. </w:t>
      </w:r>
      <w:r w:rsidRPr="00CB470F">
        <w:rPr>
          <w:rFonts w:ascii="Verdana" w:hAnsi="Verdana"/>
          <w:sz w:val="20"/>
        </w:rPr>
        <w:t>a</w:t>
      </w:r>
      <w:r w:rsidRPr="00CB470F">
        <w:rPr>
          <w:rFonts w:ascii="Verdana" w:hAnsi="Verdana"/>
          <w:b/>
          <w:bCs/>
          <w:sz w:val="20"/>
        </w:rPr>
        <w:t> V. ...</w:t>
      </w:r>
    </w:p>
    <w:p w:rsidR="00CB470F" w:rsidRPr="00CB470F" w:rsidRDefault="00CB470F" w:rsidP="00CB470F">
      <w:pPr>
        <w:rPr>
          <w:rFonts w:ascii="Verdana" w:hAnsi="Verdana"/>
          <w:sz w:val="20"/>
        </w:rPr>
      </w:pPr>
      <w:r w:rsidRPr="00CB470F">
        <w:rPr>
          <w:rFonts w:ascii="Verdana" w:hAnsi="Verdana"/>
          <w:b/>
          <w:bCs/>
          <w:sz w:val="20"/>
        </w:rPr>
        <w:t>VI. </w:t>
      </w:r>
      <w:r w:rsidRPr="00CB470F">
        <w:rPr>
          <w:rFonts w:ascii="Verdana" w:hAnsi="Verdana"/>
          <w:sz w:val="20"/>
        </w:rPr>
        <w:t>     Si con motivo de la visita domiciliaria a que se refiere este artículo, las autoridades conocieron incumplimientos a las disposiciones fiscales, se procederá a la formulación de la resolución correspondiente. Previamente se deberá conceder al contribuyente o asesor fiscal un plazo de tres días hábiles para desvirtuar la comisión de la infracción presentando las pruebas y formulando los alegatos correspondientes. Si se observa que el visitado no se encuentra inscrito en el registro federal de contribuyentes, la autoridad requerirá los datos necesarios para su inscripción, sin perjuicio de las sanciones y demás consecuencias legales derivadas de dicha omisión.</w:t>
      </w:r>
    </w:p>
    <w:p w:rsidR="00CB470F" w:rsidRPr="00CB470F" w:rsidRDefault="00CB470F" w:rsidP="00CB470F">
      <w:pPr>
        <w:rPr>
          <w:rFonts w:ascii="Verdana" w:hAnsi="Verdana"/>
          <w:sz w:val="20"/>
        </w:rPr>
      </w:pPr>
      <w:r w:rsidRPr="00CB470F">
        <w:rPr>
          <w:rFonts w:ascii="Verdana" w:hAnsi="Verdana"/>
          <w:b/>
          <w:bCs/>
          <w:sz w:val="20"/>
        </w:rPr>
        <w:t>Artículo 52.</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w:t>
      </w:r>
      <w:r w:rsidRPr="00CB470F">
        <w:rPr>
          <w:rFonts w:ascii="Verdana" w:hAnsi="Verdana"/>
          <w:b/>
          <w:bCs/>
          <w:sz w:val="20"/>
        </w:rPr>
        <w:t> V.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 </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Agotado el periodo probatorio a que se refiere el inciso anterior, con vista en los elementos que obren en el expediente, la autoridad fiscal emitirá la resolución que proceda.</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xml:space="preserve">    La resolución del procedimiento se notificará en un plazo que no excederá de doce meses, contado a partir del día siguiente a aquél en que se agote el plazo otorgado en el inciso a) que antecede, para que el contador público manifieste lo que a su derecho </w:t>
      </w:r>
      <w:r w:rsidRPr="00CB470F">
        <w:rPr>
          <w:rFonts w:ascii="Verdana" w:hAnsi="Verdana"/>
          <w:sz w:val="20"/>
        </w:rPr>
        <w:lastRenderedPageBreak/>
        <w:t>convenga y, ofrezca y exhiba las pruebas que considere pertinentes en relación con las irregularidades que le hayan sido notificadas.</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53-B.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Las autoridades fiscales deberán concluir el procedimiento de revisión electrónica a que se refiere este artículo dentro de un plazo máximo de seis meses contados a partir de la notificación de la resolución provisional, excepto en materia de comercio exterior, en cuyo caso el plazo no podrá exceder de dos años. El plazo para concluir el procedimiento de revisión electrónica a que se refiere este párrafo se suspenderá en los casos señalados en las fracciones I, II, III, V</w:t>
      </w:r>
      <w:r w:rsidRPr="00CB470F">
        <w:rPr>
          <w:rFonts w:ascii="Verdana" w:hAnsi="Verdana"/>
          <w:b/>
          <w:bCs/>
          <w:sz w:val="20"/>
        </w:rPr>
        <w:t>,</w:t>
      </w:r>
      <w:r w:rsidRPr="00CB470F">
        <w:rPr>
          <w:rFonts w:ascii="Verdana" w:hAnsi="Verdana"/>
          <w:sz w:val="20"/>
        </w:rPr>
        <w:t> VI y VII y penúltimo párrafo del artículo 46-A de este Código.</w:t>
      </w:r>
    </w:p>
    <w:p w:rsidR="00CB470F" w:rsidRPr="00CB470F" w:rsidRDefault="00CB470F" w:rsidP="00CB470F">
      <w:pPr>
        <w:rPr>
          <w:rFonts w:ascii="Verdana" w:hAnsi="Verdana"/>
          <w:sz w:val="20"/>
        </w:rPr>
      </w:pPr>
      <w:r w:rsidRPr="00CB470F">
        <w:rPr>
          <w:rFonts w:ascii="Verdana" w:hAnsi="Verdana"/>
          <w:b/>
          <w:bCs/>
          <w:sz w:val="20"/>
        </w:rPr>
        <w:t>Artículo 67.</w:t>
      </w:r>
      <w:r w:rsidRPr="00CB470F">
        <w:rPr>
          <w:rFonts w:ascii="Verdana" w:hAnsi="Verdana"/>
          <w:i/>
          <w:iCs/>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Los plazos establecidos en este artículo no afectarán la implementación de los acuerdos alcanzados como resultado de los procedimientos de resolución de controversias previstos en los tratados para evitar la doble tributación de los que México es parte.</w:t>
      </w:r>
    </w:p>
    <w:p w:rsidR="00CB470F" w:rsidRPr="00CB470F" w:rsidRDefault="00CB470F" w:rsidP="00CB470F">
      <w:pPr>
        <w:rPr>
          <w:rFonts w:ascii="Verdana" w:hAnsi="Verdana"/>
          <w:sz w:val="20"/>
        </w:rPr>
      </w:pPr>
      <w:r w:rsidRPr="00CB470F">
        <w:rPr>
          <w:rFonts w:ascii="Verdana" w:hAnsi="Verdana"/>
          <w:b/>
          <w:bCs/>
          <w:sz w:val="20"/>
        </w:rPr>
        <w:t>Artículo 69.</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a </w:t>
      </w:r>
      <w:r w:rsidRPr="00CB470F">
        <w:rPr>
          <w:rFonts w:ascii="Verdana" w:hAnsi="Verdana"/>
          <w:b/>
          <w:bCs/>
          <w:sz w:val="20"/>
        </w:rPr>
        <w:t>VI. ...</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que se encuentren omisos en la presentación de declaraciones periódicas para el pago de contribuciones federales propias o retenidas. Tratándose de este supuesto, también se publicará en la página de Internet del Servicio de Administración Tributaria, el ejercicio y el periodo omiso.</w:t>
      </w:r>
    </w:p>
    <w:p w:rsidR="00CB470F" w:rsidRPr="00CB470F" w:rsidRDefault="00CB470F" w:rsidP="00CB470F">
      <w:pPr>
        <w:rPr>
          <w:rFonts w:ascii="Verdana" w:hAnsi="Verdana"/>
          <w:sz w:val="20"/>
        </w:rPr>
      </w:pPr>
      <w:r w:rsidRPr="00CB470F">
        <w:rPr>
          <w:rFonts w:ascii="Verdana" w:hAnsi="Verdana"/>
          <w:b/>
          <w:bCs/>
          <w:sz w:val="20"/>
        </w:rPr>
        <w:t>VIII.</w:t>
      </w:r>
      <w:r w:rsidRPr="00CB470F">
        <w:rPr>
          <w:rFonts w:ascii="Verdana" w:hAnsi="Verdana"/>
          <w:sz w:val="20"/>
        </w:rPr>
        <w:t>    Sociedades anónimas que coloquen acciones en el mercado de valores bursátil y extrabursátil a que se refiere la Ley del Mercado de Valores que no cumplan con la obligación de tramitar su constancia del cumplimiento de obligaciones fiscales.</w:t>
      </w:r>
    </w:p>
    <w:p w:rsidR="00CB470F" w:rsidRPr="00CB470F" w:rsidRDefault="00CB470F" w:rsidP="00CB470F">
      <w:pPr>
        <w:rPr>
          <w:rFonts w:ascii="Verdana" w:hAnsi="Verdana"/>
          <w:sz w:val="20"/>
        </w:rPr>
      </w:pPr>
      <w:r w:rsidRPr="00CB470F">
        <w:rPr>
          <w:rFonts w:ascii="Verdana" w:hAnsi="Verdana"/>
          <w:b/>
          <w:bCs/>
          <w:sz w:val="20"/>
        </w:rPr>
        <w:t>IX.</w:t>
      </w:r>
      <w:r w:rsidRPr="00CB470F">
        <w:rPr>
          <w:rFonts w:ascii="Verdana" w:hAnsi="Verdana"/>
          <w:sz w:val="20"/>
        </w:rPr>
        <w:t>      Personas físicas o morales que hayan utilizado para efectos fiscales comprobantes que amparan operaciones inexistentes, sin que dichos contribuyentes hayan demostrado la materialización de dichas operaciones dentro del plazo legal previsto en el artículo 69-B, octavo párrafo de este Código, salvo que el propio contribuyente, dentro del mismo plazo haya corregido su situación fiscal.</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Artículo 69-B Ter. </w:t>
      </w:r>
      <w:r w:rsidRPr="00CB470F">
        <w:rPr>
          <w:rFonts w:ascii="Verdana" w:hAnsi="Verdana"/>
          <w:sz w:val="20"/>
        </w:rPr>
        <w:t>Las autoridades fiscales podrán recibir y, en su caso, emplear la información y documentación que proporcionen terceros colaboradores fiscales, para substanciar el procedimiento previsto en el artículo 69-B del presente Código, así como, para motivar las resoluciones de dicho procedimiento, en términos del artículo 63 de este Código.</w:t>
      </w:r>
    </w:p>
    <w:p w:rsidR="00CB470F" w:rsidRPr="00CB470F" w:rsidRDefault="00CB470F" w:rsidP="00CB470F">
      <w:pPr>
        <w:rPr>
          <w:rFonts w:ascii="Verdana" w:hAnsi="Verdana"/>
          <w:sz w:val="20"/>
        </w:rPr>
      </w:pPr>
      <w:r w:rsidRPr="00CB470F">
        <w:rPr>
          <w:rFonts w:ascii="Verdana" w:hAnsi="Verdana"/>
          <w:sz w:val="20"/>
        </w:rPr>
        <w:t xml:space="preserve">Se considera tercero colaborador fiscal a aquella persona que no ha participado en la expedición, adquisición o enajenación de comprobantes fiscales que amparen operaciones inexistentes, pero que cuenta con información que no obre en poder de la autoridad fiscal, relativa a contribuyentes que han incurrido en tales conductas y que voluntariamente proporciona a la autoridad fiscal la información de la que </w:t>
      </w:r>
      <w:r w:rsidRPr="00CB470F">
        <w:rPr>
          <w:rFonts w:ascii="Verdana" w:hAnsi="Verdana"/>
          <w:sz w:val="20"/>
        </w:rPr>
        <w:lastRenderedPageBreak/>
        <w:t>pueda disponer legalmente y que sea suficiente para acreditar dicha situación. La identidad del tercero colaborador fiscal tendrá el carácter de reservada en términos del artículo 69 de este Código.</w:t>
      </w:r>
    </w:p>
    <w:p w:rsidR="00CB470F" w:rsidRPr="00CB470F" w:rsidRDefault="00CB470F" w:rsidP="00CB470F">
      <w:pPr>
        <w:rPr>
          <w:rFonts w:ascii="Verdana" w:hAnsi="Verdana"/>
          <w:sz w:val="20"/>
        </w:rPr>
      </w:pPr>
      <w:r w:rsidRPr="00CB470F">
        <w:rPr>
          <w:rFonts w:ascii="Verdana" w:hAnsi="Verdana"/>
          <w:sz w:val="20"/>
        </w:rPr>
        <w:t>El tercero colaborador fiscal podrá participar en los sorteos previstos en el artículo 33-B de este Código, siempre que la información y documentación que proporcione en colaboración de la autoridad fiscal sean verificables. Asimismo, en la lista definitiva que se publique en términos del artículo 69-B, cuarto párrafo del presente Código, serán identificadas las empresas que facturan operaciones simuladas que se hayan conocido en virtud de la información proporcionada por el tercero colaborador fiscal.</w:t>
      </w:r>
    </w:p>
    <w:p w:rsidR="00CB470F" w:rsidRPr="00CB470F" w:rsidRDefault="00CB470F" w:rsidP="00CB470F">
      <w:pPr>
        <w:rPr>
          <w:rFonts w:ascii="Verdana" w:hAnsi="Verdana"/>
          <w:sz w:val="20"/>
        </w:rPr>
      </w:pPr>
      <w:r w:rsidRPr="00CB470F">
        <w:rPr>
          <w:rFonts w:ascii="Verdana" w:hAnsi="Verdana"/>
          <w:b/>
          <w:bCs/>
          <w:sz w:val="20"/>
        </w:rPr>
        <w:t>Artículo 79.</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a </w:t>
      </w:r>
      <w:r w:rsidRPr="00CB470F">
        <w:rPr>
          <w:rFonts w:ascii="Verdana" w:hAnsi="Verdana"/>
          <w:b/>
          <w:bCs/>
          <w:sz w:val="20"/>
        </w:rPr>
        <w:t>VI. ...</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No asentar o asentar incorrectamente en las actas de asamblea o libros de socios o accionistas, la clave en el registro federal de contribuyentes de cada socio o accionista, a que se refiere el artículo 27, apartado B, fracción V de este Código.</w:t>
      </w:r>
    </w:p>
    <w:p w:rsidR="00CB470F" w:rsidRPr="00CB470F" w:rsidRDefault="00CB470F" w:rsidP="00CB470F">
      <w:pPr>
        <w:rPr>
          <w:rFonts w:ascii="Verdana" w:hAnsi="Verdana"/>
          <w:sz w:val="20"/>
        </w:rPr>
      </w:pPr>
      <w:r w:rsidRPr="00CB470F">
        <w:rPr>
          <w:rFonts w:ascii="Verdana" w:hAnsi="Verdana"/>
          <w:b/>
          <w:bCs/>
          <w:sz w:val="20"/>
        </w:rPr>
        <w:t>VIII.</w:t>
      </w:r>
      <w:r w:rsidRPr="00CB470F">
        <w:rPr>
          <w:rFonts w:ascii="Verdana" w:hAnsi="Verdana"/>
          <w:sz w:val="20"/>
        </w:rPr>
        <w:t>    No asentar o asentar incorrectamente en las escrituras públicas en que hagan constar actas constitutivas y demás actas de asamblea de personas morales cuyos socios o accionistas deban solicitar su inscripción en el registro federal de contribuyentes, la clave correspondiente a cada socio o accionista, conforme al artículo 27, apartado B, fracción IX de este Código, cuando los socios o accionistas concurran a la constitución de la sociedad o a la protocolización del acta respectiva.</w:t>
      </w:r>
    </w:p>
    <w:p w:rsidR="00CB470F" w:rsidRPr="00CB470F" w:rsidRDefault="00CB470F" w:rsidP="00CB470F">
      <w:pPr>
        <w:rPr>
          <w:rFonts w:ascii="Verdana" w:hAnsi="Verdana"/>
          <w:sz w:val="20"/>
        </w:rPr>
      </w:pPr>
      <w:r w:rsidRPr="00CB470F">
        <w:rPr>
          <w:rFonts w:ascii="Verdana" w:hAnsi="Verdana"/>
          <w:b/>
          <w:bCs/>
          <w:sz w:val="20"/>
        </w:rPr>
        <w:t>IX. </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X.</w:t>
      </w:r>
      <w:r w:rsidRPr="00CB470F">
        <w:rPr>
          <w:rFonts w:ascii="Verdana" w:hAnsi="Verdana"/>
          <w:sz w:val="20"/>
        </w:rPr>
        <w:t>       No atender los requerimientos realizados por la autoridad fiscal, en el plazo concedido, respecto de corroborar la autenticidad, la validación o envío de instrumentos notariales para efectos de la inscripción o actualización en el registro federal de contribuyentes, conforme al artículo 27, apartado C, fracción VI de este Código.</w:t>
      </w:r>
    </w:p>
    <w:p w:rsidR="00CB470F" w:rsidRPr="00CB470F" w:rsidRDefault="00CB470F" w:rsidP="00CB470F">
      <w:pPr>
        <w:rPr>
          <w:rFonts w:ascii="Verdana" w:hAnsi="Verdana"/>
          <w:sz w:val="20"/>
        </w:rPr>
      </w:pPr>
      <w:r w:rsidRPr="00CB470F">
        <w:rPr>
          <w:rFonts w:ascii="Verdana" w:hAnsi="Verdana"/>
          <w:b/>
          <w:bCs/>
          <w:sz w:val="20"/>
        </w:rPr>
        <w:t>Artículo 80.</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a </w:t>
      </w:r>
      <w:r w:rsidRPr="00CB470F">
        <w:rPr>
          <w:rFonts w:ascii="Verdana" w:hAnsi="Verdana"/>
          <w:b/>
          <w:bCs/>
          <w:sz w:val="20"/>
        </w:rPr>
        <w:t>V. ...</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De $17,280.00 a $34,570.00, a las comprendidas en las fracciones VIII, IX y X.</w:t>
      </w:r>
    </w:p>
    <w:p w:rsidR="00CB470F" w:rsidRPr="00CB470F" w:rsidRDefault="00CB470F" w:rsidP="00CB470F">
      <w:pPr>
        <w:rPr>
          <w:rFonts w:ascii="Verdana" w:hAnsi="Verdana"/>
          <w:sz w:val="20"/>
        </w:rPr>
      </w:pPr>
      <w:r w:rsidRPr="00CB470F">
        <w:rPr>
          <w:rFonts w:ascii="Verdana" w:hAnsi="Verdana"/>
          <w:b/>
          <w:bCs/>
          <w:sz w:val="20"/>
        </w:rPr>
        <w:t>Artículo 81.</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Presentar las declaraciones, las solicitudes, los avisos, la información a que se refiere el artículo 17-K de este Código, o expedir constancias, incompletos,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al Registro Federal de Contribuyentes.</w:t>
      </w:r>
    </w:p>
    <w:p w:rsidR="00CB470F" w:rsidRPr="00CB470F" w:rsidRDefault="00CB470F" w:rsidP="00CB470F">
      <w:pPr>
        <w:rPr>
          <w:rFonts w:ascii="Verdana" w:hAnsi="Verdana"/>
          <w:sz w:val="20"/>
        </w:rPr>
      </w:pPr>
      <w:r w:rsidRPr="00CB470F">
        <w:rPr>
          <w:rFonts w:ascii="Verdana" w:hAnsi="Verdana"/>
          <w:b/>
          <w:bCs/>
          <w:sz w:val="20"/>
        </w:rPr>
        <w:lastRenderedPageBreak/>
        <w:t>III.</w:t>
      </w:r>
      <w:r w:rsidRPr="00CB470F">
        <w:rPr>
          <w:rFonts w:ascii="Verdana" w:hAnsi="Verdana"/>
          <w:sz w:val="20"/>
        </w:rPr>
        <w:t> a </w:t>
      </w:r>
      <w:r w:rsidRPr="00CB470F">
        <w:rPr>
          <w:rFonts w:ascii="Verdana" w:hAnsi="Verdana"/>
          <w:b/>
          <w:bCs/>
          <w:sz w:val="20"/>
        </w:rPr>
        <w:t>XLIV. ...</w:t>
      </w:r>
    </w:p>
    <w:p w:rsidR="00CB470F" w:rsidRPr="00CB470F" w:rsidRDefault="00CB470F" w:rsidP="00CB470F">
      <w:pPr>
        <w:rPr>
          <w:rFonts w:ascii="Verdana" w:hAnsi="Verdana"/>
          <w:sz w:val="20"/>
        </w:rPr>
      </w:pPr>
      <w:r w:rsidRPr="00CB470F">
        <w:rPr>
          <w:rFonts w:ascii="Verdana" w:hAnsi="Verdana"/>
          <w:b/>
          <w:bCs/>
          <w:sz w:val="20"/>
        </w:rPr>
        <w:t>Artículo 82-A. </w:t>
      </w:r>
      <w:r w:rsidRPr="00CB470F">
        <w:rPr>
          <w:rFonts w:ascii="Verdana" w:hAnsi="Verdana"/>
          <w:sz w:val="20"/>
        </w:rPr>
        <w:t>Son infracciones relacionadas con la revelación de esquemas reportables cometidas por asesores fiscales, las siguientes: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No revelar un esquema reportable, revelarlo de forma incompleta o con errores, o hacerlo de forma extemporánea, salvo que se haga de forma espontánea. Se considera que la información se presenta de forma incompleta o con errores, cuando la falta de esa información o los datos incorrectos afecten sustancialmente el análisis del esquema reportable.</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No revelar un esquema reportable generalizado, que no haya sido implementado.</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No proporcionar el número de identificación del esquema reportable a los contribuyentes de conformidad con el artículo 202 de este Código.</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No atender el requerimiento de información adicional que efectúe la autoridad fiscal o manifestar falsamente que no cuenta con la información requerida respecto al esquema reportable en los términos del artículo 201 de este Código.</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No expedir alguna de las constancias a que se refiere al séptimo párrafo del artículo 197 de este Código.</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No informar al Servicio de Administración Tributaria cualquier cambio que suceda con posterioridad a la revelación del esquema reportable de conformidad con lo establecido en el penúltimo párrafo del artículo 202 de este Código. Asimismo, presentar de forma extemporánea, salvo que se haga de forma espontánea, la información señalada en las fracciones VI, VII y VIII del artículo 200 de este Código.</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No presentar la declaración informativa que contenga una lista con los nombres, denominaciones o razones sociales de los contribuyentes, así como su clave en el registro federal de contribuyentes, a los cuales brindó asesoría fiscal respecto a los esquemas reportables, a que hace referencia el artículo 197 de este Código.</w:t>
      </w:r>
    </w:p>
    <w:p w:rsidR="00CB470F" w:rsidRPr="00CB470F" w:rsidRDefault="00CB470F" w:rsidP="00CB470F">
      <w:pPr>
        <w:rPr>
          <w:rFonts w:ascii="Verdana" w:hAnsi="Verdana"/>
          <w:sz w:val="20"/>
        </w:rPr>
      </w:pPr>
      <w:r w:rsidRPr="00CB470F">
        <w:rPr>
          <w:rFonts w:ascii="Verdana" w:hAnsi="Verdana"/>
          <w:b/>
          <w:bCs/>
          <w:sz w:val="20"/>
        </w:rPr>
        <w:t>Artículo 82-B. </w:t>
      </w:r>
      <w:r w:rsidRPr="00CB470F">
        <w:rPr>
          <w:rFonts w:ascii="Verdana" w:hAnsi="Verdana"/>
          <w:sz w:val="20"/>
        </w:rPr>
        <w:t>A quien cometa las infracciones relacionadas con la revelación de esquemas reportables previstas en el artículo 82-A, se impondrán las siguientes sanciones: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De $50,000.00 a $20,000,000.00 en el supuesto previsto en la fracción I.</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De $15,000.00 a $20,000.00 en el supuesto previsto en la fracción II.</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De $20,000.00 a $25,000.00 en el supuesto previsto en la fracción III.</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De $100,000.00 a $300,000.00 en el supuesto previsto en la fracción IV.</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De $25,000.00 a $30,000.00 en el supuesto previsto en la fracción V.</w:t>
      </w:r>
    </w:p>
    <w:p w:rsidR="00CB470F" w:rsidRPr="00CB470F" w:rsidRDefault="00CB470F" w:rsidP="00CB470F">
      <w:pPr>
        <w:rPr>
          <w:rFonts w:ascii="Verdana" w:hAnsi="Verdana"/>
          <w:sz w:val="20"/>
        </w:rPr>
      </w:pPr>
      <w:r w:rsidRPr="00CB470F">
        <w:rPr>
          <w:rFonts w:ascii="Verdana" w:hAnsi="Verdana"/>
          <w:b/>
          <w:bCs/>
          <w:sz w:val="20"/>
        </w:rPr>
        <w:lastRenderedPageBreak/>
        <w:t>VI.</w:t>
      </w:r>
      <w:r w:rsidRPr="00CB470F">
        <w:rPr>
          <w:rFonts w:ascii="Verdana" w:hAnsi="Verdana"/>
          <w:sz w:val="20"/>
        </w:rPr>
        <w:t>      De $100,000.00 a $500,000.00 en el supuesto previsto en la fracción VI.</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De $50,000.00 a $70,000.00 en el supuesto previsto en la fracción VII.</w:t>
      </w:r>
    </w:p>
    <w:p w:rsidR="00CB470F" w:rsidRPr="00CB470F" w:rsidRDefault="00CB470F" w:rsidP="00CB470F">
      <w:pPr>
        <w:rPr>
          <w:rFonts w:ascii="Verdana" w:hAnsi="Verdana"/>
          <w:sz w:val="20"/>
        </w:rPr>
      </w:pPr>
      <w:r w:rsidRPr="00CB470F">
        <w:rPr>
          <w:rFonts w:ascii="Verdana" w:hAnsi="Verdana"/>
          <w:b/>
          <w:bCs/>
          <w:sz w:val="20"/>
        </w:rPr>
        <w:t>Artículo 82-C.</w:t>
      </w:r>
      <w:r w:rsidRPr="00CB470F">
        <w:rPr>
          <w:rFonts w:ascii="Verdana" w:hAnsi="Verdana"/>
          <w:sz w:val="20"/>
        </w:rPr>
        <w:t> Son infracciones relacionadas con la revelación de esquemas reportables cometidas por los contribuyentes, las siguientes: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No revelar un esquema reportable, revelarlo de forma incompleta o con errores. Se considera que la información se presenta de forma incompleta o con errores, cuando la falta de esa información o los datos incorrectos afecten sustancialmente el análisis del esquema reportable.</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No incluir el número de identificación del esquema reportable obtenido directamente del Servicio de Administración Tributaria o a través de un asesor fiscal en su declaración de impuestos conforme a lo dispuesto en el artículo 202 de este Código.</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No atender el requerimiento de información adicional que efectúe la autoridad fiscal o manifestar falsamente que no cuenta con la información requerida respecto al esquema reportable en los términos del artículo 201 de este Código.</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No informar al Servicio de Administración Tributaria cualquier cambio que suceda con posterioridad a la revelación del esquema reportable, de conformidad con lo establecido en el penúltimo párrafo del artículo 202 de este Código. Asimismo, informar de forma extemporánea en el caso de la información señalada en las fracciones VI, VII y VIII del artículo 200 de este Código.</w:t>
      </w:r>
    </w:p>
    <w:p w:rsidR="00CB470F" w:rsidRPr="00CB470F" w:rsidRDefault="00CB470F" w:rsidP="00CB470F">
      <w:pPr>
        <w:rPr>
          <w:rFonts w:ascii="Verdana" w:hAnsi="Verdana"/>
          <w:sz w:val="20"/>
        </w:rPr>
      </w:pPr>
      <w:r w:rsidRPr="00CB470F">
        <w:rPr>
          <w:rFonts w:ascii="Verdana" w:hAnsi="Verdana"/>
          <w:b/>
          <w:bCs/>
          <w:sz w:val="20"/>
        </w:rPr>
        <w:t>Artículo 82-D. </w:t>
      </w:r>
      <w:r w:rsidRPr="00CB470F">
        <w:rPr>
          <w:rFonts w:ascii="Verdana" w:hAnsi="Verdana"/>
          <w:sz w:val="20"/>
        </w:rPr>
        <w:t>A quien cometa las infracciones relacionadas con la revelación de esquemas reportables previstas en el artículo 82-C, se impondrán las siguientes sanciones: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En el supuesto previsto por la fracción I, no se aplicará el beneficio fiscal previsto en el esquema reportable y se aplicará una sanción económica equivalente a una cantidad entre el 50% y el 75% del monto del beneficio fiscal del esquema reportable que se obtuvo o se esperó obtener en todos los ejercicios fiscales que involucra o involucraría la aplicación del esquema.</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De $50,000.00 a $100,000.00 en el supuesto previsto en la fracción II.</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De $100,000.00 a $350,000.00 en el supuesto previsto en la fracción III.</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De $200,000.00 a $2,000,000.00 en el supuesto previsto en la fracción IV.</w:t>
      </w:r>
    </w:p>
    <w:p w:rsidR="00CB470F" w:rsidRPr="00CB470F" w:rsidRDefault="00CB470F" w:rsidP="00CB470F">
      <w:pPr>
        <w:rPr>
          <w:rFonts w:ascii="Verdana" w:hAnsi="Verdana"/>
          <w:sz w:val="20"/>
        </w:rPr>
      </w:pPr>
      <w:r w:rsidRPr="00CB470F">
        <w:rPr>
          <w:rFonts w:ascii="Verdana" w:hAnsi="Verdana"/>
          <w:b/>
          <w:bCs/>
          <w:sz w:val="20"/>
        </w:rPr>
        <w:t>Artículo 83.</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 </w:t>
      </w:r>
      <w:r w:rsidRPr="00CB470F">
        <w:rPr>
          <w:rFonts w:ascii="Verdana" w:hAnsi="Verdana"/>
          <w:sz w:val="20"/>
        </w:rPr>
        <w:t>a</w:t>
      </w:r>
      <w:r w:rsidRPr="00CB470F">
        <w:rPr>
          <w:rFonts w:ascii="Verdana" w:hAnsi="Verdana"/>
          <w:b/>
          <w:bCs/>
          <w:sz w:val="20"/>
        </w:rPr>
        <w:t> XVII. ...</w:t>
      </w:r>
    </w:p>
    <w:p w:rsidR="00CB470F" w:rsidRPr="00CB470F" w:rsidRDefault="00CB470F" w:rsidP="00CB470F">
      <w:pPr>
        <w:rPr>
          <w:rFonts w:ascii="Verdana" w:hAnsi="Verdana"/>
          <w:sz w:val="20"/>
        </w:rPr>
      </w:pPr>
      <w:r w:rsidRPr="00CB470F">
        <w:rPr>
          <w:rFonts w:ascii="Verdana" w:hAnsi="Verdana"/>
          <w:b/>
          <w:bCs/>
          <w:sz w:val="20"/>
        </w:rPr>
        <w:t>XVIII.</w:t>
      </w:r>
      <w:r w:rsidRPr="00CB470F">
        <w:rPr>
          <w:rFonts w:ascii="Verdana" w:hAnsi="Verdana"/>
          <w:sz w:val="20"/>
        </w:rPr>
        <w:t>  Utilizar para efectos fiscales comprobantes expedidos por un tercero</w:t>
      </w:r>
      <w:r w:rsidRPr="00CB470F">
        <w:rPr>
          <w:rFonts w:ascii="Verdana" w:hAnsi="Verdana"/>
          <w:b/>
          <w:bCs/>
          <w:sz w:val="20"/>
        </w:rPr>
        <w:t> </w:t>
      </w:r>
      <w:r w:rsidRPr="00CB470F">
        <w:rPr>
          <w:rFonts w:ascii="Verdana" w:hAnsi="Verdana"/>
          <w:sz w:val="20"/>
        </w:rPr>
        <w:t xml:space="preserve">que no desvirtuó la presunción de que tales comprobantes amparan operaciones inexistentes </w:t>
      </w:r>
      <w:r w:rsidRPr="00CB470F">
        <w:rPr>
          <w:rFonts w:ascii="Verdana" w:hAnsi="Verdana"/>
          <w:sz w:val="20"/>
        </w:rPr>
        <w:lastRenderedPageBreak/>
        <w:t>y, por tanto, se encuentra incluido en el listado a que se refiere el artículo 69-B, cuarto párrafo de este Código, sin que el contribuyente que los utiliza haya demostrado la materialización de dichas operaciones dentro del plazo legal previsto en el octavo párrafo del citado artículo, salvo que el propio contribuyente, dentro del mismo plazo, haya corregido su situación fiscal.</w:t>
      </w:r>
    </w:p>
    <w:p w:rsidR="00CB470F" w:rsidRPr="00CB470F" w:rsidRDefault="00CB470F" w:rsidP="00CB470F">
      <w:pPr>
        <w:rPr>
          <w:rFonts w:ascii="Verdana" w:hAnsi="Verdana"/>
          <w:sz w:val="20"/>
        </w:rPr>
      </w:pPr>
      <w:r w:rsidRPr="00CB470F">
        <w:rPr>
          <w:rFonts w:ascii="Verdana" w:hAnsi="Verdana"/>
          <w:b/>
          <w:bCs/>
          <w:sz w:val="20"/>
        </w:rPr>
        <w:t>Artículo 84.</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y </w:t>
      </w:r>
      <w:r w:rsidRPr="00CB470F">
        <w:rPr>
          <w:rFonts w:ascii="Verdana" w:hAnsi="Verdana"/>
          <w:b/>
          <w:bCs/>
          <w:sz w:val="20"/>
        </w:rPr>
        <w:t>II. ...</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De $230.00 a $4,270.00 por cometer la señalada en la fracción IV consistente en no hacer los asientos correspondientes a las operaciones efectuadas; hacerlos incompletos, inexactos, con identificación incorrecta de su objeto o fuera de los plazos respectivos; y por la infracción consistente en registrar gastos inexistentes prevista en la citada fracción IV de un 55% a un 75% del monto de cada registro de gasto inexistente.</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a </w:t>
      </w:r>
      <w:r w:rsidRPr="00CB470F">
        <w:rPr>
          <w:rFonts w:ascii="Verdana" w:hAnsi="Verdana"/>
          <w:b/>
          <w:bCs/>
          <w:sz w:val="20"/>
        </w:rPr>
        <w:t>XV. ...</w:t>
      </w:r>
    </w:p>
    <w:p w:rsidR="00CB470F" w:rsidRPr="00CB470F" w:rsidRDefault="00CB470F" w:rsidP="00CB470F">
      <w:pPr>
        <w:rPr>
          <w:rFonts w:ascii="Verdana" w:hAnsi="Verdana"/>
          <w:sz w:val="20"/>
        </w:rPr>
      </w:pPr>
      <w:r w:rsidRPr="00CB470F">
        <w:rPr>
          <w:rFonts w:ascii="Verdana" w:hAnsi="Verdana"/>
          <w:b/>
          <w:bCs/>
          <w:sz w:val="20"/>
        </w:rPr>
        <w:t>XVI.</w:t>
      </w:r>
      <w:r w:rsidRPr="00CB470F">
        <w:rPr>
          <w:rFonts w:ascii="Verdana" w:hAnsi="Verdana"/>
          <w:sz w:val="20"/>
        </w:rPr>
        <w:t>    De un 55% a un 75% del monto de cada comprobante fiscal, tratándose del supuesto previsto en la fracción XVIII.</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86-C.</w:t>
      </w:r>
      <w:r w:rsidRPr="00CB470F">
        <w:rPr>
          <w:rFonts w:ascii="Verdana" w:hAnsi="Verdana"/>
          <w:sz w:val="20"/>
        </w:rPr>
        <w:t> Se considera infracción en la que pueden incurrir los contribuyentes conforme lo previsto en el artículo 17-K de este Código, el no habilitar el buzón tributario, no registrar o no mantener actualizados los medios de contacto conforme lo previsto en el mismo.</w:t>
      </w:r>
    </w:p>
    <w:p w:rsidR="00CB470F" w:rsidRPr="00CB470F" w:rsidRDefault="00CB470F" w:rsidP="00CB470F">
      <w:pPr>
        <w:rPr>
          <w:rFonts w:ascii="Verdana" w:hAnsi="Verdana"/>
          <w:sz w:val="20"/>
        </w:rPr>
      </w:pPr>
      <w:r w:rsidRPr="00CB470F">
        <w:rPr>
          <w:rFonts w:ascii="Verdana" w:hAnsi="Verdana"/>
          <w:b/>
          <w:bCs/>
          <w:sz w:val="20"/>
        </w:rPr>
        <w:t>Artículo 86-D.</w:t>
      </w:r>
      <w:r w:rsidRPr="00CB470F">
        <w:rPr>
          <w:rFonts w:ascii="Verdana" w:hAnsi="Verdana"/>
          <w:sz w:val="20"/>
        </w:rPr>
        <w:t> A quien cometa la infracción relacionada con la no habilitación del buzón tributario, el no registro o actualización de los medios de contacto conforme a lo previsto en el artículo 86-C, se impondrá una multa de $3,080.00 a $9,250.00.</w:t>
      </w:r>
    </w:p>
    <w:p w:rsidR="00CB470F" w:rsidRPr="00CB470F" w:rsidRDefault="00CB470F" w:rsidP="00CB470F">
      <w:pPr>
        <w:rPr>
          <w:rFonts w:ascii="Verdana" w:hAnsi="Verdana"/>
          <w:sz w:val="20"/>
        </w:rPr>
      </w:pPr>
      <w:r w:rsidRPr="00CB470F">
        <w:rPr>
          <w:rFonts w:ascii="Verdana" w:hAnsi="Verdana"/>
          <w:b/>
          <w:bCs/>
          <w:sz w:val="20"/>
        </w:rPr>
        <w:t>Artículo 89.</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a </w:t>
      </w:r>
      <w:r w:rsidRPr="00CB470F">
        <w:rPr>
          <w:rFonts w:ascii="Verdana" w:hAnsi="Verdana"/>
          <w:b/>
          <w:bCs/>
          <w:sz w:val="20"/>
        </w:rPr>
        <w:t>III. ...</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Al que permita o publique a través de cualquier medio, anuncios para la adquisición o enajenación de comprobantes fiscales que amparen operaciones inexistentes, falsas o actos jurídicos simulados.</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134.</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Por buzón tributario, personalmente o por correo certificado, cuando se trate de citatorios, requerimientos, solicitudes de informes o documentos y de actos administrativos que puedan ser recurridos.</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lastRenderedPageBreak/>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Previo a la realización de la notificación electrónica, al contribuyente le será enviado un aviso mediante el mecanismo designado por éste en términos del tercer párrafo del artículo 17-K de este Código.</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a</w:t>
      </w:r>
      <w:r w:rsidRPr="00CB470F">
        <w:rPr>
          <w:rFonts w:ascii="Verdana" w:hAnsi="Verdana"/>
          <w:b/>
          <w:bCs/>
          <w:sz w:val="20"/>
        </w:rPr>
        <w:t> IV. ...</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(Se deroga).</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137.</w:t>
      </w:r>
      <w:r w:rsidRPr="00CB470F">
        <w:rPr>
          <w:rFonts w:ascii="Verdana" w:hAnsi="Verdana"/>
          <w:sz w:val="20"/>
        </w:rPr>
        <w:t> Cuando la notificación se efectúe personalmente y el notificador no encuentre a quien deba notificar, le dejará citatorio en el domicilio fiscal, para que espere a una hora fija del día hábil posterior que se señale en el mismo, y en caso de que tampoco sea posible dejar el citatorio debido a que la persona que atiende se niega a recibirlo, o bien, nadie atendió la diligencia en el domicilio, la notificación se realizará conforme a lo señalado en el artículo 134, fracción III de este Código.</w:t>
      </w:r>
    </w:p>
    <w:p w:rsidR="00CB470F" w:rsidRPr="00CB470F" w:rsidRDefault="00CB470F" w:rsidP="00CB470F">
      <w:pPr>
        <w:rPr>
          <w:rFonts w:ascii="Verdana" w:hAnsi="Verdana"/>
          <w:sz w:val="20"/>
        </w:rPr>
      </w:pPr>
      <w:r w:rsidRPr="00CB470F">
        <w:rPr>
          <w:rFonts w:ascii="Verdana" w:hAnsi="Verdana"/>
          <w:sz w:val="20"/>
        </w:rPr>
        <w:t>El citatorio a que se refiere este artículo será siempre para la espera antes señalada y, si la persona citada o su representante legal no esperaren, se practicará la diligencia con quien se encuentre en el domicilio o en su defecto con un vecino. En caso de que estos últimos se negasen a recibir la notificación, ésta se hará conforme a lo señalado en el artículo 134, fracción III de este Código.</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Artículo 146. ...</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lastRenderedPageBreak/>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Los plazos establecidos en este artículo no afectarán la implementación de los acuerdos alcanzados como resultado de los procedimientos de resolución de controversias previstos en los tratados para evitar la doble tributación de los que México es parte.</w:t>
      </w:r>
    </w:p>
    <w:p w:rsidR="00CB470F" w:rsidRPr="00CB470F" w:rsidRDefault="00CB470F" w:rsidP="00CB470F">
      <w:pPr>
        <w:rPr>
          <w:rFonts w:ascii="Verdana" w:hAnsi="Verdana"/>
          <w:sz w:val="20"/>
        </w:rPr>
      </w:pPr>
      <w:r w:rsidRPr="00CB470F">
        <w:rPr>
          <w:rFonts w:ascii="Verdana" w:hAnsi="Verdana"/>
          <w:b/>
          <w:bCs/>
          <w:sz w:val="20"/>
        </w:rPr>
        <w:t>Artículo 152.</w:t>
      </w:r>
      <w:r w:rsidRPr="00CB470F">
        <w:rPr>
          <w:rFonts w:ascii="Verdana" w:hAnsi="Verdana"/>
          <w:sz w:val="20"/>
        </w:rPr>
        <w:t> </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Segundo párrafo.</w:t>
      </w:r>
      <w:r w:rsidRPr="00CB470F">
        <w:rPr>
          <w:rFonts w:ascii="Verdana" w:hAnsi="Verdana"/>
          <w:sz w:val="20"/>
        </w:rPr>
        <w:t> (Se deroga).</w:t>
      </w:r>
    </w:p>
    <w:p w:rsidR="00CB470F" w:rsidRPr="00CB470F" w:rsidRDefault="00CB470F" w:rsidP="00CB470F">
      <w:pPr>
        <w:rPr>
          <w:rFonts w:ascii="Verdana" w:hAnsi="Verdana"/>
          <w:sz w:val="20"/>
        </w:rPr>
      </w:pP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b/>
          <w:bCs/>
          <w:sz w:val="20"/>
        </w:rPr>
        <w:t>TÍTULO SEXTO</w:t>
      </w:r>
    </w:p>
    <w:p w:rsidR="00CB470F" w:rsidRPr="00CB470F" w:rsidRDefault="00CB470F" w:rsidP="00CB470F">
      <w:pPr>
        <w:rPr>
          <w:rFonts w:ascii="Verdana" w:hAnsi="Verdana"/>
          <w:sz w:val="20"/>
        </w:rPr>
      </w:pPr>
      <w:r w:rsidRPr="00CB470F">
        <w:rPr>
          <w:rFonts w:ascii="Verdana" w:hAnsi="Verdana"/>
          <w:b/>
          <w:bCs/>
          <w:sz w:val="20"/>
        </w:rPr>
        <w:t>De la Revelación de Esquemas Reportables</w:t>
      </w:r>
    </w:p>
    <w:p w:rsidR="00CB470F" w:rsidRPr="00CB470F" w:rsidRDefault="00CB470F" w:rsidP="00CB470F">
      <w:pPr>
        <w:rPr>
          <w:rFonts w:ascii="Verdana" w:hAnsi="Verdana"/>
          <w:sz w:val="20"/>
        </w:rPr>
      </w:pPr>
      <w:r w:rsidRPr="00CB470F">
        <w:rPr>
          <w:rFonts w:ascii="Verdana" w:hAnsi="Verdana"/>
          <w:b/>
          <w:bCs/>
          <w:sz w:val="20"/>
        </w:rPr>
        <w:t>CAPÍTULO ÚNICO</w:t>
      </w:r>
    </w:p>
    <w:p w:rsidR="00CB470F" w:rsidRPr="00CB470F" w:rsidRDefault="00CB470F" w:rsidP="00CB470F">
      <w:pPr>
        <w:rPr>
          <w:rFonts w:ascii="Verdana" w:hAnsi="Verdana"/>
          <w:sz w:val="20"/>
        </w:rPr>
      </w:pPr>
      <w:r w:rsidRPr="00CB470F">
        <w:rPr>
          <w:rFonts w:ascii="Verdana" w:hAnsi="Verdana"/>
          <w:b/>
          <w:bCs/>
          <w:sz w:val="20"/>
        </w:rPr>
        <w:t>Artículo 197.</w:t>
      </w:r>
      <w:r w:rsidRPr="00CB470F">
        <w:rPr>
          <w:rFonts w:ascii="Verdana" w:hAnsi="Verdana"/>
          <w:sz w:val="20"/>
        </w:rPr>
        <w:t> Los asesores fiscales se encuentran obligados a revelar los esquemas reportables generalizados y personalizados a que se refiere este Capítulo al Servicio de Administración Tributaria.</w:t>
      </w:r>
    </w:p>
    <w:p w:rsidR="00CB470F" w:rsidRPr="00CB470F" w:rsidRDefault="00CB470F" w:rsidP="00CB470F">
      <w:pPr>
        <w:rPr>
          <w:rFonts w:ascii="Verdana" w:hAnsi="Verdana"/>
          <w:sz w:val="20"/>
        </w:rPr>
      </w:pPr>
      <w:r w:rsidRPr="00CB470F">
        <w:rPr>
          <w:rFonts w:ascii="Verdana" w:hAnsi="Verdana"/>
          <w:sz w:val="20"/>
        </w:rPr>
        <w:t>Se entiende por asesor fiscal cualquier persona física o moral que, en el curso ordinario de su actividad realice actividades de asesoría fiscal, y sea responsable o esté involucrada en el diseño, comercialización, organización, implementación o administración de la totalidad de un esquema reportable o quien pone a disposición la totalidad de un esquema reportable para su implementación por parte de un tercero.</w:t>
      </w:r>
    </w:p>
    <w:p w:rsidR="00CB470F" w:rsidRPr="00CB470F" w:rsidRDefault="00CB470F" w:rsidP="00CB470F">
      <w:pPr>
        <w:rPr>
          <w:rFonts w:ascii="Verdana" w:hAnsi="Verdana"/>
          <w:sz w:val="20"/>
        </w:rPr>
      </w:pPr>
      <w:r w:rsidRPr="00CB470F">
        <w:rPr>
          <w:rFonts w:ascii="Verdana" w:hAnsi="Verdana"/>
          <w:sz w:val="20"/>
        </w:rPr>
        <w:t>Los asesores fiscales obligados conforme a este Capítulo, son aquéllos que se consideren residentes en México o residentes en el extranjero que tengan un establecimiento permanente en territorio nacional de conformidad con la Ley del Impuesto sobre la Renta, siempre que las actividades atribuibles a dicho establecimiento permanente sean aquéllas realizadas por un asesor fiscal. Cuando un asesor fiscal residente en el extranjero tenga en México un establecimiento permanente o una parte relacionada, se presume, salvo prueba en contrario, que la asesoría fiscal fue prestada por estos últimos. Esta presunción también será aplicable cuando un tercero que sea un residente en México o un establecimiento permanente de un residente en el extranjero en los términos de la Ley del Impuesto sobre la Renta, realice actividades de asesoría fiscal bajo la misma marca o nombre comercial que el asesor fiscal residente en el extranjero. Para controvertir dicha presunción, no será suficiente presentar un contrato que señale que el servicio de asesoría fiscal fue prestado directamente por dicho residente en el extranjero. En este supuesto, el establecimiento permanente, la parte relacionada o el tercero tendrán la obligación de revelar el esquema reportable.</w:t>
      </w:r>
    </w:p>
    <w:p w:rsidR="00CB470F" w:rsidRPr="00CB470F" w:rsidRDefault="00CB470F" w:rsidP="00CB470F">
      <w:pPr>
        <w:rPr>
          <w:rFonts w:ascii="Verdana" w:hAnsi="Verdana"/>
          <w:sz w:val="20"/>
        </w:rPr>
      </w:pPr>
      <w:r w:rsidRPr="00CB470F">
        <w:rPr>
          <w:rFonts w:ascii="Verdana" w:hAnsi="Verdana"/>
          <w:sz w:val="20"/>
        </w:rPr>
        <w:lastRenderedPageBreak/>
        <w:t>Existe la obligación de revelar un esquema reportable de conformidad con este artículo, sin importar la residencia fiscal del contribuyente, siempre que éste obtenga un beneficio fiscal en México.</w:t>
      </w:r>
    </w:p>
    <w:p w:rsidR="00CB470F" w:rsidRPr="00CB470F" w:rsidRDefault="00CB470F" w:rsidP="00CB470F">
      <w:pPr>
        <w:rPr>
          <w:rFonts w:ascii="Verdana" w:hAnsi="Verdana"/>
          <w:sz w:val="20"/>
        </w:rPr>
      </w:pPr>
      <w:r w:rsidRPr="00CB470F">
        <w:rPr>
          <w:rFonts w:ascii="Verdana" w:hAnsi="Verdana"/>
          <w:sz w:val="20"/>
        </w:rPr>
        <w:t>Si varios asesores fiscales se encuentran obligados a revelar un mismo esquema reportable, se considerará que los mismos han cumplido con la obligación señalada en este artículo, si uno de ellos revela dicho esquema a nombre y por cuenta de todos ellos. Cuando un asesor fiscal, que sea una persona física, preste servicios de asesoría fiscal a través de una persona moral, no estará obligado a revelar conforme a lo dispuesto en este Capítulo, siempre que dicha persona moral revele el esquema reportable por ser considerada un asesor fiscal.</w:t>
      </w:r>
    </w:p>
    <w:p w:rsidR="00CB470F" w:rsidRPr="00CB470F" w:rsidRDefault="00CB470F" w:rsidP="00CB470F">
      <w:pPr>
        <w:rPr>
          <w:rFonts w:ascii="Verdana" w:hAnsi="Verdana"/>
          <w:sz w:val="20"/>
        </w:rPr>
      </w:pPr>
      <w:r w:rsidRPr="00CB470F">
        <w:rPr>
          <w:rFonts w:ascii="Verdana" w:hAnsi="Verdana"/>
          <w:sz w:val="20"/>
        </w:rPr>
        <w:t>En los casos previstos en el párrafo anterior, el asesor fiscal que revele dicho esquema deberá cumplir con lo dispuesto en el artículo 200 de este Código. Adicionalmente, dicho asesor deberá emitir una constancia, en los términos de las disposiciones generales que para tal efecto expida el Servicio de Administración Tributaria, a los demás asesores fiscales que sean liberados de la obligación contenida en este artículo, que indique que ha revelado el esquema reportable, a la que se deberá anexar una copia de la declaración informativa a través de la cual se reveló el esquema reportable, así como una copia del acuse de recibo de dicha declaración y el certificado donde se asigne el número de identificación del esquema. Si alguno de los asesores fiscales no recibe la referida constancia o no se encuentra de acuerdo con el contenido de la declaración informativa presentada, seguirá obligado a revelar el esquema reportable en los términos previstos en el tercer párrafo del artículo 201 de este Código. En caso que no se encuentre de acuerdo con el contenido de la declaración informativa presentada o desee proporcionar mayor información, podrá presentar una declaración informativa complementaria que sólo tendrá efectos para el asesor fiscal que la haya presentado, misma que se deberá presentar dentro de los 20 días siguientes a partir de la fecha en que se haya recibido dicha constancia.</w:t>
      </w:r>
    </w:p>
    <w:p w:rsidR="00CB470F" w:rsidRPr="00CB470F" w:rsidRDefault="00CB470F" w:rsidP="00CB470F">
      <w:pPr>
        <w:rPr>
          <w:rFonts w:ascii="Verdana" w:hAnsi="Verdana"/>
          <w:sz w:val="20"/>
        </w:rPr>
      </w:pPr>
      <w:r w:rsidRPr="00CB470F">
        <w:rPr>
          <w:rFonts w:ascii="Verdana" w:hAnsi="Verdana"/>
          <w:sz w:val="20"/>
        </w:rPr>
        <w:t>En caso que un esquema genere beneficios fiscales en México pero no sea reportable de conformidad con el artículo 199 de este Código o exista un impedimento legal para su revelación por parte del asesor fiscal, éste deberá expedir una constancia, en los términos de las disposiciones generales que para tal efecto expida el Servicio de Administración Tributaria, al contribuyente en la que justifique y motive las razones por las cuales lo considere no reportable o exista un impedimento para revelar, misma que se deberá entregar dentro de los cinco días siguientes al día en que se ponga a disposición del contribuyente el esquema reportable o se realice el primer hecho o acto jurídico que forme parte del esquema, lo que suceda primero. La revelación de esquemas reportables de conformidad con este Capítulo no constituirá una violación a la obligación de guardar un secreto conocido al amparo de alguna profesión.</w:t>
      </w:r>
    </w:p>
    <w:p w:rsidR="00CB470F" w:rsidRPr="00CB470F" w:rsidRDefault="00CB470F" w:rsidP="00CB470F">
      <w:pPr>
        <w:rPr>
          <w:rFonts w:ascii="Verdana" w:hAnsi="Verdana"/>
          <w:sz w:val="20"/>
        </w:rPr>
      </w:pPr>
      <w:r w:rsidRPr="00CB470F">
        <w:rPr>
          <w:rFonts w:ascii="Verdana" w:hAnsi="Verdana"/>
          <w:sz w:val="20"/>
        </w:rPr>
        <w:t xml:space="preserve">Los asesores fiscales deberán presentar una declaración informativa, en los términos de las disposiciones generales que para tal efecto expida el Servicio de Administración Tributaria, en el mes de febrero de cada año, que contenga una lista con los nombres, denominaciones o razones sociales de los contribuyentes, así como su clave en el registro federal de contribuyentes, a los cuales brindó asesoría fiscal respecto a </w:t>
      </w:r>
      <w:r w:rsidRPr="00CB470F">
        <w:rPr>
          <w:rFonts w:ascii="Verdana" w:hAnsi="Verdana"/>
          <w:sz w:val="20"/>
        </w:rPr>
        <w:lastRenderedPageBreak/>
        <w:t>los esquemas reportables. En caso que el contribuyente sea un residente en el extranjero sin establecimiento permanente en el país o que, teniéndolo, el esquema no esté relacionado con dicho establecimiento, se deberá incluir adicionalmente el país o jurisdicción de residencia de dicho contribuyente, así como su número de identificación fiscal, domicilio fiscal o cualquier dato para su localización.</w:t>
      </w:r>
    </w:p>
    <w:p w:rsidR="00CB470F" w:rsidRPr="00CB470F" w:rsidRDefault="00CB470F" w:rsidP="00CB470F">
      <w:pPr>
        <w:rPr>
          <w:rFonts w:ascii="Verdana" w:hAnsi="Verdana"/>
          <w:sz w:val="20"/>
        </w:rPr>
      </w:pPr>
      <w:r w:rsidRPr="00CB470F">
        <w:rPr>
          <w:rFonts w:ascii="Verdana" w:hAnsi="Verdana"/>
          <w:sz w:val="20"/>
        </w:rPr>
        <w:t>El Servicio de Administración Tributaria emitirá las reglas de carácter general para la aplicación del presente artículo.</w:t>
      </w:r>
    </w:p>
    <w:p w:rsidR="00CB470F" w:rsidRPr="00CB470F" w:rsidRDefault="00CB470F" w:rsidP="00CB470F">
      <w:pPr>
        <w:rPr>
          <w:rFonts w:ascii="Verdana" w:hAnsi="Verdana"/>
          <w:sz w:val="20"/>
        </w:rPr>
      </w:pPr>
      <w:r w:rsidRPr="00CB470F">
        <w:rPr>
          <w:rFonts w:ascii="Verdana" w:hAnsi="Verdana"/>
          <w:b/>
          <w:bCs/>
          <w:sz w:val="20"/>
        </w:rPr>
        <w:t>Artículo 198.</w:t>
      </w:r>
      <w:r w:rsidRPr="00CB470F">
        <w:rPr>
          <w:rFonts w:ascii="Verdana" w:hAnsi="Verdana"/>
          <w:sz w:val="20"/>
        </w:rPr>
        <w:t> Los contribuyentes se encuentran obligados a revelar los esquemas reportables en los siguientes supuestos: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Cuando el asesor fiscal no le proporcione el número de identificación del esquema reportable emitido por el Servicio de Administración Tributaria, ni le otorgue una constancia que señale que el esquema no es reportable.</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Cuando el esquema reportable haya sido diseñado, organizado, implementado y administrado por el contribuyente. En estos casos, cuando el contribuyente sea una persona moral, las personas físicas que sean los asesores fiscales responsables del esquema reportable que tengan acciones o participaciones en dicho contribuyente, o con los que mantenga una relación de subordinación, quedarán excluidas de la obligación de revelar siempre que se cumpla con lo dispuesto en la</w:t>
      </w:r>
    </w:p>
    <w:p w:rsidR="00CB470F" w:rsidRPr="00CB470F" w:rsidRDefault="00CB470F" w:rsidP="00CB470F">
      <w:pPr>
        <w:rPr>
          <w:rFonts w:ascii="Verdana" w:hAnsi="Verdana"/>
          <w:sz w:val="20"/>
        </w:rPr>
      </w:pPr>
      <w:r w:rsidRPr="00CB470F">
        <w:rPr>
          <w:rFonts w:ascii="Verdana" w:hAnsi="Verdana"/>
          <w:sz w:val="20"/>
        </w:rPr>
        <w:t>fracción II del artículo 200 de este Código.</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Cuando el contribuyente obtenga beneficios fiscales en México de un esquema reportable que haya sido diseñado, comercializado, organizado, implementado o administrado por una persona que no se considera asesor fiscal conforme al artículo 197 de este Código.</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Cuando el asesor fiscal sea un residente en el extranjero sin establecimiento permanente en territorio nacional de conformidad con la Ley del Impuesto sobre la Renta, o cuando teniéndolo, las actividades atribuibles a dicho establecimiento permanente no sean aquéllas realizadas por un asesor fiscal conforme al artículo 197 de este Código.</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Cuando exista un impedimento legal para que el asesor fiscal revele el esquema reportable.</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Cuando exista un acuerdo entre el asesor fiscal y el contribuyente para que sea este último el obligado a revelar el esquema reportable.</w:t>
      </w:r>
    </w:p>
    <w:p w:rsidR="00CB470F" w:rsidRPr="00CB470F" w:rsidRDefault="00CB470F" w:rsidP="00CB470F">
      <w:pPr>
        <w:rPr>
          <w:rFonts w:ascii="Verdana" w:hAnsi="Verdana"/>
          <w:sz w:val="20"/>
        </w:rPr>
      </w:pPr>
      <w:r w:rsidRPr="00CB470F">
        <w:rPr>
          <w:rFonts w:ascii="Verdana" w:hAnsi="Verdana"/>
          <w:sz w:val="20"/>
        </w:rPr>
        <w:t xml:space="preserve">Los contribuyentes obligados de conformidad con este artículo son los residentes en México y residentes en el extranjero con establecimiento permanente en territorio nacional en términos de la Ley del Impuesto sobre la Renta, cuando sus declaraciones previstas por las disposiciones fiscales reflejen los beneficios fiscales del esquema reportable. También se encuentran obligados a revelar de conformidad con este artículo dichas personas cuando realicen operaciones con partes relacionadas </w:t>
      </w:r>
      <w:r w:rsidRPr="00CB470F">
        <w:rPr>
          <w:rFonts w:ascii="Verdana" w:hAnsi="Verdana"/>
          <w:sz w:val="20"/>
        </w:rPr>
        <w:lastRenderedPageBreak/>
        <w:t>residentes en el extranjero y dichos esquemas generen beneficios fiscales en México a estos últimos por motivo de dichas operaciones.</w:t>
      </w:r>
    </w:p>
    <w:p w:rsidR="00CB470F" w:rsidRPr="00CB470F" w:rsidRDefault="00CB470F" w:rsidP="00CB470F">
      <w:pPr>
        <w:rPr>
          <w:rFonts w:ascii="Verdana" w:hAnsi="Verdana"/>
          <w:sz w:val="20"/>
        </w:rPr>
      </w:pPr>
      <w:r w:rsidRPr="00CB470F">
        <w:rPr>
          <w:rFonts w:ascii="Verdana" w:hAnsi="Verdana"/>
          <w:b/>
          <w:bCs/>
          <w:sz w:val="20"/>
        </w:rPr>
        <w:t>Artículo 199.</w:t>
      </w:r>
      <w:r w:rsidRPr="00CB470F">
        <w:rPr>
          <w:rFonts w:ascii="Verdana" w:hAnsi="Verdana"/>
          <w:sz w:val="20"/>
        </w:rPr>
        <w:t> Se considera un esquema reportable, cualquiera que genere o pueda generar, directa o indirectamente, la obtención de un beneficio fiscal en México y tenga alguna de las siguientes características:</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Evite que autoridades extranjeras intercambien información fiscal o financiera con las autoridades fiscales mexicanas, incluyendo por la aplicación del Estándar para el Intercambio Automático de Información sobre Cuentas Financieras en Materia Fiscal, a que se refiere la recomendación adoptada por el Consejo de la Organización para la Cooperación y el Desarrollo Económicos el 15 de julio de 2014, así como otras formas de intercambio de información similares. En el caso del referido Estándar, esta fracción no será aplicable en la medida que el contribuyente haya recibido documentación por parte de un intermediario que demuestre que la información ha sido revelada por dicho intermediario a la autoridad fiscal extranjera de que se trate. Lo dispuesto en esta fracción incluye cuando se utilice una cuenta, producto financiero o inversión que no sea una cuenta financiera para efectos del referido Estándar o cuando se reclasifique una renta o capital en productos no sujetos a intercambio de información.</w:t>
      </w:r>
    </w:p>
    <w:p w:rsidR="00CB470F" w:rsidRPr="00CB470F" w:rsidRDefault="00CB470F" w:rsidP="00CB470F">
      <w:pPr>
        <w:rPr>
          <w:rFonts w:ascii="Verdana" w:hAnsi="Verdana"/>
          <w:sz w:val="20"/>
        </w:rPr>
      </w:pPr>
      <w:r w:rsidRPr="00CB470F">
        <w:rPr>
          <w:rFonts w:ascii="Verdana" w:hAnsi="Verdana"/>
          <w:b/>
          <w:bCs/>
          <w:sz w:val="20"/>
        </w:rPr>
        <w:t>II.</w:t>
      </w:r>
      <w:r w:rsidRPr="00CB470F">
        <w:rPr>
          <w:rFonts w:ascii="Verdana" w:hAnsi="Verdana"/>
          <w:sz w:val="20"/>
        </w:rPr>
        <w:t>       Evite la aplicación del artículo 4-B o del Capítulo I, del Título VI, de la Ley del Impuesto sobre la Renta.</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Consista en uno o más actos jurídicos que permitan transmitir pérdidas fiscales pendientes de disminuir de utilidades fiscales, a personas distintas de las que las generaron.</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Consista en una serie de pagos u operaciones interconectados que retornen la totalidad o una parte del monto del primer pago que forma parte de dicha serie, a la persona que lo efectuó o alguno de sus socios, accionistas o partes relacionadas.</w:t>
      </w:r>
    </w:p>
    <w:p w:rsidR="00CB470F" w:rsidRPr="00CB470F" w:rsidRDefault="00CB470F" w:rsidP="00CB470F">
      <w:pPr>
        <w:rPr>
          <w:rFonts w:ascii="Verdana" w:hAnsi="Verdana"/>
          <w:sz w:val="20"/>
        </w:rPr>
      </w:pPr>
      <w:r w:rsidRPr="00CB470F">
        <w:rPr>
          <w:rFonts w:ascii="Verdana" w:hAnsi="Verdana"/>
          <w:b/>
          <w:bCs/>
          <w:sz w:val="20"/>
        </w:rPr>
        <w:t>V. </w:t>
      </w:r>
      <w:r w:rsidRPr="00CB470F">
        <w:rPr>
          <w:rFonts w:ascii="Verdana" w:hAnsi="Verdana"/>
          <w:sz w:val="20"/>
        </w:rPr>
        <w:t>      Involucre a un residente en el extranjero que aplique un convenio para evitar la doble imposición suscrito por México, respecto a ingresos que no estén gravados en el país o jurisdicción de residencia fiscal del contribuyente. Lo dispuesto en esta fracción también será aplicable cuando dichos ingresos se encuentren gravados con una tasa reducida en comparación con la tasa corporativa en el país o jurisdicción de residencia fiscal del contribuyente.</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Involucre operaciones entre partes relacionadas en las cuales:</w:t>
      </w:r>
    </w:p>
    <w:p w:rsidR="00CB470F" w:rsidRPr="00CB470F" w:rsidRDefault="00CB470F" w:rsidP="00CB470F">
      <w:pPr>
        <w:rPr>
          <w:rFonts w:ascii="Verdana" w:hAnsi="Verdana"/>
          <w:sz w:val="20"/>
        </w:rPr>
      </w:pPr>
      <w:r w:rsidRPr="00CB470F">
        <w:rPr>
          <w:rFonts w:ascii="Verdana" w:hAnsi="Verdana"/>
          <w:b/>
          <w:bCs/>
          <w:sz w:val="20"/>
        </w:rPr>
        <w:t>a)</w:t>
      </w:r>
      <w:r w:rsidRPr="00CB470F">
        <w:rPr>
          <w:rFonts w:ascii="Verdana" w:hAnsi="Verdana"/>
          <w:sz w:val="20"/>
        </w:rPr>
        <w:t xml:space="preserve">    Se trasmitan activos intangibles difíciles de valorar de conformidad con las Guías sobre Precios de Transferencia para las Empresas Multinacionales y las Administraciones Fiscales, aprobadas por el Consejo de la Organización para la Cooperación y el Desarrollo Económicos en 1995, o aquéllas que las sustituyan. Se entiende por intangible difícil de valorar cuando en el momento en que se celebren las operaciones, no existan comparables fiables o las proyecciones de flujos o ingresos futuros que se prevé obtener del intangible, o las hipótesis para su valoración, son </w:t>
      </w:r>
      <w:r w:rsidRPr="00CB470F">
        <w:rPr>
          <w:rFonts w:ascii="Verdana" w:hAnsi="Verdana"/>
          <w:sz w:val="20"/>
        </w:rPr>
        <w:lastRenderedPageBreak/>
        <w:t>inciertas, por lo que es difícil predecir el éxito final del intangible en el momento en que se transfiere;</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t>b)</w:t>
      </w:r>
      <w:r w:rsidRPr="00CB470F">
        <w:rPr>
          <w:rFonts w:ascii="Verdana" w:hAnsi="Verdana"/>
          <w:sz w:val="20"/>
        </w:rPr>
        <w:t>    Se lleven a cabo reestructuraciones empresariales, en las cuales no haya contraprestación por la transferencia de activos, funciones y riesgos o cuando como resultado de dicha reestructuración, los contribuyentes que tributen de conformidad con el Título II de la Ley del Impuesto sobre la Renta, reduzcan su utilidad de operación en más del 20%. Las reestructuras empresariales son a las que se refieren las Guías sobre Precios de Transferencia para las Empresas Multinacionales y las Administraciones Fiscales, aprobadas por el Consejo de la Organización para la Cooperación y el Desarrollo Económicos en 1995, o aquéllas que las sustituyan;</w:t>
      </w:r>
    </w:p>
    <w:p w:rsidR="00CB470F" w:rsidRPr="00CB470F" w:rsidRDefault="00CB470F" w:rsidP="00CB470F">
      <w:pPr>
        <w:rPr>
          <w:rFonts w:ascii="Verdana" w:hAnsi="Verdana"/>
          <w:sz w:val="20"/>
        </w:rPr>
      </w:pPr>
      <w:r w:rsidRPr="00CB470F">
        <w:rPr>
          <w:rFonts w:ascii="Verdana" w:hAnsi="Verdana"/>
          <w:b/>
          <w:bCs/>
          <w:sz w:val="20"/>
        </w:rPr>
        <w:t>c)</w:t>
      </w:r>
      <w:r w:rsidRPr="00CB470F">
        <w:rPr>
          <w:rFonts w:ascii="Verdana" w:hAnsi="Verdana"/>
          <w:sz w:val="20"/>
        </w:rPr>
        <w:t>    Se transmitan o se conceda el uso o goce temporal de bienes y derechos sin contraprestación a cambio o se presten servicios o se realicen funciones que no estén remunerados;</w:t>
      </w:r>
    </w:p>
    <w:p w:rsidR="00CB470F" w:rsidRPr="00CB470F" w:rsidRDefault="00CB470F" w:rsidP="00CB470F">
      <w:pPr>
        <w:rPr>
          <w:rFonts w:ascii="Verdana" w:hAnsi="Verdana"/>
          <w:sz w:val="20"/>
        </w:rPr>
      </w:pPr>
      <w:r w:rsidRPr="00CB470F">
        <w:rPr>
          <w:rFonts w:ascii="Verdana" w:hAnsi="Verdana"/>
          <w:b/>
          <w:bCs/>
          <w:sz w:val="20"/>
        </w:rPr>
        <w:t>d)</w:t>
      </w:r>
      <w:r w:rsidRPr="00CB470F">
        <w:rPr>
          <w:rFonts w:ascii="Verdana" w:hAnsi="Verdana"/>
          <w:sz w:val="20"/>
        </w:rPr>
        <w:t>    No existan comparables fiables, por ser operaciones que involucran funciones o activos únicos o valiosos, o</w:t>
      </w:r>
    </w:p>
    <w:p w:rsidR="00CB470F" w:rsidRPr="00CB470F" w:rsidRDefault="00CB470F" w:rsidP="00CB470F">
      <w:pPr>
        <w:rPr>
          <w:rFonts w:ascii="Verdana" w:hAnsi="Verdana"/>
          <w:sz w:val="20"/>
        </w:rPr>
      </w:pPr>
      <w:r w:rsidRPr="00CB470F">
        <w:rPr>
          <w:rFonts w:ascii="Verdana" w:hAnsi="Verdana"/>
          <w:b/>
          <w:bCs/>
          <w:sz w:val="20"/>
        </w:rPr>
        <w:t>e)</w:t>
      </w:r>
      <w:r w:rsidRPr="00CB470F">
        <w:rPr>
          <w:rFonts w:ascii="Verdana" w:hAnsi="Verdana"/>
          <w:sz w:val="20"/>
        </w:rPr>
        <w:t>    Se utilice un régimen de protección unilateral concedido en términos de una legislación extranjera de conformidad con las Guías sobre Precios de Transferencia para las Empresas Multinacionales y las Administraciones Fiscales, aprobadas por el Consejo de la Organización para la Cooperación y el Desarrollo Económicos en 1995, o aquéllas que las sustituyan.</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Se evite constituir un establecimiento permanente en México en términos de la Ley del Impuesto sobre la Renta y los tratados para evitar la doble tributación suscritos por México.</w:t>
      </w:r>
    </w:p>
    <w:p w:rsidR="00CB470F" w:rsidRPr="00CB470F" w:rsidRDefault="00CB470F" w:rsidP="00CB470F">
      <w:pPr>
        <w:rPr>
          <w:rFonts w:ascii="Verdana" w:hAnsi="Verdana"/>
          <w:sz w:val="20"/>
        </w:rPr>
      </w:pPr>
      <w:r w:rsidRPr="00CB470F">
        <w:rPr>
          <w:rFonts w:ascii="Verdana" w:hAnsi="Verdana"/>
          <w:b/>
          <w:bCs/>
          <w:sz w:val="20"/>
        </w:rPr>
        <w:t>VIII.</w:t>
      </w:r>
      <w:r w:rsidRPr="00CB470F">
        <w:rPr>
          <w:rFonts w:ascii="Verdana" w:hAnsi="Verdana"/>
          <w:sz w:val="20"/>
        </w:rPr>
        <w:t>    Involucre la transmisión de un activo depreciado total o parcialmente, que permita su depreciación por otra parte relacionada.</w:t>
      </w:r>
    </w:p>
    <w:p w:rsidR="00CB470F" w:rsidRPr="00CB470F" w:rsidRDefault="00CB470F" w:rsidP="00CB470F">
      <w:pPr>
        <w:rPr>
          <w:rFonts w:ascii="Verdana" w:hAnsi="Verdana"/>
          <w:sz w:val="20"/>
        </w:rPr>
      </w:pPr>
      <w:r w:rsidRPr="00CB470F">
        <w:rPr>
          <w:rFonts w:ascii="Verdana" w:hAnsi="Verdana"/>
          <w:b/>
          <w:bCs/>
          <w:sz w:val="20"/>
        </w:rPr>
        <w:t>IX.</w:t>
      </w:r>
      <w:r w:rsidRPr="00CB470F">
        <w:rPr>
          <w:rFonts w:ascii="Verdana" w:hAnsi="Verdana"/>
          <w:sz w:val="20"/>
        </w:rPr>
        <w:t>      Cuando involucre un mecanismo híbrido definido de conformidad con la fracción XXIII del artículo 28 de la Ley del Impuesto sobre la Renta.</w:t>
      </w:r>
    </w:p>
    <w:p w:rsidR="00CB470F" w:rsidRPr="00CB470F" w:rsidRDefault="00CB470F" w:rsidP="00CB470F">
      <w:pPr>
        <w:rPr>
          <w:rFonts w:ascii="Verdana" w:hAnsi="Verdana"/>
          <w:sz w:val="20"/>
        </w:rPr>
      </w:pPr>
      <w:r w:rsidRPr="00CB470F">
        <w:rPr>
          <w:rFonts w:ascii="Verdana" w:hAnsi="Verdana"/>
          <w:b/>
          <w:bCs/>
          <w:sz w:val="20"/>
        </w:rPr>
        <w:t>X.</w:t>
      </w:r>
      <w:r w:rsidRPr="00CB470F">
        <w:rPr>
          <w:rFonts w:ascii="Verdana" w:hAnsi="Verdana"/>
          <w:sz w:val="20"/>
        </w:rPr>
        <w:t>       Evite la identificación del beneficiario efectivo de ingresos o activos, incluyendo a través del uso de entidades extranjeras o figuras jurídicas cuyos beneficiarios no se encuentren designados o identificados al momento de su constitución o en algún momento posterior.</w:t>
      </w:r>
    </w:p>
    <w:p w:rsidR="00CB470F" w:rsidRPr="00CB470F" w:rsidRDefault="00CB470F" w:rsidP="00CB470F">
      <w:pPr>
        <w:rPr>
          <w:rFonts w:ascii="Verdana" w:hAnsi="Verdana"/>
          <w:sz w:val="20"/>
        </w:rPr>
      </w:pPr>
      <w:r w:rsidRPr="00CB470F">
        <w:rPr>
          <w:rFonts w:ascii="Verdana" w:hAnsi="Verdana"/>
          <w:b/>
          <w:bCs/>
          <w:sz w:val="20"/>
        </w:rPr>
        <w:t>XI.</w:t>
      </w:r>
      <w:r w:rsidRPr="00CB470F">
        <w:rPr>
          <w:rFonts w:ascii="Verdana" w:hAnsi="Verdana"/>
          <w:sz w:val="20"/>
        </w:rPr>
        <w:t>      Cuando se tengan pérdidas fiscales cuyo plazo para realizar su disminución de la utilidad fiscal esté por terminar conforme a la Ley del Impuesto sobre la Renta y se realicen operaciones para obtener utilidades fiscales a las cuales se les disminuyan dichas pérdidas fiscales y dichas operaciones le generan una deducción autorizada al contribuyente que generó las pérdidas o a una parte relacionada.</w:t>
      </w:r>
    </w:p>
    <w:p w:rsidR="00CB470F" w:rsidRPr="00CB470F" w:rsidRDefault="00CB470F" w:rsidP="00CB470F">
      <w:pPr>
        <w:rPr>
          <w:rFonts w:ascii="Verdana" w:hAnsi="Verdana"/>
          <w:sz w:val="20"/>
        </w:rPr>
      </w:pPr>
      <w:r w:rsidRPr="00CB470F">
        <w:rPr>
          <w:rFonts w:ascii="Verdana" w:hAnsi="Verdana"/>
          <w:b/>
          <w:bCs/>
          <w:sz w:val="20"/>
        </w:rPr>
        <w:lastRenderedPageBreak/>
        <w:t>XII.</w:t>
      </w:r>
      <w:r w:rsidRPr="00CB470F">
        <w:rPr>
          <w:rFonts w:ascii="Verdana" w:hAnsi="Verdana"/>
          <w:sz w:val="20"/>
        </w:rPr>
        <w:t>     Evite la aplicación de la tasa adicional del 10% prevista en los artículos 140, segundo párrafo; 142, segundo párrafo de la fracción V; y 164 de la Ley del Impuesto sobre la Renta.</w:t>
      </w:r>
    </w:p>
    <w:p w:rsidR="00CB470F" w:rsidRPr="00CB470F" w:rsidRDefault="00CB470F" w:rsidP="00CB470F">
      <w:pPr>
        <w:rPr>
          <w:rFonts w:ascii="Verdana" w:hAnsi="Verdana"/>
          <w:sz w:val="20"/>
        </w:rPr>
      </w:pPr>
      <w:r w:rsidRPr="00CB470F">
        <w:rPr>
          <w:rFonts w:ascii="Verdana" w:hAnsi="Verdana"/>
          <w:b/>
          <w:bCs/>
          <w:sz w:val="20"/>
        </w:rPr>
        <w:t>XIII.</w:t>
      </w:r>
      <w:r w:rsidRPr="00CB470F">
        <w:rPr>
          <w:rFonts w:ascii="Verdana" w:hAnsi="Verdana"/>
          <w:sz w:val="20"/>
        </w:rPr>
        <w:t>    En el que se otorgue el uso o goce temporal de un bien y el arrendatario a su vez otorgue el uso o goce temporal del mismo bien al arrendador o una parte relacionada de este último.</w:t>
      </w:r>
    </w:p>
    <w:p w:rsidR="00CB470F" w:rsidRPr="00CB470F" w:rsidRDefault="00CB470F" w:rsidP="00CB470F">
      <w:pPr>
        <w:rPr>
          <w:rFonts w:ascii="Verdana" w:hAnsi="Verdana"/>
          <w:sz w:val="20"/>
        </w:rPr>
      </w:pPr>
      <w:r w:rsidRPr="00CB470F">
        <w:rPr>
          <w:rFonts w:ascii="Verdana" w:hAnsi="Verdana"/>
          <w:b/>
          <w:bCs/>
          <w:sz w:val="20"/>
        </w:rPr>
        <w:t>XIV.</w:t>
      </w:r>
      <w:r w:rsidRPr="00CB470F">
        <w:rPr>
          <w:rFonts w:ascii="Verdana" w:hAnsi="Verdana"/>
          <w:sz w:val="20"/>
        </w:rPr>
        <w:t>    Involucre operaciones cuyos registros contables y fiscales presenten diferencias mayores al 20%, exceptuando aquéllas que surjan por motivo de diferencias en el cálculo de depreciaciones.</w:t>
      </w:r>
    </w:p>
    <w:p w:rsidR="00CB470F" w:rsidRPr="00CB470F" w:rsidRDefault="00CB470F" w:rsidP="00CB470F">
      <w:pPr>
        <w:rPr>
          <w:rFonts w:ascii="Verdana" w:hAnsi="Verdana"/>
          <w:sz w:val="20"/>
        </w:rPr>
      </w:pPr>
      <w:r w:rsidRPr="00CB470F">
        <w:rPr>
          <w:rFonts w:ascii="Verdana" w:hAnsi="Verdana"/>
          <w:sz w:val="20"/>
        </w:rPr>
        <w:t>Para efectos de este Capítulo, se considera esquema, cualquier plan, proyecto, propuesta, asesoría, instrucción o recomendación externada de forma expresa o tácita con el objeto de materializar una serie de actos jurídicos. No se considera un esquema, la realización de un trámite ante la autoridad o la defensa del contribuyente en controversias fiscales.</w:t>
      </w:r>
    </w:p>
    <w:p w:rsidR="00CB470F" w:rsidRPr="00CB470F" w:rsidRDefault="00CB470F" w:rsidP="00CB470F">
      <w:pPr>
        <w:rPr>
          <w:rFonts w:ascii="Verdana" w:hAnsi="Verdana"/>
          <w:sz w:val="20"/>
        </w:rPr>
      </w:pPr>
      <w:r w:rsidRPr="00CB470F">
        <w:rPr>
          <w:rFonts w:ascii="Verdana" w:hAnsi="Verdana"/>
          <w:sz w:val="20"/>
        </w:rPr>
        <w:t>Se entiende por esquemas reportables generalizados, aquéllos que buscan comercializarse de manera masiva a todo tipo de contribuyentes o a un grupo específico de ellos, y aunque requieran mínima o nula adaptación para adecuarse a las circunstancias específicas del contribuyente, la forma de obtener el beneficio fiscal sea la misma. Se entiende por esquemas reportables personalizados, aquéllos que se diseñan, comercializan, organizan, implementan o administran para adaptarse a las circunstancias particulares de un contribuyente específico.</w:t>
      </w:r>
    </w:p>
    <w:p w:rsidR="00CB470F" w:rsidRPr="00CB470F" w:rsidRDefault="00CB470F" w:rsidP="00CB470F">
      <w:pPr>
        <w:rPr>
          <w:rFonts w:ascii="Verdana" w:hAnsi="Verdana"/>
          <w:sz w:val="20"/>
        </w:rPr>
      </w:pPr>
      <w:r w:rsidRPr="00CB470F">
        <w:rPr>
          <w:rFonts w:ascii="Verdana" w:hAnsi="Verdana"/>
          <w:sz w:val="20"/>
        </w:rPr>
        <w:t>El Servicio de Administración Tributaria emitirá reglas de carácter general para la aplicación de los anteriores párrafos. La Secretaría de Hacienda y Crédito Público mediante acuerdo secretarial emitirá los parámetros sobre montos mínimos respecto de los cuales no se aplicará lo dispuesto en este Capítulo.</w:t>
      </w:r>
    </w:p>
    <w:p w:rsidR="00CB470F" w:rsidRPr="00CB470F" w:rsidRDefault="00CB470F" w:rsidP="00CB470F">
      <w:pPr>
        <w:rPr>
          <w:rFonts w:ascii="Verdana" w:hAnsi="Verdana"/>
          <w:sz w:val="20"/>
        </w:rPr>
      </w:pPr>
      <w:r w:rsidRPr="00CB470F">
        <w:rPr>
          <w:rFonts w:ascii="Verdana" w:hAnsi="Verdana"/>
          <w:sz w:val="20"/>
        </w:rPr>
        <w:t>Para efectos de este Capítulo, se considera beneficio fiscal el valor monetario derivado de cualquiera de los supuestos señalados en el quinto párrafo del artículo 5o-A de este Código.</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sz w:val="20"/>
        </w:rPr>
        <w:t>Adicionalmente, será reportable cualquier mecanismo que evite la aplicación de los párrafos anteriores de este artículo, en los mismos términos señalados en este Capítulo.</w:t>
      </w:r>
    </w:p>
    <w:p w:rsidR="00CB470F" w:rsidRPr="00CB470F" w:rsidRDefault="00CB470F" w:rsidP="00CB470F">
      <w:pPr>
        <w:rPr>
          <w:rFonts w:ascii="Verdana" w:hAnsi="Verdana"/>
          <w:sz w:val="20"/>
        </w:rPr>
      </w:pPr>
      <w:r w:rsidRPr="00CB470F">
        <w:rPr>
          <w:rFonts w:ascii="Verdana" w:hAnsi="Verdana"/>
          <w:b/>
          <w:bCs/>
          <w:sz w:val="20"/>
        </w:rPr>
        <w:t>Artículo 200</w:t>
      </w:r>
      <w:r w:rsidRPr="00CB470F">
        <w:rPr>
          <w:rFonts w:ascii="Verdana" w:hAnsi="Verdana"/>
          <w:b/>
          <w:bCs/>
          <w:i/>
          <w:iCs/>
          <w:sz w:val="20"/>
        </w:rPr>
        <w:t>.</w:t>
      </w:r>
      <w:r w:rsidRPr="00CB470F">
        <w:rPr>
          <w:rFonts w:ascii="Verdana" w:hAnsi="Verdana"/>
          <w:i/>
          <w:iCs/>
          <w:sz w:val="20"/>
        </w:rPr>
        <w:t> </w:t>
      </w:r>
      <w:r w:rsidRPr="00CB470F">
        <w:rPr>
          <w:rFonts w:ascii="Verdana" w:hAnsi="Verdana"/>
          <w:sz w:val="20"/>
        </w:rPr>
        <w:t>La revelación de un esquema reportable, debe incluir la siguiente información:</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Nombre, denominación o razón social, y la clave en el registro federal de contribuyentes del asesor fiscal o contribuyente que esté revelando el esquema reportable. En caso que el asesor fiscal revele el esquema reportable a nombre y por cuenta de otros asesores fiscales en términos del párrafo quinto del artículo 197 de este Código, se deberá indicar la misma información de éstos.</w:t>
      </w:r>
    </w:p>
    <w:p w:rsidR="00CB470F" w:rsidRPr="00CB470F" w:rsidRDefault="00CB470F" w:rsidP="00CB470F">
      <w:pPr>
        <w:rPr>
          <w:rFonts w:ascii="Verdana" w:hAnsi="Verdana"/>
          <w:sz w:val="20"/>
        </w:rPr>
      </w:pPr>
      <w:r w:rsidRPr="00CB470F">
        <w:rPr>
          <w:rFonts w:ascii="Verdana" w:hAnsi="Verdana"/>
          <w:b/>
          <w:bCs/>
          <w:sz w:val="20"/>
        </w:rPr>
        <w:lastRenderedPageBreak/>
        <w:t>II.</w:t>
      </w:r>
      <w:r w:rsidRPr="00CB470F">
        <w:rPr>
          <w:rFonts w:ascii="Verdana" w:hAnsi="Verdana"/>
          <w:sz w:val="20"/>
        </w:rPr>
        <w:t>       En el caso de asesores fiscales o contribuyentes que sean personas morales que estén obligados a revelar, se deberá indicar el nombre y clave en el registro federal de contribuyentes de las personas físicas a las cuales se esté liberando de la obligación de revelar de conformidad con el párrafo quinto del artículo 197 y fracción II del artículo 198 de este Código.</w:t>
      </w:r>
    </w:p>
    <w:p w:rsidR="00CB470F" w:rsidRPr="00CB470F" w:rsidRDefault="00CB470F" w:rsidP="00CB470F">
      <w:pPr>
        <w:rPr>
          <w:rFonts w:ascii="Verdana" w:hAnsi="Verdana"/>
          <w:sz w:val="20"/>
        </w:rPr>
      </w:pPr>
      <w:r w:rsidRPr="00CB470F">
        <w:rPr>
          <w:rFonts w:ascii="Verdana" w:hAnsi="Verdana"/>
          <w:b/>
          <w:bCs/>
          <w:sz w:val="20"/>
        </w:rPr>
        <w:t>III.</w:t>
      </w:r>
      <w:r w:rsidRPr="00CB470F">
        <w:rPr>
          <w:rFonts w:ascii="Verdana" w:hAnsi="Verdana"/>
          <w:sz w:val="20"/>
        </w:rPr>
        <w:t>      Nombre de los representantes legales de los asesores fiscales y contribuyentes para fines del procedimiento previsto en este Capítulo.</w:t>
      </w:r>
    </w:p>
    <w:p w:rsidR="00CB470F" w:rsidRPr="00CB470F" w:rsidRDefault="00CB470F" w:rsidP="00CB470F">
      <w:pPr>
        <w:rPr>
          <w:rFonts w:ascii="Verdana" w:hAnsi="Verdana"/>
          <w:sz w:val="20"/>
        </w:rPr>
      </w:pPr>
      <w:r w:rsidRPr="00CB470F">
        <w:rPr>
          <w:rFonts w:ascii="Verdana" w:hAnsi="Verdana"/>
          <w:b/>
          <w:bCs/>
          <w:sz w:val="20"/>
        </w:rPr>
        <w:t>IV.</w:t>
      </w:r>
      <w:r w:rsidRPr="00CB470F">
        <w:rPr>
          <w:rFonts w:ascii="Verdana" w:hAnsi="Verdana"/>
          <w:sz w:val="20"/>
        </w:rPr>
        <w:t>      En el caso de esquemas reportables personalizados que deban ser revelados por el asesor fiscal, se deberá indicar el nombre, denominación o razón social del contribuyente potencialmente beneficiado por el esquema y su clave en el registro federal de contribuyentes. En caso que el contribuyente sea un residente en el extranjero que no tenga una clave en el registro federal de contribuyentes, se deberá indicar el país o jurisdicción de su residencia fiscal y constitución, así como su número de identificación fiscal y domicilio fiscal, o cualquier dato de localización.</w:t>
      </w:r>
    </w:p>
    <w:p w:rsidR="00CB470F" w:rsidRPr="00CB470F" w:rsidRDefault="00CB470F" w:rsidP="00CB470F">
      <w:pPr>
        <w:rPr>
          <w:rFonts w:ascii="Verdana" w:hAnsi="Verdana"/>
          <w:sz w:val="20"/>
        </w:rPr>
      </w:pPr>
      <w:r w:rsidRPr="00CB470F">
        <w:rPr>
          <w:rFonts w:ascii="Verdana" w:hAnsi="Verdana"/>
          <w:b/>
          <w:bCs/>
          <w:sz w:val="20"/>
        </w:rPr>
        <w:t>V.</w:t>
      </w:r>
      <w:r w:rsidRPr="00CB470F">
        <w:rPr>
          <w:rFonts w:ascii="Verdana" w:hAnsi="Verdana"/>
          <w:sz w:val="20"/>
        </w:rPr>
        <w:t>       En el caso de esquemas reportables que deban ser revelados por el contribuyente, se deberá indicar el nombre, denominación o razón social de los asesores fiscales en caso de que existan. En caso que los asesores fiscales sean residentes en México o sean establecimientos permanentes de residentes en el extranjero, se deberá indicar su clave en el registro federal de contribuyentes y en caso de no tenerla, cualquier dato para su localización.</w:t>
      </w:r>
    </w:p>
    <w:p w:rsidR="00CB470F" w:rsidRPr="00CB470F" w:rsidRDefault="00CB470F" w:rsidP="00CB470F">
      <w:pPr>
        <w:rPr>
          <w:rFonts w:ascii="Verdana" w:hAnsi="Verdana"/>
          <w:sz w:val="20"/>
        </w:rPr>
      </w:pPr>
      <w:r w:rsidRPr="00CB470F">
        <w:rPr>
          <w:rFonts w:ascii="Verdana" w:hAnsi="Verdana"/>
          <w:b/>
          <w:bCs/>
          <w:sz w:val="20"/>
        </w:rPr>
        <w:t>VI.</w:t>
      </w:r>
      <w:r w:rsidRPr="00CB470F">
        <w:rPr>
          <w:rFonts w:ascii="Verdana" w:hAnsi="Verdana"/>
          <w:sz w:val="20"/>
        </w:rPr>
        <w:t>      Descripción detallada del esquema reportable y las disposiciones jurídicas nacionales o extranjeras aplicables. Se entiende por descripción detallada, cada una de las etapas que integran el plan, proyecto, propuesta, asesoría, instrucción o recomendación para materializar la serie de hechos o actos jurídicos que den origen al beneficio fiscal.</w:t>
      </w:r>
    </w:p>
    <w:p w:rsidR="00CB470F" w:rsidRPr="00CB470F" w:rsidRDefault="00CB470F" w:rsidP="00CB470F">
      <w:pPr>
        <w:rPr>
          <w:rFonts w:ascii="Verdana" w:hAnsi="Verdana"/>
          <w:sz w:val="20"/>
        </w:rPr>
      </w:pPr>
      <w:r w:rsidRPr="00CB470F">
        <w:rPr>
          <w:rFonts w:ascii="Verdana" w:hAnsi="Verdana"/>
          <w:b/>
          <w:bCs/>
          <w:sz w:val="20"/>
        </w:rPr>
        <w:t>VII.</w:t>
      </w:r>
      <w:r w:rsidRPr="00CB470F">
        <w:rPr>
          <w:rFonts w:ascii="Verdana" w:hAnsi="Verdana"/>
          <w:sz w:val="20"/>
        </w:rPr>
        <w:t>     Una descripción detallada del beneficio fiscal obtenido o esperado.</w:t>
      </w:r>
    </w:p>
    <w:p w:rsidR="00CB470F" w:rsidRPr="00CB470F" w:rsidRDefault="00CB470F" w:rsidP="00CB470F">
      <w:pPr>
        <w:rPr>
          <w:rFonts w:ascii="Verdana" w:hAnsi="Verdana"/>
          <w:sz w:val="20"/>
        </w:rPr>
      </w:pPr>
      <w:r w:rsidRPr="00CB470F">
        <w:rPr>
          <w:rFonts w:ascii="Verdana" w:hAnsi="Verdana"/>
          <w:b/>
          <w:bCs/>
          <w:sz w:val="20"/>
        </w:rPr>
        <w:t>VIII.</w:t>
      </w:r>
      <w:r w:rsidRPr="00CB470F">
        <w:rPr>
          <w:rFonts w:ascii="Verdana" w:hAnsi="Verdana"/>
          <w:sz w:val="20"/>
        </w:rPr>
        <w:t>    Indicar el nombre, denominación o razón social, clave en el registro federal de contribuyentes y cualquier otra información fiscal de las personas morales o figuras jurídicas que formen parte del esquema reportable revelado. Adicionalmente, indicar cuáles de ellas han sido creadas o constituidas dentro de los últimos dos años de calendario, o cuyas acciones o participaciones se hayan adquirido o enajenado en el mismo periodo.</w:t>
      </w:r>
    </w:p>
    <w:p w:rsidR="00CB470F" w:rsidRPr="00CB470F" w:rsidRDefault="00CB470F" w:rsidP="00CB470F">
      <w:pPr>
        <w:rPr>
          <w:rFonts w:ascii="Verdana" w:hAnsi="Verdana"/>
          <w:sz w:val="20"/>
        </w:rPr>
      </w:pPr>
      <w:r w:rsidRPr="00CB470F">
        <w:rPr>
          <w:rFonts w:ascii="Verdana" w:hAnsi="Verdana"/>
          <w:b/>
          <w:bCs/>
          <w:sz w:val="20"/>
        </w:rPr>
        <w:t>IX.</w:t>
      </w:r>
      <w:r w:rsidRPr="00CB470F">
        <w:rPr>
          <w:rFonts w:ascii="Verdana" w:hAnsi="Verdana"/>
          <w:sz w:val="20"/>
        </w:rPr>
        <w:t>      Los ejercicios fiscales en los cuales se espera implementar o se haya implementado el esquema.</w:t>
      </w:r>
    </w:p>
    <w:p w:rsidR="00CB470F" w:rsidRPr="00CB470F" w:rsidRDefault="00CB470F" w:rsidP="00CB470F">
      <w:pPr>
        <w:rPr>
          <w:rFonts w:ascii="Verdana" w:hAnsi="Verdana"/>
          <w:sz w:val="20"/>
        </w:rPr>
      </w:pPr>
      <w:r w:rsidRPr="00CB470F">
        <w:rPr>
          <w:rFonts w:ascii="Verdana" w:hAnsi="Verdana"/>
          <w:b/>
          <w:bCs/>
          <w:sz w:val="20"/>
        </w:rPr>
        <w:t>X.</w:t>
      </w:r>
      <w:r w:rsidRPr="00CB470F">
        <w:rPr>
          <w:rFonts w:ascii="Verdana" w:hAnsi="Verdana"/>
          <w:sz w:val="20"/>
        </w:rPr>
        <w:t>       En el caso de los esquemas reportables a los que se refiere la fracción I del artículo 199 de este Código, adicionalmente se deberá revelar la información fiscal o financiera que no sea objeto de intercambio de información en virtud del esquema reportable.</w:t>
      </w:r>
    </w:p>
    <w:p w:rsidR="00CB470F" w:rsidRPr="00CB470F" w:rsidRDefault="00CB470F" w:rsidP="00CB470F">
      <w:pPr>
        <w:rPr>
          <w:rFonts w:ascii="Verdana" w:hAnsi="Verdana"/>
          <w:sz w:val="20"/>
        </w:rPr>
      </w:pPr>
      <w:r w:rsidRPr="00CB470F">
        <w:rPr>
          <w:rFonts w:ascii="Verdana" w:hAnsi="Verdana"/>
          <w:b/>
          <w:bCs/>
          <w:sz w:val="20"/>
        </w:rPr>
        <w:t>XI.</w:t>
      </w:r>
      <w:r w:rsidRPr="00CB470F">
        <w:rPr>
          <w:rFonts w:ascii="Verdana" w:hAnsi="Verdana"/>
          <w:sz w:val="20"/>
        </w:rPr>
        <w:t xml:space="preserve">      En caso de las declaraciones informativas complementarias a las que se refiere el párrafo sexto del artículo 197 de este Código, indicar el número de identificación del </w:t>
      </w:r>
      <w:r w:rsidRPr="00CB470F">
        <w:rPr>
          <w:rFonts w:ascii="Verdana" w:hAnsi="Verdana"/>
          <w:sz w:val="20"/>
        </w:rPr>
        <w:lastRenderedPageBreak/>
        <w:t>esquema reportable que haya sido revelado por otro asesor fiscal y la información que considere pertinente para corregir o complementar la declaración informativa presentada.</w:t>
      </w:r>
    </w:p>
    <w:p w:rsidR="00CB470F" w:rsidRPr="00CB470F" w:rsidRDefault="00CB470F" w:rsidP="00CB470F">
      <w:pPr>
        <w:rPr>
          <w:rFonts w:ascii="Verdana" w:hAnsi="Verdana"/>
          <w:sz w:val="20"/>
        </w:rPr>
      </w:pPr>
      <w:r w:rsidRPr="00CB470F">
        <w:rPr>
          <w:rFonts w:ascii="Verdana" w:hAnsi="Verdana"/>
          <w:b/>
          <w:bCs/>
          <w:sz w:val="20"/>
        </w:rPr>
        <w:t>XII.</w:t>
      </w:r>
      <w:r w:rsidRPr="00CB470F">
        <w:rPr>
          <w:rFonts w:ascii="Verdana" w:hAnsi="Verdana"/>
          <w:sz w:val="20"/>
        </w:rPr>
        <w:t>     Cualquier otra información que el asesor fiscal o contribuyente consideren relevante para fines de su revisión.</w:t>
      </w:r>
    </w:p>
    <w:p w:rsidR="00CB470F" w:rsidRPr="00CB470F" w:rsidRDefault="00CB470F" w:rsidP="00CB470F">
      <w:pPr>
        <w:rPr>
          <w:rFonts w:ascii="Verdana" w:hAnsi="Verdana"/>
          <w:sz w:val="20"/>
        </w:rPr>
      </w:pPr>
      <w:r w:rsidRPr="00CB470F">
        <w:rPr>
          <w:rFonts w:ascii="Verdana" w:hAnsi="Verdana"/>
          <w:b/>
          <w:bCs/>
          <w:sz w:val="20"/>
        </w:rPr>
        <w:t>XIII.</w:t>
      </w:r>
      <w:r w:rsidRPr="00CB470F">
        <w:rPr>
          <w:rFonts w:ascii="Verdana" w:hAnsi="Verdana"/>
          <w:sz w:val="20"/>
        </w:rPr>
        <w:t>    Cualquier otra información adicional que se solicite en los términos del artículo 201 de este Código.</w:t>
      </w:r>
    </w:p>
    <w:p w:rsidR="00CB470F" w:rsidRPr="00CB470F" w:rsidRDefault="00CB470F" w:rsidP="00CB470F">
      <w:pPr>
        <w:rPr>
          <w:rFonts w:ascii="Verdana" w:hAnsi="Verdana"/>
          <w:sz w:val="20"/>
        </w:rPr>
      </w:pPr>
      <w:r w:rsidRPr="00CB470F">
        <w:rPr>
          <w:rFonts w:ascii="Verdana" w:hAnsi="Verdana"/>
          <w:sz w:val="20"/>
        </w:rPr>
        <w:t>Adicionalmente, en el caso de los mecanismos que sean reportables conforme al último párrafo del artículo 199 de este Código, se deberá revelar el mecanismo a través del cual se evitó la referida aplicación, además de la información sobre el esquema que proporciona beneficios fiscales en México conforme a lo dispuesto en este artículo.</w:t>
      </w:r>
    </w:p>
    <w:p w:rsidR="00CB470F" w:rsidRPr="00CB470F" w:rsidRDefault="00CB470F" w:rsidP="00CB470F">
      <w:pPr>
        <w:rPr>
          <w:rFonts w:ascii="Verdana" w:hAnsi="Verdana"/>
          <w:sz w:val="20"/>
        </w:rPr>
      </w:pPr>
      <w:r w:rsidRPr="00CB470F">
        <w:rPr>
          <w:rFonts w:ascii="Verdana" w:hAnsi="Verdana"/>
          <w:b/>
          <w:bCs/>
          <w:sz w:val="20"/>
        </w:rPr>
        <w:t>Artículo 201.</w:t>
      </w:r>
      <w:r w:rsidRPr="00CB470F">
        <w:rPr>
          <w:rFonts w:ascii="Verdana" w:hAnsi="Verdana"/>
          <w:sz w:val="20"/>
        </w:rPr>
        <w:t> La revelación de un esquema reportable en términos de este Capítulo, no implica la aceptación o rechazo de sus efectos fiscales por parte de las autoridades fiscales. La información presentada en términos de este Título y que sea estrictamente indispensable para el funcionamiento del esquema, en ningún caso podrá utilizarse como antecedente de la investigación por la posible comisión de los delitos previstos en este Código, salvo tratándose de los delitos previstos en los artículos 113 y 113 Bis de este Código. La información obtenida de conformidad con este Capítulo deberá tratarse en los términos del artículo 69 de este Código.</w:t>
      </w:r>
    </w:p>
    <w:p w:rsidR="00CB470F" w:rsidRPr="00CB470F" w:rsidRDefault="00CB470F" w:rsidP="00CB470F">
      <w:pPr>
        <w:rPr>
          <w:rFonts w:ascii="Verdana" w:hAnsi="Verdana"/>
          <w:sz w:val="20"/>
        </w:rPr>
      </w:pPr>
      <w:r w:rsidRPr="00CB470F">
        <w:rPr>
          <w:rFonts w:ascii="Verdana" w:hAnsi="Verdana"/>
          <w:sz w:val="20"/>
        </w:rPr>
        <w:t>La revelación de dichos esquemas se realizará a través de una declaración informativa que se presentará por medio de los mecanismos que disponga el Servicio de Administración Tributaria para tal efecto.</w:t>
      </w:r>
    </w:p>
    <w:p w:rsidR="00CB470F" w:rsidRPr="00CB470F" w:rsidRDefault="00CB470F" w:rsidP="00CB470F">
      <w:pPr>
        <w:rPr>
          <w:rFonts w:ascii="Verdana" w:hAnsi="Verdana"/>
          <w:sz w:val="20"/>
        </w:rPr>
      </w:pPr>
      <w:r w:rsidRPr="00CB470F">
        <w:rPr>
          <w:rFonts w:ascii="Verdana" w:hAnsi="Verdana"/>
          <w:sz w:val="20"/>
        </w:rPr>
        <w:t>Los esquemas reportables generalizados deberán ser revelados a más tardar dentro de los 30 días siguientes al día en que se realiza el primer contacto para su comercialización. Se entiende que se realiza el primer contacto para su comercialización, cuando se toman las medidas necesarias para que terceros conozcan la existencia del esquema. Los esquemas reportables personalizados deberán ser revelados a más tardar dentro de los 30 días siguientes al día en que el esquema esté disponible para el contribuyente para su implementación, o se realice el primer hecho o acto jurídico que forme parte del esquema, lo que suceda primero. Los asesores fiscales y contribuyentes obligados a revelar los esquemas reportables, podrán hacerlo desde el momento que haya finalizado su diseño.</w:t>
      </w:r>
    </w:p>
    <w:p w:rsidR="00CB470F" w:rsidRPr="00CB470F" w:rsidRDefault="00CB470F" w:rsidP="00CB470F">
      <w:pPr>
        <w:rPr>
          <w:rFonts w:ascii="Verdana" w:hAnsi="Verdana"/>
          <w:sz w:val="20"/>
        </w:rPr>
      </w:pPr>
      <w:r w:rsidRPr="00CB470F">
        <w:rPr>
          <w:rFonts w:ascii="Verdana" w:hAnsi="Verdana"/>
          <w:sz w:val="20"/>
        </w:rPr>
        <w:t>El Servicio de Administración Tributaria otorgará al asesor fiscal o contribuyente obligado a revelar, un número de identificación por cada uno de los esquemas reportables revelados. El Servicio de Administración Tributaria emitirá una copia de la declaración informativa a través de la cual se reveló el esquema reportable, un acuse de recibo de dicha declaración, así como un certificado donde se asigne el número de identificación del esquema.</w:t>
      </w:r>
    </w:p>
    <w:p w:rsidR="00CB470F" w:rsidRPr="00CB470F" w:rsidRDefault="00CB470F" w:rsidP="00CB470F">
      <w:pPr>
        <w:rPr>
          <w:rFonts w:ascii="Verdana" w:hAnsi="Verdana"/>
          <w:sz w:val="20"/>
        </w:rPr>
      </w:pPr>
      <w:r w:rsidRPr="00CB470F">
        <w:rPr>
          <w:rFonts w:ascii="Verdana" w:hAnsi="Verdana"/>
          <w:sz w:val="20"/>
        </w:rPr>
        <w:t xml:space="preserve">La autoridad fiscal podrá solicitar información adicional a los asesores fiscales y contribuyentes, quienes deberán presentar dicha información o una manifestación bajo </w:t>
      </w:r>
      <w:r w:rsidRPr="00CB470F">
        <w:rPr>
          <w:rFonts w:ascii="Verdana" w:hAnsi="Verdana"/>
          <w:sz w:val="20"/>
        </w:rPr>
        <w:lastRenderedPageBreak/>
        <w:t>protesta de decir verdad que señale que no se encuentran en posesión de la misma, en un plazo máximo de 30 días a partir del día siguiente al que surta efectos la notificación del requerimiento de información adicional. Si no se atiende dicho requerimiento, se hace de forma incompleta o extemporánea, procederá la sanción correspondiente conforme a este Código.</w:t>
      </w:r>
    </w:p>
    <w:p w:rsidR="00CB470F" w:rsidRPr="00CB470F" w:rsidRDefault="00CB470F" w:rsidP="00CB470F">
      <w:pPr>
        <w:rPr>
          <w:rFonts w:ascii="Verdana" w:hAnsi="Verdana"/>
          <w:sz w:val="20"/>
        </w:rPr>
      </w:pPr>
      <w:r w:rsidRPr="00CB470F">
        <w:rPr>
          <w:rFonts w:ascii="Verdana" w:hAnsi="Verdana"/>
          <w:b/>
          <w:bCs/>
          <w:sz w:val="20"/>
        </w:rPr>
        <w:t>Artículo 202.</w:t>
      </w:r>
      <w:r w:rsidRPr="00CB470F">
        <w:rPr>
          <w:rFonts w:ascii="Verdana" w:hAnsi="Verdana"/>
          <w:sz w:val="20"/>
        </w:rPr>
        <w:t> El asesor fiscal que haya revelado un esquema reportable se encuentra obligado a proporcionar el número de identificación del mismo, emitido por el Servicio de Administración Tributaria, a cada uno de los contribuyentes que tengan la intención de implementar dicho esquema.</w:t>
      </w:r>
    </w:p>
    <w:p w:rsidR="00CB470F" w:rsidRPr="00CB470F" w:rsidRDefault="00CB470F" w:rsidP="00CB470F">
      <w:pPr>
        <w:rPr>
          <w:rFonts w:ascii="Verdana" w:hAnsi="Verdana"/>
          <w:sz w:val="20"/>
        </w:rPr>
      </w:pPr>
      <w:r w:rsidRPr="00CB470F">
        <w:rPr>
          <w:rFonts w:ascii="Verdana" w:hAnsi="Verdana"/>
          <w:sz w:val="20"/>
        </w:rPr>
        <w:t>Los contribuyentes que implementen un esquema reportable se encuentran obligados a incluir el número de identificación del mismo en su declaración anual correspondiente al ejercicio en el cual se llevó a cabo el primer hecho o acto jurídico para la implementación del esquema reportable y en los ejercicios fiscales subsecuentes cuando el esquema continúe surtiendo efectos fiscales. Lo anterior es aplicable con independencia de la forma en que se haya obtenido el referido número de identificación.</w:t>
      </w:r>
    </w:p>
    <w:p w:rsidR="00CB470F" w:rsidRPr="00CB470F" w:rsidRDefault="00CB470F" w:rsidP="00CB470F">
      <w:pPr>
        <w:rPr>
          <w:rFonts w:ascii="Verdana" w:hAnsi="Verdana"/>
          <w:sz w:val="20"/>
        </w:rPr>
      </w:pPr>
      <w:r w:rsidRPr="00CB470F">
        <w:rPr>
          <w:rFonts w:ascii="Verdana" w:hAnsi="Verdana"/>
          <w:sz w:val="20"/>
        </w:rPr>
        <w:t>Adicionalmente, el contribuyente y el asesor fiscal deberán informar al Servicio de Administración Tributaria cualquier modificación a la información reportada de conformidad con el artículo 200 de este Código, realizada con posterioridad a la revelación del esquema reportable, dentro de los 20 días siguientes a dicha modificación.</w:t>
      </w:r>
    </w:p>
    <w:p w:rsidR="00CB470F" w:rsidRPr="00CB470F" w:rsidRDefault="00CB470F" w:rsidP="00CB470F">
      <w:pPr>
        <w:rPr>
          <w:rFonts w:ascii="Verdana" w:hAnsi="Verdana"/>
          <w:sz w:val="20"/>
        </w:rPr>
      </w:pPr>
      <w:r w:rsidRPr="00CB470F">
        <w:rPr>
          <w:rFonts w:ascii="Verdana" w:hAnsi="Verdana"/>
          <w:sz w:val="20"/>
        </w:rPr>
        <w:t>En caso que las autoridades fiscales ejerzan sus facultades de comprobación de conformidad con la fracción XI del artículo 42 de este Código, los asesores fiscales estarán obligados a proporcionar la documentación e información que soporte que han cumplido con las disposiciones de este Capítulo.</w:t>
      </w:r>
    </w:p>
    <w:p w:rsidR="00CB470F" w:rsidRPr="00CB470F" w:rsidRDefault="00CB470F" w:rsidP="00CB470F">
      <w:pPr>
        <w:rPr>
          <w:rFonts w:ascii="Verdana" w:hAnsi="Verdana"/>
          <w:sz w:val="20"/>
        </w:rPr>
      </w:pPr>
      <w:r w:rsidRPr="00CB470F">
        <w:rPr>
          <w:rFonts w:ascii="Verdana" w:hAnsi="Verdana"/>
          <w:b/>
          <w:bCs/>
          <w:sz w:val="20"/>
        </w:rPr>
        <w:t>DISPOSICIONES TRANSITORIAS DEL CÓDIGO FISCAL DE LA FEDERACIÓN</w:t>
      </w:r>
    </w:p>
    <w:p w:rsidR="00CB470F" w:rsidRPr="00CB470F" w:rsidRDefault="00CB470F" w:rsidP="00CB470F">
      <w:pPr>
        <w:rPr>
          <w:rFonts w:ascii="Verdana" w:hAnsi="Verdana"/>
          <w:sz w:val="20"/>
        </w:rPr>
      </w:pPr>
      <w:r w:rsidRPr="00CB470F">
        <w:rPr>
          <w:rFonts w:ascii="Verdana" w:hAnsi="Verdana"/>
          <w:b/>
          <w:bCs/>
          <w:sz w:val="20"/>
        </w:rPr>
        <w:t>Artículo Octavo.-</w:t>
      </w:r>
      <w:r w:rsidRPr="00CB470F">
        <w:rPr>
          <w:rFonts w:ascii="Verdana" w:hAnsi="Verdana"/>
          <w:sz w:val="20"/>
        </w:rPr>
        <w:t> En relación con las modificaciones a que se refiere el Artículo Séptimo de este Decreto, se estará a lo siguiente:</w:t>
      </w:r>
    </w:p>
    <w:p w:rsidR="00CB470F" w:rsidRPr="00CB470F" w:rsidRDefault="00CB470F" w:rsidP="00CB470F">
      <w:pPr>
        <w:rPr>
          <w:rFonts w:ascii="Verdana" w:hAnsi="Verdana"/>
          <w:sz w:val="20"/>
        </w:rPr>
      </w:pPr>
      <w:r w:rsidRPr="00CB470F">
        <w:rPr>
          <w:rFonts w:ascii="Verdana" w:hAnsi="Verdana"/>
          <w:b/>
          <w:bCs/>
          <w:sz w:val="20"/>
        </w:rPr>
        <w:t>I.</w:t>
      </w:r>
      <w:r w:rsidRPr="00CB470F">
        <w:rPr>
          <w:rFonts w:ascii="Verdana" w:hAnsi="Verdana"/>
          <w:sz w:val="20"/>
        </w:rPr>
        <w:t>        Las personas físicas o morales que, previo a la entrada en vigor del presente Decreto hayan dado cualquier efecto fiscal a los comprobantes fiscales expedidos por un contribuyente incluido en el listado a que se refiere el artículo 69-B, cuarto párrafo del Código Fiscal de la Federación, sin haber acreditado ante la propia autoridad fiscal dentro del plazo de treinta días otorgado para tal efecto, que efectivamente adquirieron los bienes o recibieron los servicios que amparan los citados comprobantes fiscales, podrán corregir su situación fiscal dentro de los tres meses siguientes a la entrada en vigor de este Decreto, a través de la presentación de la declaración o declaraciones complementarias que correspondan en términos del Código Fiscal de la Federación.</w:t>
      </w:r>
    </w:p>
    <w:p w:rsidR="00CB470F" w:rsidRPr="00CB470F" w:rsidRDefault="00CB470F" w:rsidP="00CB470F">
      <w:pPr>
        <w:rPr>
          <w:rFonts w:ascii="Verdana" w:hAnsi="Verdana"/>
          <w:sz w:val="20"/>
        </w:rPr>
      </w:pPr>
      <w:r w:rsidRPr="00CB470F">
        <w:rPr>
          <w:rFonts w:ascii="Verdana" w:hAnsi="Verdana"/>
          <w:sz w:val="20"/>
        </w:rPr>
        <w:t> </w:t>
      </w:r>
    </w:p>
    <w:p w:rsidR="00CB470F" w:rsidRPr="00CB470F" w:rsidRDefault="00CB470F" w:rsidP="00CB470F">
      <w:pPr>
        <w:rPr>
          <w:rFonts w:ascii="Verdana" w:hAnsi="Verdana"/>
          <w:sz w:val="20"/>
        </w:rPr>
      </w:pPr>
      <w:r w:rsidRPr="00CB470F">
        <w:rPr>
          <w:rFonts w:ascii="Verdana" w:hAnsi="Verdana"/>
          <w:b/>
          <w:bCs/>
          <w:sz w:val="20"/>
        </w:rPr>
        <w:lastRenderedPageBreak/>
        <w:t>II.</w:t>
      </w:r>
      <w:r w:rsidRPr="00CB470F">
        <w:rPr>
          <w:rFonts w:ascii="Verdana" w:hAnsi="Verdana"/>
          <w:sz w:val="20"/>
        </w:rPr>
        <w:t>       Los plazos previstos para cumplir con las obligaciones establecidas en los artículos 197 a 202 del Código Fiscal de la Federación, empezarán a computarse a partir del 1 de enero de 2021.</w:t>
      </w:r>
    </w:p>
    <w:p w:rsidR="00CB470F" w:rsidRPr="00CB470F" w:rsidRDefault="00CB470F" w:rsidP="00CB470F">
      <w:pPr>
        <w:rPr>
          <w:rFonts w:ascii="Verdana" w:hAnsi="Verdana"/>
          <w:sz w:val="20"/>
        </w:rPr>
      </w:pPr>
      <w:r w:rsidRPr="00CB470F">
        <w:rPr>
          <w:rFonts w:ascii="Verdana" w:hAnsi="Verdana"/>
          <w:sz w:val="20"/>
        </w:rPr>
        <w:t>         Los esquemas reportables que deberán ser revelados son los diseñados, comercializados, organizados, implementados o administrados a partir del año 2020, o con anterioridad a dicho año cuando alguno de sus efectos fiscales se refleje en los ejercicios fiscales comprendidos a partir de 2020. En este último supuesto los contribuyentes serán los únicos obligados a revelar.</w:t>
      </w:r>
    </w:p>
    <w:p w:rsidR="00CB470F" w:rsidRPr="00CB470F" w:rsidRDefault="00CB470F" w:rsidP="00CB470F">
      <w:pPr>
        <w:rPr>
          <w:rFonts w:ascii="Verdana" w:hAnsi="Verdana"/>
          <w:sz w:val="20"/>
        </w:rPr>
      </w:pPr>
      <w:r w:rsidRPr="00CB470F">
        <w:rPr>
          <w:rFonts w:ascii="Verdana" w:hAnsi="Verdana"/>
          <w:sz w:val="20"/>
        </w:rPr>
        <w:t>         Para los efectos del artículo 25, fracción I de la Ley de Ingresos de la Federación para el Ejercicio Fiscal de 2019, la información correspondiente al último trimestre del ejercicio, se deberá presentar a más tardar el último día del mes de febrero de 2020, en los medios y formatos que señale el Servicio de Administración Tributaria mediante reglas de carácter general.</w:t>
      </w:r>
    </w:p>
    <w:p w:rsidR="00CB470F" w:rsidRPr="00CB470F" w:rsidRDefault="00CB470F" w:rsidP="00CB470F">
      <w:pPr>
        <w:rPr>
          <w:rFonts w:ascii="Verdana" w:hAnsi="Verdana"/>
          <w:b/>
          <w:bCs/>
          <w:sz w:val="20"/>
        </w:rPr>
      </w:pPr>
      <w:r w:rsidRPr="00CB470F">
        <w:rPr>
          <w:rFonts w:ascii="Verdana" w:hAnsi="Verdana"/>
          <w:b/>
          <w:bCs/>
          <w:sz w:val="20"/>
        </w:rPr>
        <w:t>Transitorio</w:t>
      </w:r>
    </w:p>
    <w:p w:rsidR="00CB470F" w:rsidRPr="00CB470F" w:rsidRDefault="00CB470F" w:rsidP="00CB470F">
      <w:pPr>
        <w:rPr>
          <w:rFonts w:ascii="Verdana" w:hAnsi="Verdana"/>
          <w:sz w:val="20"/>
        </w:rPr>
      </w:pPr>
      <w:r w:rsidRPr="00CB470F">
        <w:rPr>
          <w:rFonts w:ascii="Verdana" w:hAnsi="Verdana"/>
          <w:b/>
          <w:bCs/>
          <w:sz w:val="20"/>
        </w:rPr>
        <w:t>Único.</w:t>
      </w:r>
      <w:r w:rsidRPr="00CB470F">
        <w:rPr>
          <w:rFonts w:ascii="Verdana" w:hAnsi="Verdana"/>
          <w:sz w:val="20"/>
        </w:rPr>
        <w:t> El presente Decreto entrará en vigor el 1 de enero de 2020.</w:t>
      </w:r>
    </w:p>
    <w:p w:rsidR="00CB470F" w:rsidRPr="00CB470F" w:rsidRDefault="00CB470F" w:rsidP="00CB470F">
      <w:pPr>
        <w:rPr>
          <w:rFonts w:ascii="Verdana" w:hAnsi="Verdana"/>
          <w:sz w:val="20"/>
        </w:rPr>
      </w:pPr>
      <w:r w:rsidRPr="00CB470F">
        <w:rPr>
          <w:rFonts w:ascii="Verdana" w:hAnsi="Verdana"/>
          <w:sz w:val="20"/>
        </w:rPr>
        <w:t>Ciudad de México, a 30 de octubre de 2019.- Sen. </w:t>
      </w:r>
      <w:r w:rsidRPr="00CB470F">
        <w:rPr>
          <w:rFonts w:ascii="Verdana" w:hAnsi="Verdana"/>
          <w:b/>
          <w:bCs/>
          <w:sz w:val="20"/>
        </w:rPr>
        <w:t>Mónica Fernández Balboa</w:t>
      </w:r>
      <w:r w:rsidRPr="00CB470F">
        <w:rPr>
          <w:rFonts w:ascii="Verdana" w:hAnsi="Verdana"/>
          <w:sz w:val="20"/>
        </w:rPr>
        <w:t>, Presidenta.- Dip. </w:t>
      </w:r>
      <w:r w:rsidRPr="00CB470F">
        <w:rPr>
          <w:rFonts w:ascii="Verdana" w:hAnsi="Verdana"/>
          <w:b/>
          <w:bCs/>
          <w:sz w:val="20"/>
        </w:rPr>
        <w:t>Laura Angélica Rojas Hernández</w:t>
      </w:r>
      <w:r w:rsidRPr="00CB470F">
        <w:rPr>
          <w:rFonts w:ascii="Verdana" w:hAnsi="Verdana"/>
          <w:sz w:val="20"/>
        </w:rPr>
        <w:t>, Presidenta.- Sen. </w:t>
      </w:r>
      <w:r w:rsidRPr="00CB470F">
        <w:rPr>
          <w:rFonts w:ascii="Verdana" w:hAnsi="Verdana"/>
          <w:b/>
          <w:bCs/>
          <w:sz w:val="20"/>
        </w:rPr>
        <w:t>Citlalli Hernández Mora</w:t>
      </w:r>
      <w:r w:rsidRPr="00CB470F">
        <w:rPr>
          <w:rFonts w:ascii="Verdana" w:hAnsi="Verdana"/>
          <w:sz w:val="20"/>
        </w:rPr>
        <w:t>, Secretaria.- Dip. </w:t>
      </w:r>
      <w:r w:rsidRPr="00CB470F">
        <w:rPr>
          <w:rFonts w:ascii="Verdana" w:hAnsi="Verdana"/>
          <w:b/>
          <w:bCs/>
          <w:sz w:val="20"/>
        </w:rPr>
        <w:t>Lizbeth Mata Lozano</w:t>
      </w:r>
      <w:r w:rsidRPr="00CB470F">
        <w:rPr>
          <w:rFonts w:ascii="Verdana" w:hAnsi="Verdana"/>
          <w:sz w:val="20"/>
        </w:rPr>
        <w:t>, Secretaria.- Rúbricas.</w:t>
      </w:r>
      <w:r w:rsidRPr="00CB470F">
        <w:rPr>
          <w:rFonts w:ascii="Verdana" w:hAnsi="Verdana"/>
          <w:b/>
          <w:bCs/>
          <w:sz w:val="20"/>
        </w:rPr>
        <w:t>"</w:t>
      </w:r>
    </w:p>
    <w:p w:rsidR="00CB470F" w:rsidRPr="00CB470F" w:rsidRDefault="00CB470F" w:rsidP="00CB470F">
      <w:pPr>
        <w:rPr>
          <w:rFonts w:ascii="Verdana" w:hAnsi="Verdana"/>
          <w:sz w:val="20"/>
        </w:rPr>
      </w:pPr>
      <w:r w:rsidRPr="00CB470F">
        <w:rPr>
          <w:rFonts w:ascii="Verdana" w:hAnsi="Verdana"/>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6 de diciembre de 2019.- </w:t>
      </w:r>
      <w:r w:rsidRPr="00CB470F">
        <w:rPr>
          <w:rFonts w:ascii="Verdana" w:hAnsi="Verdana"/>
          <w:b/>
          <w:bCs/>
          <w:sz w:val="20"/>
        </w:rPr>
        <w:t>Andrés Manuel López Obrador</w:t>
      </w:r>
      <w:r w:rsidRPr="00CB470F">
        <w:rPr>
          <w:rFonts w:ascii="Verdana" w:hAnsi="Verdana"/>
          <w:sz w:val="20"/>
        </w:rPr>
        <w:t>.- Rúbrica.- La Secretaria de Gobernación, Dra.</w:t>
      </w:r>
      <w:r w:rsidRPr="00CB470F">
        <w:rPr>
          <w:rFonts w:ascii="Verdana" w:hAnsi="Verdana"/>
          <w:b/>
          <w:bCs/>
          <w:sz w:val="20"/>
        </w:rPr>
        <w:t> Olga María del Carmen Sánchez Cordero Dávila</w:t>
      </w:r>
      <w:r w:rsidRPr="00CB470F">
        <w:rPr>
          <w:rFonts w:ascii="Verdana" w:hAnsi="Verdana"/>
          <w:sz w:val="20"/>
        </w:rPr>
        <w:t>.- Rúbrica.</w:t>
      </w:r>
    </w:p>
    <w:p w:rsidR="00BF3AEB" w:rsidRPr="00CB470F" w:rsidRDefault="00CB470F">
      <w:pPr>
        <w:rPr>
          <w:rFonts w:ascii="Verdana" w:hAnsi="Verdana"/>
          <w:sz w:val="20"/>
        </w:rPr>
      </w:pPr>
      <w:bookmarkStart w:id="0" w:name="_GoBack"/>
      <w:bookmarkEnd w:id="0"/>
    </w:p>
    <w:sectPr w:rsidR="00BF3AEB" w:rsidRPr="00CB47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0F"/>
    <w:rsid w:val="002228FA"/>
    <w:rsid w:val="00C06CE1"/>
    <w:rsid w:val="00CB4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B47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470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B47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470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0777">
      <w:bodyDiv w:val="1"/>
      <w:marLeft w:val="0"/>
      <w:marRight w:val="0"/>
      <w:marTop w:val="0"/>
      <w:marBottom w:val="0"/>
      <w:divBdr>
        <w:top w:val="none" w:sz="0" w:space="0" w:color="auto"/>
        <w:left w:val="none" w:sz="0" w:space="0" w:color="auto"/>
        <w:bottom w:val="none" w:sz="0" w:space="0" w:color="auto"/>
        <w:right w:val="none" w:sz="0" w:space="0" w:color="auto"/>
      </w:divBdr>
      <w:divsChild>
        <w:div w:id="458643010">
          <w:marLeft w:val="0"/>
          <w:marRight w:val="0"/>
          <w:marTop w:val="0"/>
          <w:marBottom w:val="101"/>
          <w:divBdr>
            <w:top w:val="none" w:sz="0" w:space="0" w:color="auto"/>
            <w:left w:val="none" w:sz="0" w:space="0" w:color="auto"/>
            <w:bottom w:val="none" w:sz="0" w:space="0" w:color="auto"/>
            <w:right w:val="none" w:sz="0" w:space="0" w:color="auto"/>
          </w:divBdr>
        </w:div>
        <w:div w:id="1342319500">
          <w:marLeft w:val="0"/>
          <w:marRight w:val="0"/>
          <w:marTop w:val="0"/>
          <w:marBottom w:val="101"/>
          <w:divBdr>
            <w:top w:val="none" w:sz="0" w:space="0" w:color="auto"/>
            <w:left w:val="none" w:sz="0" w:space="0" w:color="auto"/>
            <w:bottom w:val="none" w:sz="0" w:space="0" w:color="auto"/>
            <w:right w:val="none" w:sz="0" w:space="0" w:color="auto"/>
          </w:divBdr>
        </w:div>
        <w:div w:id="918179560">
          <w:marLeft w:val="0"/>
          <w:marRight w:val="0"/>
          <w:marTop w:val="101"/>
          <w:marBottom w:val="101"/>
          <w:divBdr>
            <w:top w:val="none" w:sz="0" w:space="0" w:color="auto"/>
            <w:left w:val="none" w:sz="0" w:space="0" w:color="auto"/>
            <w:bottom w:val="none" w:sz="0" w:space="0" w:color="auto"/>
            <w:right w:val="none" w:sz="0" w:space="0" w:color="auto"/>
          </w:divBdr>
        </w:div>
        <w:div w:id="706611810">
          <w:marLeft w:val="0"/>
          <w:marRight w:val="0"/>
          <w:marTop w:val="0"/>
          <w:marBottom w:val="101"/>
          <w:divBdr>
            <w:top w:val="none" w:sz="0" w:space="0" w:color="auto"/>
            <w:left w:val="none" w:sz="0" w:space="0" w:color="auto"/>
            <w:bottom w:val="none" w:sz="0" w:space="0" w:color="auto"/>
            <w:right w:val="none" w:sz="0" w:space="0" w:color="auto"/>
          </w:divBdr>
        </w:div>
        <w:div w:id="1649938921">
          <w:marLeft w:val="0"/>
          <w:marRight w:val="0"/>
          <w:marTop w:val="0"/>
          <w:marBottom w:val="101"/>
          <w:divBdr>
            <w:top w:val="none" w:sz="0" w:space="0" w:color="auto"/>
            <w:left w:val="none" w:sz="0" w:space="0" w:color="auto"/>
            <w:bottom w:val="none" w:sz="0" w:space="0" w:color="auto"/>
            <w:right w:val="none" w:sz="0" w:space="0" w:color="auto"/>
          </w:divBdr>
        </w:div>
        <w:div w:id="927618043">
          <w:marLeft w:val="0"/>
          <w:marRight w:val="0"/>
          <w:marTop w:val="101"/>
          <w:marBottom w:val="101"/>
          <w:divBdr>
            <w:top w:val="none" w:sz="0" w:space="0" w:color="auto"/>
            <w:left w:val="none" w:sz="0" w:space="0" w:color="auto"/>
            <w:bottom w:val="none" w:sz="0" w:space="0" w:color="auto"/>
            <w:right w:val="none" w:sz="0" w:space="0" w:color="auto"/>
          </w:divBdr>
        </w:div>
        <w:div w:id="1894150983">
          <w:marLeft w:val="0"/>
          <w:marRight w:val="0"/>
          <w:marTop w:val="0"/>
          <w:marBottom w:val="101"/>
          <w:divBdr>
            <w:top w:val="none" w:sz="0" w:space="0" w:color="auto"/>
            <w:left w:val="none" w:sz="0" w:space="0" w:color="auto"/>
            <w:bottom w:val="none" w:sz="0" w:space="0" w:color="auto"/>
            <w:right w:val="none" w:sz="0" w:space="0" w:color="auto"/>
          </w:divBdr>
        </w:div>
        <w:div w:id="482357379">
          <w:marLeft w:val="0"/>
          <w:marRight w:val="0"/>
          <w:marTop w:val="0"/>
          <w:marBottom w:val="101"/>
          <w:divBdr>
            <w:top w:val="none" w:sz="0" w:space="0" w:color="auto"/>
            <w:left w:val="none" w:sz="0" w:space="0" w:color="auto"/>
            <w:bottom w:val="none" w:sz="0" w:space="0" w:color="auto"/>
            <w:right w:val="none" w:sz="0" w:space="0" w:color="auto"/>
          </w:divBdr>
        </w:div>
        <w:div w:id="440030913">
          <w:marLeft w:val="0"/>
          <w:marRight w:val="0"/>
          <w:marTop w:val="0"/>
          <w:marBottom w:val="101"/>
          <w:divBdr>
            <w:top w:val="none" w:sz="0" w:space="0" w:color="auto"/>
            <w:left w:val="none" w:sz="0" w:space="0" w:color="auto"/>
            <w:bottom w:val="none" w:sz="0" w:space="0" w:color="auto"/>
            <w:right w:val="none" w:sz="0" w:space="0" w:color="auto"/>
          </w:divBdr>
        </w:div>
        <w:div w:id="981156052">
          <w:marLeft w:val="864"/>
          <w:marRight w:val="0"/>
          <w:marTop w:val="0"/>
          <w:marBottom w:val="101"/>
          <w:divBdr>
            <w:top w:val="none" w:sz="0" w:space="0" w:color="auto"/>
            <w:left w:val="none" w:sz="0" w:space="0" w:color="auto"/>
            <w:bottom w:val="none" w:sz="0" w:space="0" w:color="auto"/>
            <w:right w:val="none" w:sz="0" w:space="0" w:color="auto"/>
          </w:divBdr>
        </w:div>
        <w:div w:id="644897035">
          <w:marLeft w:val="864"/>
          <w:marRight w:val="0"/>
          <w:marTop w:val="0"/>
          <w:marBottom w:val="101"/>
          <w:divBdr>
            <w:top w:val="none" w:sz="0" w:space="0" w:color="auto"/>
            <w:left w:val="none" w:sz="0" w:space="0" w:color="auto"/>
            <w:bottom w:val="none" w:sz="0" w:space="0" w:color="auto"/>
            <w:right w:val="none" w:sz="0" w:space="0" w:color="auto"/>
          </w:divBdr>
        </w:div>
        <w:div w:id="447821663">
          <w:marLeft w:val="864"/>
          <w:marRight w:val="0"/>
          <w:marTop w:val="0"/>
          <w:marBottom w:val="101"/>
          <w:divBdr>
            <w:top w:val="none" w:sz="0" w:space="0" w:color="auto"/>
            <w:left w:val="none" w:sz="0" w:space="0" w:color="auto"/>
            <w:bottom w:val="none" w:sz="0" w:space="0" w:color="auto"/>
            <w:right w:val="none" w:sz="0" w:space="0" w:color="auto"/>
          </w:divBdr>
        </w:div>
        <w:div w:id="1326477800">
          <w:marLeft w:val="0"/>
          <w:marRight w:val="0"/>
          <w:marTop w:val="0"/>
          <w:marBottom w:val="101"/>
          <w:divBdr>
            <w:top w:val="none" w:sz="0" w:space="0" w:color="auto"/>
            <w:left w:val="none" w:sz="0" w:space="0" w:color="auto"/>
            <w:bottom w:val="none" w:sz="0" w:space="0" w:color="auto"/>
            <w:right w:val="none" w:sz="0" w:space="0" w:color="auto"/>
          </w:divBdr>
        </w:div>
        <w:div w:id="1938634063">
          <w:marLeft w:val="0"/>
          <w:marRight w:val="0"/>
          <w:marTop w:val="0"/>
          <w:marBottom w:val="101"/>
          <w:divBdr>
            <w:top w:val="none" w:sz="0" w:space="0" w:color="auto"/>
            <w:left w:val="none" w:sz="0" w:space="0" w:color="auto"/>
            <w:bottom w:val="none" w:sz="0" w:space="0" w:color="auto"/>
            <w:right w:val="none" w:sz="0" w:space="0" w:color="auto"/>
          </w:divBdr>
        </w:div>
        <w:div w:id="1075323722">
          <w:marLeft w:val="0"/>
          <w:marRight w:val="0"/>
          <w:marTop w:val="0"/>
          <w:marBottom w:val="101"/>
          <w:divBdr>
            <w:top w:val="none" w:sz="0" w:space="0" w:color="auto"/>
            <w:left w:val="none" w:sz="0" w:space="0" w:color="auto"/>
            <w:bottom w:val="none" w:sz="0" w:space="0" w:color="auto"/>
            <w:right w:val="none" w:sz="0" w:space="0" w:color="auto"/>
          </w:divBdr>
        </w:div>
        <w:div w:id="1422531216">
          <w:marLeft w:val="0"/>
          <w:marRight w:val="0"/>
          <w:marTop w:val="0"/>
          <w:marBottom w:val="101"/>
          <w:divBdr>
            <w:top w:val="none" w:sz="0" w:space="0" w:color="auto"/>
            <w:left w:val="none" w:sz="0" w:space="0" w:color="auto"/>
            <w:bottom w:val="none" w:sz="0" w:space="0" w:color="auto"/>
            <w:right w:val="none" w:sz="0" w:space="0" w:color="auto"/>
          </w:divBdr>
        </w:div>
        <w:div w:id="485979077">
          <w:marLeft w:val="0"/>
          <w:marRight w:val="0"/>
          <w:marTop w:val="0"/>
          <w:marBottom w:val="101"/>
          <w:divBdr>
            <w:top w:val="none" w:sz="0" w:space="0" w:color="auto"/>
            <w:left w:val="none" w:sz="0" w:space="0" w:color="auto"/>
            <w:bottom w:val="none" w:sz="0" w:space="0" w:color="auto"/>
            <w:right w:val="none" w:sz="0" w:space="0" w:color="auto"/>
          </w:divBdr>
        </w:div>
        <w:div w:id="66807290">
          <w:marLeft w:val="0"/>
          <w:marRight w:val="0"/>
          <w:marTop w:val="0"/>
          <w:marBottom w:val="101"/>
          <w:divBdr>
            <w:top w:val="none" w:sz="0" w:space="0" w:color="auto"/>
            <w:left w:val="none" w:sz="0" w:space="0" w:color="auto"/>
            <w:bottom w:val="none" w:sz="0" w:space="0" w:color="auto"/>
            <w:right w:val="none" w:sz="0" w:space="0" w:color="auto"/>
          </w:divBdr>
        </w:div>
        <w:div w:id="1371566641">
          <w:marLeft w:val="0"/>
          <w:marRight w:val="0"/>
          <w:marTop w:val="0"/>
          <w:marBottom w:val="101"/>
          <w:divBdr>
            <w:top w:val="none" w:sz="0" w:space="0" w:color="auto"/>
            <w:left w:val="none" w:sz="0" w:space="0" w:color="auto"/>
            <w:bottom w:val="none" w:sz="0" w:space="0" w:color="auto"/>
            <w:right w:val="none" w:sz="0" w:space="0" w:color="auto"/>
          </w:divBdr>
        </w:div>
        <w:div w:id="1579905833">
          <w:marLeft w:val="0"/>
          <w:marRight w:val="0"/>
          <w:marTop w:val="0"/>
          <w:marBottom w:val="101"/>
          <w:divBdr>
            <w:top w:val="none" w:sz="0" w:space="0" w:color="auto"/>
            <w:left w:val="none" w:sz="0" w:space="0" w:color="auto"/>
            <w:bottom w:val="none" w:sz="0" w:space="0" w:color="auto"/>
            <w:right w:val="none" w:sz="0" w:space="0" w:color="auto"/>
          </w:divBdr>
        </w:div>
        <w:div w:id="230164366">
          <w:marLeft w:val="0"/>
          <w:marRight w:val="0"/>
          <w:marTop w:val="0"/>
          <w:marBottom w:val="101"/>
          <w:divBdr>
            <w:top w:val="none" w:sz="0" w:space="0" w:color="auto"/>
            <w:left w:val="none" w:sz="0" w:space="0" w:color="auto"/>
            <w:bottom w:val="none" w:sz="0" w:space="0" w:color="auto"/>
            <w:right w:val="none" w:sz="0" w:space="0" w:color="auto"/>
          </w:divBdr>
        </w:div>
        <w:div w:id="1770616777">
          <w:marLeft w:val="0"/>
          <w:marRight w:val="0"/>
          <w:marTop w:val="0"/>
          <w:marBottom w:val="101"/>
          <w:divBdr>
            <w:top w:val="none" w:sz="0" w:space="0" w:color="auto"/>
            <w:left w:val="none" w:sz="0" w:space="0" w:color="auto"/>
            <w:bottom w:val="none" w:sz="0" w:space="0" w:color="auto"/>
            <w:right w:val="none" w:sz="0" w:space="0" w:color="auto"/>
          </w:divBdr>
        </w:div>
        <w:div w:id="379673189">
          <w:marLeft w:val="0"/>
          <w:marRight w:val="0"/>
          <w:marTop w:val="0"/>
          <w:marBottom w:val="101"/>
          <w:divBdr>
            <w:top w:val="none" w:sz="0" w:space="0" w:color="auto"/>
            <w:left w:val="none" w:sz="0" w:space="0" w:color="auto"/>
            <w:bottom w:val="none" w:sz="0" w:space="0" w:color="auto"/>
            <w:right w:val="none" w:sz="0" w:space="0" w:color="auto"/>
          </w:divBdr>
        </w:div>
        <w:div w:id="1864320244">
          <w:marLeft w:val="0"/>
          <w:marRight w:val="0"/>
          <w:marTop w:val="0"/>
          <w:marBottom w:val="101"/>
          <w:divBdr>
            <w:top w:val="none" w:sz="0" w:space="0" w:color="auto"/>
            <w:left w:val="none" w:sz="0" w:space="0" w:color="auto"/>
            <w:bottom w:val="none" w:sz="0" w:space="0" w:color="auto"/>
            <w:right w:val="none" w:sz="0" w:space="0" w:color="auto"/>
          </w:divBdr>
        </w:div>
        <w:div w:id="1887064838">
          <w:marLeft w:val="0"/>
          <w:marRight w:val="0"/>
          <w:marTop w:val="0"/>
          <w:marBottom w:val="101"/>
          <w:divBdr>
            <w:top w:val="none" w:sz="0" w:space="0" w:color="auto"/>
            <w:left w:val="none" w:sz="0" w:space="0" w:color="auto"/>
            <w:bottom w:val="none" w:sz="0" w:space="0" w:color="auto"/>
            <w:right w:val="none" w:sz="0" w:space="0" w:color="auto"/>
          </w:divBdr>
        </w:div>
        <w:div w:id="930547320">
          <w:marLeft w:val="864"/>
          <w:marRight w:val="0"/>
          <w:marTop w:val="0"/>
          <w:marBottom w:val="101"/>
          <w:divBdr>
            <w:top w:val="none" w:sz="0" w:space="0" w:color="auto"/>
            <w:left w:val="none" w:sz="0" w:space="0" w:color="auto"/>
            <w:bottom w:val="none" w:sz="0" w:space="0" w:color="auto"/>
            <w:right w:val="none" w:sz="0" w:space="0" w:color="auto"/>
          </w:divBdr>
        </w:div>
        <w:div w:id="1156727990">
          <w:marLeft w:val="864"/>
          <w:marRight w:val="0"/>
          <w:marTop w:val="0"/>
          <w:marBottom w:val="101"/>
          <w:divBdr>
            <w:top w:val="none" w:sz="0" w:space="0" w:color="auto"/>
            <w:left w:val="none" w:sz="0" w:space="0" w:color="auto"/>
            <w:bottom w:val="none" w:sz="0" w:space="0" w:color="auto"/>
            <w:right w:val="none" w:sz="0" w:space="0" w:color="auto"/>
          </w:divBdr>
        </w:div>
        <w:div w:id="498664867">
          <w:marLeft w:val="0"/>
          <w:marRight w:val="0"/>
          <w:marTop w:val="0"/>
          <w:marBottom w:val="101"/>
          <w:divBdr>
            <w:top w:val="none" w:sz="0" w:space="0" w:color="auto"/>
            <w:left w:val="none" w:sz="0" w:space="0" w:color="auto"/>
            <w:bottom w:val="none" w:sz="0" w:space="0" w:color="auto"/>
            <w:right w:val="none" w:sz="0" w:space="0" w:color="auto"/>
          </w:divBdr>
        </w:div>
        <w:div w:id="1089890081">
          <w:marLeft w:val="0"/>
          <w:marRight w:val="0"/>
          <w:marTop w:val="0"/>
          <w:marBottom w:val="101"/>
          <w:divBdr>
            <w:top w:val="none" w:sz="0" w:space="0" w:color="auto"/>
            <w:left w:val="none" w:sz="0" w:space="0" w:color="auto"/>
            <w:bottom w:val="none" w:sz="0" w:space="0" w:color="auto"/>
            <w:right w:val="none" w:sz="0" w:space="0" w:color="auto"/>
          </w:divBdr>
        </w:div>
        <w:div w:id="1952200335">
          <w:marLeft w:val="0"/>
          <w:marRight w:val="0"/>
          <w:marTop w:val="0"/>
          <w:marBottom w:val="101"/>
          <w:divBdr>
            <w:top w:val="none" w:sz="0" w:space="0" w:color="auto"/>
            <w:left w:val="none" w:sz="0" w:space="0" w:color="auto"/>
            <w:bottom w:val="none" w:sz="0" w:space="0" w:color="auto"/>
            <w:right w:val="none" w:sz="0" w:space="0" w:color="auto"/>
          </w:divBdr>
        </w:div>
        <w:div w:id="285551544">
          <w:marLeft w:val="0"/>
          <w:marRight w:val="0"/>
          <w:marTop w:val="0"/>
          <w:marBottom w:val="101"/>
          <w:divBdr>
            <w:top w:val="none" w:sz="0" w:space="0" w:color="auto"/>
            <w:left w:val="none" w:sz="0" w:space="0" w:color="auto"/>
            <w:bottom w:val="none" w:sz="0" w:space="0" w:color="auto"/>
            <w:right w:val="none" w:sz="0" w:space="0" w:color="auto"/>
          </w:divBdr>
        </w:div>
        <w:div w:id="1081219880">
          <w:marLeft w:val="0"/>
          <w:marRight w:val="0"/>
          <w:marTop w:val="0"/>
          <w:marBottom w:val="101"/>
          <w:divBdr>
            <w:top w:val="none" w:sz="0" w:space="0" w:color="auto"/>
            <w:left w:val="none" w:sz="0" w:space="0" w:color="auto"/>
            <w:bottom w:val="none" w:sz="0" w:space="0" w:color="auto"/>
            <w:right w:val="none" w:sz="0" w:space="0" w:color="auto"/>
          </w:divBdr>
        </w:div>
        <w:div w:id="1554543176">
          <w:marLeft w:val="0"/>
          <w:marRight w:val="0"/>
          <w:marTop w:val="0"/>
          <w:marBottom w:val="101"/>
          <w:divBdr>
            <w:top w:val="none" w:sz="0" w:space="0" w:color="auto"/>
            <w:left w:val="none" w:sz="0" w:space="0" w:color="auto"/>
            <w:bottom w:val="none" w:sz="0" w:space="0" w:color="auto"/>
            <w:right w:val="none" w:sz="0" w:space="0" w:color="auto"/>
          </w:divBdr>
        </w:div>
        <w:div w:id="1507859866">
          <w:marLeft w:val="0"/>
          <w:marRight w:val="0"/>
          <w:marTop w:val="0"/>
          <w:marBottom w:val="101"/>
          <w:divBdr>
            <w:top w:val="none" w:sz="0" w:space="0" w:color="auto"/>
            <w:left w:val="none" w:sz="0" w:space="0" w:color="auto"/>
            <w:bottom w:val="none" w:sz="0" w:space="0" w:color="auto"/>
            <w:right w:val="none" w:sz="0" w:space="0" w:color="auto"/>
          </w:divBdr>
        </w:div>
        <w:div w:id="554849720">
          <w:marLeft w:val="0"/>
          <w:marRight w:val="0"/>
          <w:marTop w:val="0"/>
          <w:marBottom w:val="101"/>
          <w:divBdr>
            <w:top w:val="none" w:sz="0" w:space="0" w:color="auto"/>
            <w:left w:val="none" w:sz="0" w:space="0" w:color="auto"/>
            <w:bottom w:val="none" w:sz="0" w:space="0" w:color="auto"/>
            <w:right w:val="none" w:sz="0" w:space="0" w:color="auto"/>
          </w:divBdr>
        </w:div>
        <w:div w:id="155729298">
          <w:marLeft w:val="0"/>
          <w:marRight w:val="0"/>
          <w:marTop w:val="0"/>
          <w:marBottom w:val="101"/>
          <w:divBdr>
            <w:top w:val="none" w:sz="0" w:space="0" w:color="auto"/>
            <w:left w:val="none" w:sz="0" w:space="0" w:color="auto"/>
            <w:bottom w:val="none" w:sz="0" w:space="0" w:color="auto"/>
            <w:right w:val="none" w:sz="0" w:space="0" w:color="auto"/>
          </w:divBdr>
        </w:div>
        <w:div w:id="379012030">
          <w:marLeft w:val="0"/>
          <w:marRight w:val="0"/>
          <w:marTop w:val="0"/>
          <w:marBottom w:val="101"/>
          <w:divBdr>
            <w:top w:val="none" w:sz="0" w:space="0" w:color="auto"/>
            <w:left w:val="none" w:sz="0" w:space="0" w:color="auto"/>
            <w:bottom w:val="none" w:sz="0" w:space="0" w:color="auto"/>
            <w:right w:val="none" w:sz="0" w:space="0" w:color="auto"/>
          </w:divBdr>
        </w:div>
        <w:div w:id="2079473597">
          <w:marLeft w:val="0"/>
          <w:marRight w:val="0"/>
          <w:marTop w:val="0"/>
          <w:marBottom w:val="101"/>
          <w:divBdr>
            <w:top w:val="none" w:sz="0" w:space="0" w:color="auto"/>
            <w:left w:val="none" w:sz="0" w:space="0" w:color="auto"/>
            <w:bottom w:val="none" w:sz="0" w:space="0" w:color="auto"/>
            <w:right w:val="none" w:sz="0" w:space="0" w:color="auto"/>
          </w:divBdr>
        </w:div>
        <w:div w:id="1305624714">
          <w:marLeft w:val="0"/>
          <w:marRight w:val="0"/>
          <w:marTop w:val="0"/>
          <w:marBottom w:val="101"/>
          <w:divBdr>
            <w:top w:val="none" w:sz="0" w:space="0" w:color="auto"/>
            <w:left w:val="none" w:sz="0" w:space="0" w:color="auto"/>
            <w:bottom w:val="none" w:sz="0" w:space="0" w:color="auto"/>
            <w:right w:val="none" w:sz="0" w:space="0" w:color="auto"/>
          </w:divBdr>
        </w:div>
        <w:div w:id="315501900">
          <w:marLeft w:val="0"/>
          <w:marRight w:val="0"/>
          <w:marTop w:val="0"/>
          <w:marBottom w:val="101"/>
          <w:divBdr>
            <w:top w:val="none" w:sz="0" w:space="0" w:color="auto"/>
            <w:left w:val="none" w:sz="0" w:space="0" w:color="auto"/>
            <w:bottom w:val="none" w:sz="0" w:space="0" w:color="auto"/>
            <w:right w:val="none" w:sz="0" w:space="0" w:color="auto"/>
          </w:divBdr>
        </w:div>
        <w:div w:id="1549995244">
          <w:marLeft w:val="0"/>
          <w:marRight w:val="0"/>
          <w:marTop w:val="0"/>
          <w:marBottom w:val="101"/>
          <w:divBdr>
            <w:top w:val="none" w:sz="0" w:space="0" w:color="auto"/>
            <w:left w:val="none" w:sz="0" w:space="0" w:color="auto"/>
            <w:bottom w:val="none" w:sz="0" w:space="0" w:color="auto"/>
            <w:right w:val="none" w:sz="0" w:space="0" w:color="auto"/>
          </w:divBdr>
        </w:div>
        <w:div w:id="941842087">
          <w:marLeft w:val="0"/>
          <w:marRight w:val="0"/>
          <w:marTop w:val="0"/>
          <w:marBottom w:val="101"/>
          <w:divBdr>
            <w:top w:val="none" w:sz="0" w:space="0" w:color="auto"/>
            <w:left w:val="none" w:sz="0" w:space="0" w:color="auto"/>
            <w:bottom w:val="none" w:sz="0" w:space="0" w:color="auto"/>
            <w:right w:val="none" w:sz="0" w:space="0" w:color="auto"/>
          </w:divBdr>
        </w:div>
        <w:div w:id="1230918407">
          <w:marLeft w:val="0"/>
          <w:marRight w:val="0"/>
          <w:marTop w:val="0"/>
          <w:marBottom w:val="101"/>
          <w:divBdr>
            <w:top w:val="none" w:sz="0" w:space="0" w:color="auto"/>
            <w:left w:val="none" w:sz="0" w:space="0" w:color="auto"/>
            <w:bottom w:val="none" w:sz="0" w:space="0" w:color="auto"/>
            <w:right w:val="none" w:sz="0" w:space="0" w:color="auto"/>
          </w:divBdr>
        </w:div>
        <w:div w:id="1122841280">
          <w:marLeft w:val="0"/>
          <w:marRight w:val="0"/>
          <w:marTop w:val="0"/>
          <w:marBottom w:val="101"/>
          <w:divBdr>
            <w:top w:val="none" w:sz="0" w:space="0" w:color="auto"/>
            <w:left w:val="none" w:sz="0" w:space="0" w:color="auto"/>
            <w:bottom w:val="none" w:sz="0" w:space="0" w:color="auto"/>
            <w:right w:val="none" w:sz="0" w:space="0" w:color="auto"/>
          </w:divBdr>
        </w:div>
        <w:div w:id="2012680178">
          <w:marLeft w:val="0"/>
          <w:marRight w:val="0"/>
          <w:marTop w:val="0"/>
          <w:marBottom w:val="101"/>
          <w:divBdr>
            <w:top w:val="none" w:sz="0" w:space="0" w:color="auto"/>
            <w:left w:val="none" w:sz="0" w:space="0" w:color="auto"/>
            <w:bottom w:val="none" w:sz="0" w:space="0" w:color="auto"/>
            <w:right w:val="none" w:sz="0" w:space="0" w:color="auto"/>
          </w:divBdr>
        </w:div>
        <w:div w:id="844444227">
          <w:marLeft w:val="0"/>
          <w:marRight w:val="0"/>
          <w:marTop w:val="0"/>
          <w:marBottom w:val="101"/>
          <w:divBdr>
            <w:top w:val="none" w:sz="0" w:space="0" w:color="auto"/>
            <w:left w:val="none" w:sz="0" w:space="0" w:color="auto"/>
            <w:bottom w:val="none" w:sz="0" w:space="0" w:color="auto"/>
            <w:right w:val="none" w:sz="0" w:space="0" w:color="auto"/>
          </w:divBdr>
        </w:div>
        <w:div w:id="1041325624">
          <w:marLeft w:val="0"/>
          <w:marRight w:val="0"/>
          <w:marTop w:val="0"/>
          <w:marBottom w:val="101"/>
          <w:divBdr>
            <w:top w:val="none" w:sz="0" w:space="0" w:color="auto"/>
            <w:left w:val="none" w:sz="0" w:space="0" w:color="auto"/>
            <w:bottom w:val="none" w:sz="0" w:space="0" w:color="auto"/>
            <w:right w:val="none" w:sz="0" w:space="0" w:color="auto"/>
          </w:divBdr>
        </w:div>
        <w:div w:id="593825144">
          <w:marLeft w:val="0"/>
          <w:marRight w:val="0"/>
          <w:marTop w:val="0"/>
          <w:marBottom w:val="101"/>
          <w:divBdr>
            <w:top w:val="none" w:sz="0" w:space="0" w:color="auto"/>
            <w:left w:val="none" w:sz="0" w:space="0" w:color="auto"/>
            <w:bottom w:val="none" w:sz="0" w:space="0" w:color="auto"/>
            <w:right w:val="none" w:sz="0" w:space="0" w:color="auto"/>
          </w:divBdr>
        </w:div>
        <w:div w:id="1149589442">
          <w:marLeft w:val="0"/>
          <w:marRight w:val="0"/>
          <w:marTop w:val="0"/>
          <w:marBottom w:val="101"/>
          <w:divBdr>
            <w:top w:val="none" w:sz="0" w:space="0" w:color="auto"/>
            <w:left w:val="none" w:sz="0" w:space="0" w:color="auto"/>
            <w:bottom w:val="none" w:sz="0" w:space="0" w:color="auto"/>
            <w:right w:val="none" w:sz="0" w:space="0" w:color="auto"/>
          </w:divBdr>
        </w:div>
        <w:div w:id="1416395153">
          <w:marLeft w:val="0"/>
          <w:marRight w:val="0"/>
          <w:marTop w:val="0"/>
          <w:marBottom w:val="101"/>
          <w:divBdr>
            <w:top w:val="none" w:sz="0" w:space="0" w:color="auto"/>
            <w:left w:val="none" w:sz="0" w:space="0" w:color="auto"/>
            <w:bottom w:val="none" w:sz="0" w:space="0" w:color="auto"/>
            <w:right w:val="none" w:sz="0" w:space="0" w:color="auto"/>
          </w:divBdr>
        </w:div>
        <w:div w:id="1260023104">
          <w:marLeft w:val="0"/>
          <w:marRight w:val="0"/>
          <w:marTop w:val="0"/>
          <w:marBottom w:val="101"/>
          <w:divBdr>
            <w:top w:val="none" w:sz="0" w:space="0" w:color="auto"/>
            <w:left w:val="none" w:sz="0" w:space="0" w:color="auto"/>
            <w:bottom w:val="none" w:sz="0" w:space="0" w:color="auto"/>
            <w:right w:val="none" w:sz="0" w:space="0" w:color="auto"/>
          </w:divBdr>
        </w:div>
        <w:div w:id="1655256980">
          <w:marLeft w:val="0"/>
          <w:marRight w:val="0"/>
          <w:marTop w:val="0"/>
          <w:marBottom w:val="101"/>
          <w:divBdr>
            <w:top w:val="none" w:sz="0" w:space="0" w:color="auto"/>
            <w:left w:val="none" w:sz="0" w:space="0" w:color="auto"/>
            <w:bottom w:val="none" w:sz="0" w:space="0" w:color="auto"/>
            <w:right w:val="none" w:sz="0" w:space="0" w:color="auto"/>
          </w:divBdr>
        </w:div>
        <w:div w:id="1083258940">
          <w:marLeft w:val="0"/>
          <w:marRight w:val="0"/>
          <w:marTop w:val="0"/>
          <w:marBottom w:val="101"/>
          <w:divBdr>
            <w:top w:val="none" w:sz="0" w:space="0" w:color="auto"/>
            <w:left w:val="none" w:sz="0" w:space="0" w:color="auto"/>
            <w:bottom w:val="none" w:sz="0" w:space="0" w:color="auto"/>
            <w:right w:val="none" w:sz="0" w:space="0" w:color="auto"/>
          </w:divBdr>
        </w:div>
        <w:div w:id="1708797317">
          <w:marLeft w:val="0"/>
          <w:marRight w:val="0"/>
          <w:marTop w:val="0"/>
          <w:marBottom w:val="101"/>
          <w:divBdr>
            <w:top w:val="none" w:sz="0" w:space="0" w:color="auto"/>
            <w:left w:val="none" w:sz="0" w:space="0" w:color="auto"/>
            <w:bottom w:val="none" w:sz="0" w:space="0" w:color="auto"/>
            <w:right w:val="none" w:sz="0" w:space="0" w:color="auto"/>
          </w:divBdr>
        </w:div>
        <w:div w:id="1793673934">
          <w:marLeft w:val="0"/>
          <w:marRight w:val="0"/>
          <w:marTop w:val="0"/>
          <w:marBottom w:val="101"/>
          <w:divBdr>
            <w:top w:val="none" w:sz="0" w:space="0" w:color="auto"/>
            <w:left w:val="none" w:sz="0" w:space="0" w:color="auto"/>
            <w:bottom w:val="none" w:sz="0" w:space="0" w:color="auto"/>
            <w:right w:val="none" w:sz="0" w:space="0" w:color="auto"/>
          </w:divBdr>
        </w:div>
        <w:div w:id="1520197733">
          <w:marLeft w:val="0"/>
          <w:marRight w:val="0"/>
          <w:marTop w:val="0"/>
          <w:marBottom w:val="101"/>
          <w:divBdr>
            <w:top w:val="none" w:sz="0" w:space="0" w:color="auto"/>
            <w:left w:val="none" w:sz="0" w:space="0" w:color="auto"/>
            <w:bottom w:val="none" w:sz="0" w:space="0" w:color="auto"/>
            <w:right w:val="none" w:sz="0" w:space="0" w:color="auto"/>
          </w:divBdr>
        </w:div>
        <w:div w:id="810170043">
          <w:marLeft w:val="0"/>
          <w:marRight w:val="0"/>
          <w:marTop w:val="0"/>
          <w:marBottom w:val="101"/>
          <w:divBdr>
            <w:top w:val="none" w:sz="0" w:space="0" w:color="auto"/>
            <w:left w:val="none" w:sz="0" w:space="0" w:color="auto"/>
            <w:bottom w:val="none" w:sz="0" w:space="0" w:color="auto"/>
            <w:right w:val="none" w:sz="0" w:space="0" w:color="auto"/>
          </w:divBdr>
        </w:div>
        <w:div w:id="1154106737">
          <w:marLeft w:val="0"/>
          <w:marRight w:val="0"/>
          <w:marTop w:val="0"/>
          <w:marBottom w:val="101"/>
          <w:divBdr>
            <w:top w:val="none" w:sz="0" w:space="0" w:color="auto"/>
            <w:left w:val="none" w:sz="0" w:space="0" w:color="auto"/>
            <w:bottom w:val="none" w:sz="0" w:space="0" w:color="auto"/>
            <w:right w:val="none" w:sz="0" w:space="0" w:color="auto"/>
          </w:divBdr>
        </w:div>
        <w:div w:id="344596042">
          <w:marLeft w:val="0"/>
          <w:marRight w:val="0"/>
          <w:marTop w:val="0"/>
          <w:marBottom w:val="101"/>
          <w:divBdr>
            <w:top w:val="none" w:sz="0" w:space="0" w:color="auto"/>
            <w:left w:val="none" w:sz="0" w:space="0" w:color="auto"/>
            <w:bottom w:val="none" w:sz="0" w:space="0" w:color="auto"/>
            <w:right w:val="none" w:sz="0" w:space="0" w:color="auto"/>
          </w:divBdr>
        </w:div>
        <w:div w:id="89669659">
          <w:marLeft w:val="0"/>
          <w:marRight w:val="0"/>
          <w:marTop w:val="0"/>
          <w:marBottom w:val="101"/>
          <w:divBdr>
            <w:top w:val="none" w:sz="0" w:space="0" w:color="auto"/>
            <w:left w:val="none" w:sz="0" w:space="0" w:color="auto"/>
            <w:bottom w:val="none" w:sz="0" w:space="0" w:color="auto"/>
            <w:right w:val="none" w:sz="0" w:space="0" w:color="auto"/>
          </w:divBdr>
        </w:div>
        <w:div w:id="1565414543">
          <w:marLeft w:val="0"/>
          <w:marRight w:val="0"/>
          <w:marTop w:val="0"/>
          <w:marBottom w:val="101"/>
          <w:divBdr>
            <w:top w:val="none" w:sz="0" w:space="0" w:color="auto"/>
            <w:left w:val="none" w:sz="0" w:space="0" w:color="auto"/>
            <w:bottom w:val="none" w:sz="0" w:space="0" w:color="auto"/>
            <w:right w:val="none" w:sz="0" w:space="0" w:color="auto"/>
          </w:divBdr>
        </w:div>
        <w:div w:id="224688484">
          <w:marLeft w:val="0"/>
          <w:marRight w:val="0"/>
          <w:marTop w:val="0"/>
          <w:marBottom w:val="101"/>
          <w:divBdr>
            <w:top w:val="none" w:sz="0" w:space="0" w:color="auto"/>
            <w:left w:val="none" w:sz="0" w:space="0" w:color="auto"/>
            <w:bottom w:val="none" w:sz="0" w:space="0" w:color="auto"/>
            <w:right w:val="none" w:sz="0" w:space="0" w:color="auto"/>
          </w:divBdr>
        </w:div>
        <w:div w:id="476800176">
          <w:marLeft w:val="0"/>
          <w:marRight w:val="0"/>
          <w:marTop w:val="0"/>
          <w:marBottom w:val="101"/>
          <w:divBdr>
            <w:top w:val="none" w:sz="0" w:space="0" w:color="auto"/>
            <w:left w:val="none" w:sz="0" w:space="0" w:color="auto"/>
            <w:bottom w:val="none" w:sz="0" w:space="0" w:color="auto"/>
            <w:right w:val="none" w:sz="0" w:space="0" w:color="auto"/>
          </w:divBdr>
        </w:div>
        <w:div w:id="1802726684">
          <w:marLeft w:val="0"/>
          <w:marRight w:val="0"/>
          <w:marTop w:val="0"/>
          <w:marBottom w:val="101"/>
          <w:divBdr>
            <w:top w:val="none" w:sz="0" w:space="0" w:color="auto"/>
            <w:left w:val="none" w:sz="0" w:space="0" w:color="auto"/>
            <w:bottom w:val="none" w:sz="0" w:space="0" w:color="auto"/>
            <w:right w:val="none" w:sz="0" w:space="0" w:color="auto"/>
          </w:divBdr>
        </w:div>
        <w:div w:id="2132476361">
          <w:marLeft w:val="0"/>
          <w:marRight w:val="0"/>
          <w:marTop w:val="0"/>
          <w:marBottom w:val="101"/>
          <w:divBdr>
            <w:top w:val="none" w:sz="0" w:space="0" w:color="auto"/>
            <w:left w:val="none" w:sz="0" w:space="0" w:color="auto"/>
            <w:bottom w:val="none" w:sz="0" w:space="0" w:color="auto"/>
            <w:right w:val="none" w:sz="0" w:space="0" w:color="auto"/>
          </w:divBdr>
        </w:div>
        <w:div w:id="2056268400">
          <w:marLeft w:val="0"/>
          <w:marRight w:val="0"/>
          <w:marTop w:val="0"/>
          <w:marBottom w:val="101"/>
          <w:divBdr>
            <w:top w:val="none" w:sz="0" w:space="0" w:color="auto"/>
            <w:left w:val="none" w:sz="0" w:space="0" w:color="auto"/>
            <w:bottom w:val="none" w:sz="0" w:space="0" w:color="auto"/>
            <w:right w:val="none" w:sz="0" w:space="0" w:color="auto"/>
          </w:divBdr>
        </w:div>
        <w:div w:id="522937373">
          <w:marLeft w:val="0"/>
          <w:marRight w:val="0"/>
          <w:marTop w:val="0"/>
          <w:marBottom w:val="101"/>
          <w:divBdr>
            <w:top w:val="none" w:sz="0" w:space="0" w:color="auto"/>
            <w:left w:val="none" w:sz="0" w:space="0" w:color="auto"/>
            <w:bottom w:val="none" w:sz="0" w:space="0" w:color="auto"/>
            <w:right w:val="none" w:sz="0" w:space="0" w:color="auto"/>
          </w:divBdr>
        </w:div>
        <w:div w:id="1083381994">
          <w:marLeft w:val="864"/>
          <w:marRight w:val="0"/>
          <w:marTop w:val="0"/>
          <w:marBottom w:val="101"/>
          <w:divBdr>
            <w:top w:val="none" w:sz="0" w:space="0" w:color="auto"/>
            <w:left w:val="none" w:sz="0" w:space="0" w:color="auto"/>
            <w:bottom w:val="none" w:sz="0" w:space="0" w:color="auto"/>
            <w:right w:val="none" w:sz="0" w:space="0" w:color="auto"/>
          </w:divBdr>
        </w:div>
        <w:div w:id="1726443161">
          <w:marLeft w:val="864"/>
          <w:marRight w:val="0"/>
          <w:marTop w:val="0"/>
          <w:marBottom w:val="101"/>
          <w:divBdr>
            <w:top w:val="none" w:sz="0" w:space="0" w:color="auto"/>
            <w:left w:val="none" w:sz="0" w:space="0" w:color="auto"/>
            <w:bottom w:val="none" w:sz="0" w:space="0" w:color="auto"/>
            <w:right w:val="none" w:sz="0" w:space="0" w:color="auto"/>
          </w:divBdr>
        </w:div>
        <w:div w:id="495271308">
          <w:marLeft w:val="1296"/>
          <w:marRight w:val="0"/>
          <w:marTop w:val="0"/>
          <w:marBottom w:val="101"/>
          <w:divBdr>
            <w:top w:val="none" w:sz="0" w:space="0" w:color="auto"/>
            <w:left w:val="none" w:sz="0" w:space="0" w:color="auto"/>
            <w:bottom w:val="none" w:sz="0" w:space="0" w:color="auto"/>
            <w:right w:val="none" w:sz="0" w:space="0" w:color="auto"/>
          </w:divBdr>
        </w:div>
        <w:div w:id="1361397970">
          <w:marLeft w:val="1296"/>
          <w:marRight w:val="0"/>
          <w:marTop w:val="0"/>
          <w:marBottom w:val="101"/>
          <w:divBdr>
            <w:top w:val="none" w:sz="0" w:space="0" w:color="auto"/>
            <w:left w:val="none" w:sz="0" w:space="0" w:color="auto"/>
            <w:bottom w:val="none" w:sz="0" w:space="0" w:color="auto"/>
            <w:right w:val="none" w:sz="0" w:space="0" w:color="auto"/>
          </w:divBdr>
        </w:div>
        <w:div w:id="765493023">
          <w:marLeft w:val="1296"/>
          <w:marRight w:val="0"/>
          <w:marTop w:val="0"/>
          <w:marBottom w:val="101"/>
          <w:divBdr>
            <w:top w:val="none" w:sz="0" w:space="0" w:color="auto"/>
            <w:left w:val="none" w:sz="0" w:space="0" w:color="auto"/>
            <w:bottom w:val="none" w:sz="0" w:space="0" w:color="auto"/>
            <w:right w:val="none" w:sz="0" w:space="0" w:color="auto"/>
          </w:divBdr>
        </w:div>
        <w:div w:id="126825769">
          <w:marLeft w:val="1296"/>
          <w:marRight w:val="0"/>
          <w:marTop w:val="0"/>
          <w:marBottom w:val="101"/>
          <w:divBdr>
            <w:top w:val="none" w:sz="0" w:space="0" w:color="auto"/>
            <w:left w:val="none" w:sz="0" w:space="0" w:color="auto"/>
            <w:bottom w:val="none" w:sz="0" w:space="0" w:color="auto"/>
            <w:right w:val="none" w:sz="0" w:space="0" w:color="auto"/>
          </w:divBdr>
        </w:div>
        <w:div w:id="1832139138">
          <w:marLeft w:val="864"/>
          <w:marRight w:val="0"/>
          <w:marTop w:val="0"/>
          <w:marBottom w:val="86"/>
          <w:divBdr>
            <w:top w:val="none" w:sz="0" w:space="0" w:color="auto"/>
            <w:left w:val="none" w:sz="0" w:space="0" w:color="auto"/>
            <w:bottom w:val="none" w:sz="0" w:space="0" w:color="auto"/>
            <w:right w:val="none" w:sz="0" w:space="0" w:color="auto"/>
          </w:divBdr>
        </w:div>
        <w:div w:id="1123423370">
          <w:marLeft w:val="864"/>
          <w:marRight w:val="0"/>
          <w:marTop w:val="0"/>
          <w:marBottom w:val="86"/>
          <w:divBdr>
            <w:top w:val="none" w:sz="0" w:space="0" w:color="auto"/>
            <w:left w:val="none" w:sz="0" w:space="0" w:color="auto"/>
            <w:bottom w:val="none" w:sz="0" w:space="0" w:color="auto"/>
            <w:right w:val="none" w:sz="0" w:space="0" w:color="auto"/>
          </w:divBdr>
        </w:div>
        <w:div w:id="202988352">
          <w:marLeft w:val="0"/>
          <w:marRight w:val="0"/>
          <w:marTop w:val="0"/>
          <w:marBottom w:val="86"/>
          <w:divBdr>
            <w:top w:val="none" w:sz="0" w:space="0" w:color="auto"/>
            <w:left w:val="none" w:sz="0" w:space="0" w:color="auto"/>
            <w:bottom w:val="none" w:sz="0" w:space="0" w:color="auto"/>
            <w:right w:val="none" w:sz="0" w:space="0" w:color="auto"/>
          </w:divBdr>
        </w:div>
        <w:div w:id="947278086">
          <w:marLeft w:val="0"/>
          <w:marRight w:val="0"/>
          <w:marTop w:val="0"/>
          <w:marBottom w:val="86"/>
          <w:divBdr>
            <w:top w:val="none" w:sz="0" w:space="0" w:color="auto"/>
            <w:left w:val="none" w:sz="0" w:space="0" w:color="auto"/>
            <w:bottom w:val="none" w:sz="0" w:space="0" w:color="auto"/>
            <w:right w:val="none" w:sz="0" w:space="0" w:color="auto"/>
          </w:divBdr>
        </w:div>
        <w:div w:id="1959330096">
          <w:marLeft w:val="0"/>
          <w:marRight w:val="0"/>
          <w:marTop w:val="0"/>
          <w:marBottom w:val="86"/>
          <w:divBdr>
            <w:top w:val="none" w:sz="0" w:space="0" w:color="auto"/>
            <w:left w:val="none" w:sz="0" w:space="0" w:color="auto"/>
            <w:bottom w:val="none" w:sz="0" w:space="0" w:color="auto"/>
            <w:right w:val="none" w:sz="0" w:space="0" w:color="auto"/>
          </w:divBdr>
        </w:div>
        <w:div w:id="253823163">
          <w:marLeft w:val="0"/>
          <w:marRight w:val="0"/>
          <w:marTop w:val="0"/>
          <w:marBottom w:val="86"/>
          <w:divBdr>
            <w:top w:val="none" w:sz="0" w:space="0" w:color="auto"/>
            <w:left w:val="none" w:sz="0" w:space="0" w:color="auto"/>
            <w:bottom w:val="none" w:sz="0" w:space="0" w:color="auto"/>
            <w:right w:val="none" w:sz="0" w:space="0" w:color="auto"/>
          </w:divBdr>
        </w:div>
        <w:div w:id="1807967012">
          <w:marLeft w:val="0"/>
          <w:marRight w:val="0"/>
          <w:marTop w:val="0"/>
          <w:marBottom w:val="86"/>
          <w:divBdr>
            <w:top w:val="none" w:sz="0" w:space="0" w:color="auto"/>
            <w:left w:val="none" w:sz="0" w:space="0" w:color="auto"/>
            <w:bottom w:val="none" w:sz="0" w:space="0" w:color="auto"/>
            <w:right w:val="none" w:sz="0" w:space="0" w:color="auto"/>
          </w:divBdr>
        </w:div>
        <w:div w:id="285890219">
          <w:marLeft w:val="0"/>
          <w:marRight w:val="0"/>
          <w:marTop w:val="0"/>
          <w:marBottom w:val="86"/>
          <w:divBdr>
            <w:top w:val="none" w:sz="0" w:space="0" w:color="auto"/>
            <w:left w:val="none" w:sz="0" w:space="0" w:color="auto"/>
            <w:bottom w:val="none" w:sz="0" w:space="0" w:color="auto"/>
            <w:right w:val="none" w:sz="0" w:space="0" w:color="auto"/>
          </w:divBdr>
        </w:div>
        <w:div w:id="2136948546">
          <w:marLeft w:val="0"/>
          <w:marRight w:val="0"/>
          <w:marTop w:val="0"/>
          <w:marBottom w:val="86"/>
          <w:divBdr>
            <w:top w:val="none" w:sz="0" w:space="0" w:color="auto"/>
            <w:left w:val="none" w:sz="0" w:space="0" w:color="auto"/>
            <w:bottom w:val="none" w:sz="0" w:space="0" w:color="auto"/>
            <w:right w:val="none" w:sz="0" w:space="0" w:color="auto"/>
          </w:divBdr>
        </w:div>
        <w:div w:id="1559365851">
          <w:marLeft w:val="0"/>
          <w:marRight w:val="0"/>
          <w:marTop w:val="0"/>
          <w:marBottom w:val="86"/>
          <w:divBdr>
            <w:top w:val="none" w:sz="0" w:space="0" w:color="auto"/>
            <w:left w:val="none" w:sz="0" w:space="0" w:color="auto"/>
            <w:bottom w:val="none" w:sz="0" w:space="0" w:color="auto"/>
            <w:right w:val="none" w:sz="0" w:space="0" w:color="auto"/>
          </w:divBdr>
        </w:div>
        <w:div w:id="1000080717">
          <w:marLeft w:val="864"/>
          <w:marRight w:val="0"/>
          <w:marTop w:val="0"/>
          <w:marBottom w:val="86"/>
          <w:divBdr>
            <w:top w:val="none" w:sz="0" w:space="0" w:color="auto"/>
            <w:left w:val="none" w:sz="0" w:space="0" w:color="auto"/>
            <w:bottom w:val="none" w:sz="0" w:space="0" w:color="auto"/>
            <w:right w:val="none" w:sz="0" w:space="0" w:color="auto"/>
          </w:divBdr>
        </w:div>
        <w:div w:id="1682197122">
          <w:marLeft w:val="864"/>
          <w:marRight w:val="0"/>
          <w:marTop w:val="0"/>
          <w:marBottom w:val="86"/>
          <w:divBdr>
            <w:top w:val="none" w:sz="0" w:space="0" w:color="auto"/>
            <w:left w:val="none" w:sz="0" w:space="0" w:color="auto"/>
            <w:bottom w:val="none" w:sz="0" w:space="0" w:color="auto"/>
            <w:right w:val="none" w:sz="0" w:space="0" w:color="auto"/>
          </w:divBdr>
        </w:div>
        <w:div w:id="233397070">
          <w:marLeft w:val="864"/>
          <w:marRight w:val="0"/>
          <w:marTop w:val="0"/>
          <w:marBottom w:val="86"/>
          <w:divBdr>
            <w:top w:val="none" w:sz="0" w:space="0" w:color="auto"/>
            <w:left w:val="none" w:sz="0" w:space="0" w:color="auto"/>
            <w:bottom w:val="none" w:sz="0" w:space="0" w:color="auto"/>
            <w:right w:val="none" w:sz="0" w:space="0" w:color="auto"/>
          </w:divBdr>
        </w:div>
        <w:div w:id="1525170747">
          <w:marLeft w:val="864"/>
          <w:marRight w:val="0"/>
          <w:marTop w:val="0"/>
          <w:marBottom w:val="86"/>
          <w:divBdr>
            <w:top w:val="none" w:sz="0" w:space="0" w:color="auto"/>
            <w:left w:val="none" w:sz="0" w:space="0" w:color="auto"/>
            <w:bottom w:val="none" w:sz="0" w:space="0" w:color="auto"/>
            <w:right w:val="none" w:sz="0" w:space="0" w:color="auto"/>
          </w:divBdr>
        </w:div>
        <w:div w:id="1727027439">
          <w:marLeft w:val="864"/>
          <w:marRight w:val="0"/>
          <w:marTop w:val="0"/>
          <w:marBottom w:val="86"/>
          <w:divBdr>
            <w:top w:val="none" w:sz="0" w:space="0" w:color="auto"/>
            <w:left w:val="none" w:sz="0" w:space="0" w:color="auto"/>
            <w:bottom w:val="none" w:sz="0" w:space="0" w:color="auto"/>
            <w:right w:val="none" w:sz="0" w:space="0" w:color="auto"/>
          </w:divBdr>
        </w:div>
        <w:div w:id="1498885644">
          <w:marLeft w:val="0"/>
          <w:marRight w:val="0"/>
          <w:marTop w:val="0"/>
          <w:marBottom w:val="86"/>
          <w:divBdr>
            <w:top w:val="none" w:sz="0" w:space="0" w:color="auto"/>
            <w:left w:val="none" w:sz="0" w:space="0" w:color="auto"/>
            <w:bottom w:val="none" w:sz="0" w:space="0" w:color="auto"/>
            <w:right w:val="none" w:sz="0" w:space="0" w:color="auto"/>
          </w:divBdr>
        </w:div>
        <w:div w:id="342250003">
          <w:marLeft w:val="0"/>
          <w:marRight w:val="0"/>
          <w:marTop w:val="0"/>
          <w:marBottom w:val="86"/>
          <w:divBdr>
            <w:top w:val="none" w:sz="0" w:space="0" w:color="auto"/>
            <w:left w:val="none" w:sz="0" w:space="0" w:color="auto"/>
            <w:bottom w:val="none" w:sz="0" w:space="0" w:color="auto"/>
            <w:right w:val="none" w:sz="0" w:space="0" w:color="auto"/>
          </w:divBdr>
        </w:div>
        <w:div w:id="940182531">
          <w:marLeft w:val="0"/>
          <w:marRight w:val="0"/>
          <w:marTop w:val="0"/>
          <w:marBottom w:val="86"/>
          <w:divBdr>
            <w:top w:val="none" w:sz="0" w:space="0" w:color="auto"/>
            <w:left w:val="none" w:sz="0" w:space="0" w:color="auto"/>
            <w:bottom w:val="none" w:sz="0" w:space="0" w:color="auto"/>
            <w:right w:val="none" w:sz="0" w:space="0" w:color="auto"/>
          </w:divBdr>
        </w:div>
        <w:div w:id="1542747415">
          <w:marLeft w:val="864"/>
          <w:marRight w:val="0"/>
          <w:marTop w:val="0"/>
          <w:marBottom w:val="86"/>
          <w:divBdr>
            <w:top w:val="none" w:sz="0" w:space="0" w:color="auto"/>
            <w:left w:val="none" w:sz="0" w:space="0" w:color="auto"/>
            <w:bottom w:val="none" w:sz="0" w:space="0" w:color="auto"/>
            <w:right w:val="none" w:sz="0" w:space="0" w:color="auto"/>
          </w:divBdr>
        </w:div>
        <w:div w:id="595939332">
          <w:marLeft w:val="864"/>
          <w:marRight w:val="0"/>
          <w:marTop w:val="0"/>
          <w:marBottom w:val="86"/>
          <w:divBdr>
            <w:top w:val="none" w:sz="0" w:space="0" w:color="auto"/>
            <w:left w:val="none" w:sz="0" w:space="0" w:color="auto"/>
            <w:bottom w:val="none" w:sz="0" w:space="0" w:color="auto"/>
            <w:right w:val="none" w:sz="0" w:space="0" w:color="auto"/>
          </w:divBdr>
        </w:div>
        <w:div w:id="1409502890">
          <w:marLeft w:val="864"/>
          <w:marRight w:val="0"/>
          <w:marTop w:val="0"/>
          <w:marBottom w:val="86"/>
          <w:divBdr>
            <w:top w:val="none" w:sz="0" w:space="0" w:color="auto"/>
            <w:left w:val="none" w:sz="0" w:space="0" w:color="auto"/>
            <w:bottom w:val="none" w:sz="0" w:space="0" w:color="auto"/>
            <w:right w:val="none" w:sz="0" w:space="0" w:color="auto"/>
          </w:divBdr>
        </w:div>
        <w:div w:id="1993633290">
          <w:marLeft w:val="864"/>
          <w:marRight w:val="0"/>
          <w:marTop w:val="0"/>
          <w:marBottom w:val="86"/>
          <w:divBdr>
            <w:top w:val="none" w:sz="0" w:space="0" w:color="auto"/>
            <w:left w:val="none" w:sz="0" w:space="0" w:color="auto"/>
            <w:bottom w:val="none" w:sz="0" w:space="0" w:color="auto"/>
            <w:right w:val="none" w:sz="0" w:space="0" w:color="auto"/>
          </w:divBdr>
        </w:div>
        <w:div w:id="242566071">
          <w:marLeft w:val="864"/>
          <w:marRight w:val="0"/>
          <w:marTop w:val="0"/>
          <w:marBottom w:val="86"/>
          <w:divBdr>
            <w:top w:val="none" w:sz="0" w:space="0" w:color="auto"/>
            <w:left w:val="none" w:sz="0" w:space="0" w:color="auto"/>
            <w:bottom w:val="none" w:sz="0" w:space="0" w:color="auto"/>
            <w:right w:val="none" w:sz="0" w:space="0" w:color="auto"/>
          </w:divBdr>
        </w:div>
        <w:div w:id="1568833457">
          <w:marLeft w:val="864"/>
          <w:marRight w:val="0"/>
          <w:marTop w:val="0"/>
          <w:marBottom w:val="101"/>
          <w:divBdr>
            <w:top w:val="none" w:sz="0" w:space="0" w:color="auto"/>
            <w:left w:val="none" w:sz="0" w:space="0" w:color="auto"/>
            <w:bottom w:val="none" w:sz="0" w:space="0" w:color="auto"/>
            <w:right w:val="none" w:sz="0" w:space="0" w:color="auto"/>
          </w:divBdr>
        </w:div>
        <w:div w:id="1462259642">
          <w:marLeft w:val="864"/>
          <w:marRight w:val="0"/>
          <w:marTop w:val="0"/>
          <w:marBottom w:val="101"/>
          <w:divBdr>
            <w:top w:val="none" w:sz="0" w:space="0" w:color="auto"/>
            <w:left w:val="none" w:sz="0" w:space="0" w:color="auto"/>
            <w:bottom w:val="none" w:sz="0" w:space="0" w:color="auto"/>
            <w:right w:val="none" w:sz="0" w:space="0" w:color="auto"/>
          </w:divBdr>
        </w:div>
        <w:div w:id="974604800">
          <w:marLeft w:val="864"/>
          <w:marRight w:val="0"/>
          <w:marTop w:val="0"/>
          <w:marBottom w:val="101"/>
          <w:divBdr>
            <w:top w:val="none" w:sz="0" w:space="0" w:color="auto"/>
            <w:left w:val="none" w:sz="0" w:space="0" w:color="auto"/>
            <w:bottom w:val="none" w:sz="0" w:space="0" w:color="auto"/>
            <w:right w:val="none" w:sz="0" w:space="0" w:color="auto"/>
          </w:divBdr>
        </w:div>
        <w:div w:id="2062242477">
          <w:marLeft w:val="864"/>
          <w:marRight w:val="0"/>
          <w:marTop w:val="0"/>
          <w:marBottom w:val="101"/>
          <w:divBdr>
            <w:top w:val="none" w:sz="0" w:space="0" w:color="auto"/>
            <w:left w:val="none" w:sz="0" w:space="0" w:color="auto"/>
            <w:bottom w:val="none" w:sz="0" w:space="0" w:color="auto"/>
            <w:right w:val="none" w:sz="0" w:space="0" w:color="auto"/>
          </w:divBdr>
        </w:div>
        <w:div w:id="1567256616">
          <w:marLeft w:val="0"/>
          <w:marRight w:val="0"/>
          <w:marTop w:val="0"/>
          <w:marBottom w:val="101"/>
          <w:divBdr>
            <w:top w:val="none" w:sz="0" w:space="0" w:color="auto"/>
            <w:left w:val="none" w:sz="0" w:space="0" w:color="auto"/>
            <w:bottom w:val="none" w:sz="0" w:space="0" w:color="auto"/>
            <w:right w:val="none" w:sz="0" w:space="0" w:color="auto"/>
          </w:divBdr>
        </w:div>
        <w:div w:id="1560823416">
          <w:marLeft w:val="864"/>
          <w:marRight w:val="0"/>
          <w:marTop w:val="0"/>
          <w:marBottom w:val="101"/>
          <w:divBdr>
            <w:top w:val="none" w:sz="0" w:space="0" w:color="auto"/>
            <w:left w:val="none" w:sz="0" w:space="0" w:color="auto"/>
            <w:bottom w:val="none" w:sz="0" w:space="0" w:color="auto"/>
            <w:right w:val="none" w:sz="0" w:space="0" w:color="auto"/>
          </w:divBdr>
        </w:div>
        <w:div w:id="396364825">
          <w:marLeft w:val="864"/>
          <w:marRight w:val="0"/>
          <w:marTop w:val="0"/>
          <w:marBottom w:val="101"/>
          <w:divBdr>
            <w:top w:val="none" w:sz="0" w:space="0" w:color="auto"/>
            <w:left w:val="none" w:sz="0" w:space="0" w:color="auto"/>
            <w:bottom w:val="none" w:sz="0" w:space="0" w:color="auto"/>
            <w:right w:val="none" w:sz="0" w:space="0" w:color="auto"/>
          </w:divBdr>
        </w:div>
        <w:div w:id="663898068">
          <w:marLeft w:val="864"/>
          <w:marRight w:val="0"/>
          <w:marTop w:val="0"/>
          <w:marBottom w:val="101"/>
          <w:divBdr>
            <w:top w:val="none" w:sz="0" w:space="0" w:color="auto"/>
            <w:left w:val="none" w:sz="0" w:space="0" w:color="auto"/>
            <w:bottom w:val="none" w:sz="0" w:space="0" w:color="auto"/>
            <w:right w:val="none" w:sz="0" w:space="0" w:color="auto"/>
          </w:divBdr>
        </w:div>
        <w:div w:id="899755829">
          <w:marLeft w:val="864"/>
          <w:marRight w:val="0"/>
          <w:marTop w:val="0"/>
          <w:marBottom w:val="101"/>
          <w:divBdr>
            <w:top w:val="none" w:sz="0" w:space="0" w:color="auto"/>
            <w:left w:val="none" w:sz="0" w:space="0" w:color="auto"/>
            <w:bottom w:val="none" w:sz="0" w:space="0" w:color="auto"/>
            <w:right w:val="none" w:sz="0" w:space="0" w:color="auto"/>
          </w:divBdr>
        </w:div>
        <w:div w:id="278687184">
          <w:marLeft w:val="864"/>
          <w:marRight w:val="0"/>
          <w:marTop w:val="0"/>
          <w:marBottom w:val="101"/>
          <w:divBdr>
            <w:top w:val="none" w:sz="0" w:space="0" w:color="auto"/>
            <w:left w:val="none" w:sz="0" w:space="0" w:color="auto"/>
            <w:bottom w:val="none" w:sz="0" w:space="0" w:color="auto"/>
            <w:right w:val="none" w:sz="0" w:space="0" w:color="auto"/>
          </w:divBdr>
        </w:div>
        <w:div w:id="1860507773">
          <w:marLeft w:val="864"/>
          <w:marRight w:val="0"/>
          <w:marTop w:val="0"/>
          <w:marBottom w:val="101"/>
          <w:divBdr>
            <w:top w:val="none" w:sz="0" w:space="0" w:color="auto"/>
            <w:left w:val="none" w:sz="0" w:space="0" w:color="auto"/>
            <w:bottom w:val="none" w:sz="0" w:space="0" w:color="auto"/>
            <w:right w:val="none" w:sz="0" w:space="0" w:color="auto"/>
          </w:divBdr>
        </w:div>
        <w:div w:id="212740303">
          <w:marLeft w:val="864"/>
          <w:marRight w:val="0"/>
          <w:marTop w:val="0"/>
          <w:marBottom w:val="101"/>
          <w:divBdr>
            <w:top w:val="none" w:sz="0" w:space="0" w:color="auto"/>
            <w:left w:val="none" w:sz="0" w:space="0" w:color="auto"/>
            <w:bottom w:val="none" w:sz="0" w:space="0" w:color="auto"/>
            <w:right w:val="none" w:sz="0" w:space="0" w:color="auto"/>
          </w:divBdr>
        </w:div>
        <w:div w:id="541674176">
          <w:marLeft w:val="864"/>
          <w:marRight w:val="0"/>
          <w:marTop w:val="0"/>
          <w:marBottom w:val="101"/>
          <w:divBdr>
            <w:top w:val="none" w:sz="0" w:space="0" w:color="auto"/>
            <w:left w:val="none" w:sz="0" w:space="0" w:color="auto"/>
            <w:bottom w:val="none" w:sz="0" w:space="0" w:color="auto"/>
            <w:right w:val="none" w:sz="0" w:space="0" w:color="auto"/>
          </w:divBdr>
        </w:div>
        <w:div w:id="969168282">
          <w:marLeft w:val="864"/>
          <w:marRight w:val="0"/>
          <w:marTop w:val="0"/>
          <w:marBottom w:val="101"/>
          <w:divBdr>
            <w:top w:val="none" w:sz="0" w:space="0" w:color="auto"/>
            <w:left w:val="none" w:sz="0" w:space="0" w:color="auto"/>
            <w:bottom w:val="none" w:sz="0" w:space="0" w:color="auto"/>
            <w:right w:val="none" w:sz="0" w:space="0" w:color="auto"/>
          </w:divBdr>
        </w:div>
        <w:div w:id="342173171">
          <w:marLeft w:val="864"/>
          <w:marRight w:val="0"/>
          <w:marTop w:val="0"/>
          <w:marBottom w:val="101"/>
          <w:divBdr>
            <w:top w:val="none" w:sz="0" w:space="0" w:color="auto"/>
            <w:left w:val="none" w:sz="0" w:space="0" w:color="auto"/>
            <w:bottom w:val="none" w:sz="0" w:space="0" w:color="auto"/>
            <w:right w:val="none" w:sz="0" w:space="0" w:color="auto"/>
          </w:divBdr>
        </w:div>
        <w:div w:id="7099685">
          <w:marLeft w:val="864"/>
          <w:marRight w:val="0"/>
          <w:marTop w:val="0"/>
          <w:marBottom w:val="101"/>
          <w:divBdr>
            <w:top w:val="none" w:sz="0" w:space="0" w:color="auto"/>
            <w:left w:val="none" w:sz="0" w:space="0" w:color="auto"/>
            <w:bottom w:val="none" w:sz="0" w:space="0" w:color="auto"/>
            <w:right w:val="none" w:sz="0" w:space="0" w:color="auto"/>
          </w:divBdr>
        </w:div>
        <w:div w:id="545525822">
          <w:marLeft w:val="864"/>
          <w:marRight w:val="0"/>
          <w:marTop w:val="0"/>
          <w:marBottom w:val="101"/>
          <w:divBdr>
            <w:top w:val="none" w:sz="0" w:space="0" w:color="auto"/>
            <w:left w:val="none" w:sz="0" w:space="0" w:color="auto"/>
            <w:bottom w:val="none" w:sz="0" w:space="0" w:color="auto"/>
            <w:right w:val="none" w:sz="0" w:space="0" w:color="auto"/>
          </w:divBdr>
        </w:div>
        <w:div w:id="632443588">
          <w:marLeft w:val="864"/>
          <w:marRight w:val="0"/>
          <w:marTop w:val="0"/>
          <w:marBottom w:val="101"/>
          <w:divBdr>
            <w:top w:val="none" w:sz="0" w:space="0" w:color="auto"/>
            <w:left w:val="none" w:sz="0" w:space="0" w:color="auto"/>
            <w:bottom w:val="none" w:sz="0" w:space="0" w:color="auto"/>
            <w:right w:val="none" w:sz="0" w:space="0" w:color="auto"/>
          </w:divBdr>
        </w:div>
        <w:div w:id="1136534421">
          <w:marLeft w:val="864"/>
          <w:marRight w:val="0"/>
          <w:marTop w:val="0"/>
          <w:marBottom w:val="101"/>
          <w:divBdr>
            <w:top w:val="none" w:sz="0" w:space="0" w:color="auto"/>
            <w:left w:val="none" w:sz="0" w:space="0" w:color="auto"/>
            <w:bottom w:val="none" w:sz="0" w:space="0" w:color="auto"/>
            <w:right w:val="none" w:sz="0" w:space="0" w:color="auto"/>
          </w:divBdr>
        </w:div>
        <w:div w:id="190654805">
          <w:marLeft w:val="864"/>
          <w:marRight w:val="0"/>
          <w:marTop w:val="0"/>
          <w:marBottom w:val="101"/>
          <w:divBdr>
            <w:top w:val="none" w:sz="0" w:space="0" w:color="auto"/>
            <w:left w:val="none" w:sz="0" w:space="0" w:color="auto"/>
            <w:bottom w:val="none" w:sz="0" w:space="0" w:color="auto"/>
            <w:right w:val="none" w:sz="0" w:space="0" w:color="auto"/>
          </w:divBdr>
        </w:div>
        <w:div w:id="1040666293">
          <w:marLeft w:val="864"/>
          <w:marRight w:val="0"/>
          <w:marTop w:val="0"/>
          <w:marBottom w:val="101"/>
          <w:divBdr>
            <w:top w:val="none" w:sz="0" w:space="0" w:color="auto"/>
            <w:left w:val="none" w:sz="0" w:space="0" w:color="auto"/>
            <w:bottom w:val="none" w:sz="0" w:space="0" w:color="auto"/>
            <w:right w:val="none" w:sz="0" w:space="0" w:color="auto"/>
          </w:divBdr>
        </w:div>
        <w:div w:id="116800324">
          <w:marLeft w:val="864"/>
          <w:marRight w:val="0"/>
          <w:marTop w:val="0"/>
          <w:marBottom w:val="101"/>
          <w:divBdr>
            <w:top w:val="none" w:sz="0" w:space="0" w:color="auto"/>
            <w:left w:val="none" w:sz="0" w:space="0" w:color="auto"/>
            <w:bottom w:val="none" w:sz="0" w:space="0" w:color="auto"/>
            <w:right w:val="none" w:sz="0" w:space="0" w:color="auto"/>
          </w:divBdr>
        </w:div>
        <w:div w:id="701327368">
          <w:marLeft w:val="864"/>
          <w:marRight w:val="0"/>
          <w:marTop w:val="0"/>
          <w:marBottom w:val="101"/>
          <w:divBdr>
            <w:top w:val="none" w:sz="0" w:space="0" w:color="auto"/>
            <w:left w:val="none" w:sz="0" w:space="0" w:color="auto"/>
            <w:bottom w:val="none" w:sz="0" w:space="0" w:color="auto"/>
            <w:right w:val="none" w:sz="0" w:space="0" w:color="auto"/>
          </w:divBdr>
        </w:div>
        <w:div w:id="638726643">
          <w:marLeft w:val="864"/>
          <w:marRight w:val="0"/>
          <w:marTop w:val="0"/>
          <w:marBottom w:val="101"/>
          <w:divBdr>
            <w:top w:val="none" w:sz="0" w:space="0" w:color="auto"/>
            <w:left w:val="none" w:sz="0" w:space="0" w:color="auto"/>
            <w:bottom w:val="none" w:sz="0" w:space="0" w:color="auto"/>
            <w:right w:val="none" w:sz="0" w:space="0" w:color="auto"/>
          </w:divBdr>
        </w:div>
        <w:div w:id="1221096228">
          <w:marLeft w:val="864"/>
          <w:marRight w:val="0"/>
          <w:marTop w:val="0"/>
          <w:marBottom w:val="101"/>
          <w:divBdr>
            <w:top w:val="none" w:sz="0" w:space="0" w:color="auto"/>
            <w:left w:val="none" w:sz="0" w:space="0" w:color="auto"/>
            <w:bottom w:val="none" w:sz="0" w:space="0" w:color="auto"/>
            <w:right w:val="none" w:sz="0" w:space="0" w:color="auto"/>
          </w:divBdr>
        </w:div>
        <w:div w:id="1242518713">
          <w:marLeft w:val="864"/>
          <w:marRight w:val="0"/>
          <w:marTop w:val="0"/>
          <w:marBottom w:val="101"/>
          <w:divBdr>
            <w:top w:val="none" w:sz="0" w:space="0" w:color="auto"/>
            <w:left w:val="none" w:sz="0" w:space="0" w:color="auto"/>
            <w:bottom w:val="none" w:sz="0" w:space="0" w:color="auto"/>
            <w:right w:val="none" w:sz="0" w:space="0" w:color="auto"/>
          </w:divBdr>
        </w:div>
        <w:div w:id="1739091329">
          <w:marLeft w:val="864"/>
          <w:marRight w:val="0"/>
          <w:marTop w:val="0"/>
          <w:marBottom w:val="101"/>
          <w:divBdr>
            <w:top w:val="none" w:sz="0" w:space="0" w:color="auto"/>
            <w:left w:val="none" w:sz="0" w:space="0" w:color="auto"/>
            <w:bottom w:val="none" w:sz="0" w:space="0" w:color="auto"/>
            <w:right w:val="none" w:sz="0" w:space="0" w:color="auto"/>
          </w:divBdr>
        </w:div>
        <w:div w:id="301348721">
          <w:marLeft w:val="0"/>
          <w:marRight w:val="0"/>
          <w:marTop w:val="0"/>
          <w:marBottom w:val="101"/>
          <w:divBdr>
            <w:top w:val="none" w:sz="0" w:space="0" w:color="auto"/>
            <w:left w:val="none" w:sz="0" w:space="0" w:color="auto"/>
            <w:bottom w:val="none" w:sz="0" w:space="0" w:color="auto"/>
            <w:right w:val="none" w:sz="0" w:space="0" w:color="auto"/>
          </w:divBdr>
        </w:div>
        <w:div w:id="260528254">
          <w:marLeft w:val="0"/>
          <w:marRight w:val="0"/>
          <w:marTop w:val="0"/>
          <w:marBottom w:val="101"/>
          <w:divBdr>
            <w:top w:val="none" w:sz="0" w:space="0" w:color="auto"/>
            <w:left w:val="none" w:sz="0" w:space="0" w:color="auto"/>
            <w:bottom w:val="none" w:sz="0" w:space="0" w:color="auto"/>
            <w:right w:val="none" w:sz="0" w:space="0" w:color="auto"/>
          </w:divBdr>
        </w:div>
        <w:div w:id="1872112310">
          <w:marLeft w:val="0"/>
          <w:marRight w:val="0"/>
          <w:marTop w:val="0"/>
          <w:marBottom w:val="101"/>
          <w:divBdr>
            <w:top w:val="none" w:sz="0" w:space="0" w:color="auto"/>
            <w:left w:val="none" w:sz="0" w:space="0" w:color="auto"/>
            <w:bottom w:val="none" w:sz="0" w:space="0" w:color="auto"/>
            <w:right w:val="none" w:sz="0" w:space="0" w:color="auto"/>
          </w:divBdr>
        </w:div>
        <w:div w:id="313720960">
          <w:marLeft w:val="0"/>
          <w:marRight w:val="0"/>
          <w:marTop w:val="0"/>
          <w:marBottom w:val="101"/>
          <w:divBdr>
            <w:top w:val="none" w:sz="0" w:space="0" w:color="auto"/>
            <w:left w:val="none" w:sz="0" w:space="0" w:color="auto"/>
            <w:bottom w:val="none" w:sz="0" w:space="0" w:color="auto"/>
            <w:right w:val="none" w:sz="0" w:space="0" w:color="auto"/>
          </w:divBdr>
        </w:div>
        <w:div w:id="609895751">
          <w:marLeft w:val="0"/>
          <w:marRight w:val="0"/>
          <w:marTop w:val="0"/>
          <w:marBottom w:val="101"/>
          <w:divBdr>
            <w:top w:val="none" w:sz="0" w:space="0" w:color="auto"/>
            <w:left w:val="none" w:sz="0" w:space="0" w:color="auto"/>
            <w:bottom w:val="none" w:sz="0" w:space="0" w:color="auto"/>
            <w:right w:val="none" w:sz="0" w:space="0" w:color="auto"/>
          </w:divBdr>
        </w:div>
        <w:div w:id="1254318652">
          <w:marLeft w:val="0"/>
          <w:marRight w:val="0"/>
          <w:marTop w:val="0"/>
          <w:marBottom w:val="101"/>
          <w:divBdr>
            <w:top w:val="none" w:sz="0" w:space="0" w:color="auto"/>
            <w:left w:val="none" w:sz="0" w:space="0" w:color="auto"/>
            <w:bottom w:val="none" w:sz="0" w:space="0" w:color="auto"/>
            <w:right w:val="none" w:sz="0" w:space="0" w:color="auto"/>
          </w:divBdr>
        </w:div>
        <w:div w:id="821119037">
          <w:marLeft w:val="0"/>
          <w:marRight w:val="0"/>
          <w:marTop w:val="0"/>
          <w:marBottom w:val="101"/>
          <w:divBdr>
            <w:top w:val="none" w:sz="0" w:space="0" w:color="auto"/>
            <w:left w:val="none" w:sz="0" w:space="0" w:color="auto"/>
            <w:bottom w:val="none" w:sz="0" w:space="0" w:color="auto"/>
            <w:right w:val="none" w:sz="0" w:space="0" w:color="auto"/>
          </w:divBdr>
        </w:div>
        <w:div w:id="1876430889">
          <w:marLeft w:val="0"/>
          <w:marRight w:val="0"/>
          <w:marTop w:val="0"/>
          <w:marBottom w:val="101"/>
          <w:divBdr>
            <w:top w:val="none" w:sz="0" w:space="0" w:color="auto"/>
            <w:left w:val="none" w:sz="0" w:space="0" w:color="auto"/>
            <w:bottom w:val="none" w:sz="0" w:space="0" w:color="auto"/>
            <w:right w:val="none" w:sz="0" w:space="0" w:color="auto"/>
          </w:divBdr>
        </w:div>
        <w:div w:id="23017174">
          <w:marLeft w:val="0"/>
          <w:marRight w:val="0"/>
          <w:marTop w:val="0"/>
          <w:marBottom w:val="101"/>
          <w:divBdr>
            <w:top w:val="none" w:sz="0" w:space="0" w:color="auto"/>
            <w:left w:val="none" w:sz="0" w:space="0" w:color="auto"/>
            <w:bottom w:val="none" w:sz="0" w:space="0" w:color="auto"/>
            <w:right w:val="none" w:sz="0" w:space="0" w:color="auto"/>
          </w:divBdr>
        </w:div>
        <w:div w:id="1382903555">
          <w:marLeft w:val="0"/>
          <w:marRight w:val="0"/>
          <w:marTop w:val="0"/>
          <w:marBottom w:val="101"/>
          <w:divBdr>
            <w:top w:val="none" w:sz="0" w:space="0" w:color="auto"/>
            <w:left w:val="none" w:sz="0" w:space="0" w:color="auto"/>
            <w:bottom w:val="none" w:sz="0" w:space="0" w:color="auto"/>
            <w:right w:val="none" w:sz="0" w:space="0" w:color="auto"/>
          </w:divBdr>
        </w:div>
        <w:div w:id="1923754312">
          <w:marLeft w:val="0"/>
          <w:marRight w:val="0"/>
          <w:marTop w:val="0"/>
          <w:marBottom w:val="101"/>
          <w:divBdr>
            <w:top w:val="none" w:sz="0" w:space="0" w:color="auto"/>
            <w:left w:val="none" w:sz="0" w:space="0" w:color="auto"/>
            <w:bottom w:val="none" w:sz="0" w:space="0" w:color="auto"/>
            <w:right w:val="none" w:sz="0" w:space="0" w:color="auto"/>
          </w:divBdr>
        </w:div>
        <w:div w:id="1091781103">
          <w:marLeft w:val="0"/>
          <w:marRight w:val="0"/>
          <w:marTop w:val="0"/>
          <w:marBottom w:val="101"/>
          <w:divBdr>
            <w:top w:val="none" w:sz="0" w:space="0" w:color="auto"/>
            <w:left w:val="none" w:sz="0" w:space="0" w:color="auto"/>
            <w:bottom w:val="none" w:sz="0" w:space="0" w:color="auto"/>
            <w:right w:val="none" w:sz="0" w:space="0" w:color="auto"/>
          </w:divBdr>
        </w:div>
        <w:div w:id="333075244">
          <w:marLeft w:val="0"/>
          <w:marRight w:val="0"/>
          <w:marTop w:val="0"/>
          <w:marBottom w:val="101"/>
          <w:divBdr>
            <w:top w:val="none" w:sz="0" w:space="0" w:color="auto"/>
            <w:left w:val="none" w:sz="0" w:space="0" w:color="auto"/>
            <w:bottom w:val="none" w:sz="0" w:space="0" w:color="auto"/>
            <w:right w:val="none" w:sz="0" w:space="0" w:color="auto"/>
          </w:divBdr>
        </w:div>
        <w:div w:id="1581064954">
          <w:marLeft w:val="864"/>
          <w:marRight w:val="0"/>
          <w:marTop w:val="0"/>
          <w:marBottom w:val="101"/>
          <w:divBdr>
            <w:top w:val="none" w:sz="0" w:space="0" w:color="auto"/>
            <w:left w:val="none" w:sz="0" w:space="0" w:color="auto"/>
            <w:bottom w:val="none" w:sz="0" w:space="0" w:color="auto"/>
            <w:right w:val="none" w:sz="0" w:space="0" w:color="auto"/>
          </w:divBdr>
        </w:div>
        <w:div w:id="1592857497">
          <w:marLeft w:val="864"/>
          <w:marRight w:val="0"/>
          <w:marTop w:val="0"/>
          <w:marBottom w:val="101"/>
          <w:divBdr>
            <w:top w:val="none" w:sz="0" w:space="0" w:color="auto"/>
            <w:left w:val="none" w:sz="0" w:space="0" w:color="auto"/>
            <w:bottom w:val="none" w:sz="0" w:space="0" w:color="auto"/>
            <w:right w:val="none" w:sz="0" w:space="0" w:color="auto"/>
          </w:divBdr>
        </w:div>
        <w:div w:id="1887641904">
          <w:marLeft w:val="864"/>
          <w:marRight w:val="0"/>
          <w:marTop w:val="0"/>
          <w:marBottom w:val="101"/>
          <w:divBdr>
            <w:top w:val="none" w:sz="0" w:space="0" w:color="auto"/>
            <w:left w:val="none" w:sz="0" w:space="0" w:color="auto"/>
            <w:bottom w:val="none" w:sz="0" w:space="0" w:color="auto"/>
            <w:right w:val="none" w:sz="0" w:space="0" w:color="auto"/>
          </w:divBdr>
        </w:div>
        <w:div w:id="846673042">
          <w:marLeft w:val="864"/>
          <w:marRight w:val="0"/>
          <w:marTop w:val="0"/>
          <w:marBottom w:val="101"/>
          <w:divBdr>
            <w:top w:val="none" w:sz="0" w:space="0" w:color="auto"/>
            <w:left w:val="none" w:sz="0" w:space="0" w:color="auto"/>
            <w:bottom w:val="none" w:sz="0" w:space="0" w:color="auto"/>
            <w:right w:val="none" w:sz="0" w:space="0" w:color="auto"/>
          </w:divBdr>
        </w:div>
        <w:div w:id="1255898714">
          <w:marLeft w:val="864"/>
          <w:marRight w:val="0"/>
          <w:marTop w:val="0"/>
          <w:marBottom w:val="101"/>
          <w:divBdr>
            <w:top w:val="none" w:sz="0" w:space="0" w:color="auto"/>
            <w:left w:val="none" w:sz="0" w:space="0" w:color="auto"/>
            <w:bottom w:val="none" w:sz="0" w:space="0" w:color="auto"/>
            <w:right w:val="none" w:sz="0" w:space="0" w:color="auto"/>
          </w:divBdr>
        </w:div>
        <w:div w:id="2039548140">
          <w:marLeft w:val="0"/>
          <w:marRight w:val="0"/>
          <w:marTop w:val="0"/>
          <w:marBottom w:val="101"/>
          <w:divBdr>
            <w:top w:val="none" w:sz="0" w:space="0" w:color="auto"/>
            <w:left w:val="none" w:sz="0" w:space="0" w:color="auto"/>
            <w:bottom w:val="none" w:sz="0" w:space="0" w:color="auto"/>
            <w:right w:val="none" w:sz="0" w:space="0" w:color="auto"/>
          </w:divBdr>
        </w:div>
        <w:div w:id="1479833820">
          <w:marLeft w:val="0"/>
          <w:marRight w:val="0"/>
          <w:marTop w:val="0"/>
          <w:marBottom w:val="101"/>
          <w:divBdr>
            <w:top w:val="none" w:sz="0" w:space="0" w:color="auto"/>
            <w:left w:val="none" w:sz="0" w:space="0" w:color="auto"/>
            <w:bottom w:val="none" w:sz="0" w:space="0" w:color="auto"/>
            <w:right w:val="none" w:sz="0" w:space="0" w:color="auto"/>
          </w:divBdr>
        </w:div>
        <w:div w:id="1308782774">
          <w:marLeft w:val="0"/>
          <w:marRight w:val="0"/>
          <w:marTop w:val="0"/>
          <w:marBottom w:val="101"/>
          <w:divBdr>
            <w:top w:val="none" w:sz="0" w:space="0" w:color="auto"/>
            <w:left w:val="none" w:sz="0" w:space="0" w:color="auto"/>
            <w:bottom w:val="none" w:sz="0" w:space="0" w:color="auto"/>
            <w:right w:val="none" w:sz="0" w:space="0" w:color="auto"/>
          </w:divBdr>
        </w:div>
        <w:div w:id="364989139">
          <w:marLeft w:val="0"/>
          <w:marRight w:val="0"/>
          <w:marTop w:val="0"/>
          <w:marBottom w:val="101"/>
          <w:divBdr>
            <w:top w:val="none" w:sz="0" w:space="0" w:color="auto"/>
            <w:left w:val="none" w:sz="0" w:space="0" w:color="auto"/>
            <w:bottom w:val="none" w:sz="0" w:space="0" w:color="auto"/>
            <w:right w:val="none" w:sz="0" w:space="0" w:color="auto"/>
          </w:divBdr>
        </w:div>
        <w:div w:id="535511597">
          <w:marLeft w:val="0"/>
          <w:marRight w:val="0"/>
          <w:marTop w:val="0"/>
          <w:marBottom w:val="101"/>
          <w:divBdr>
            <w:top w:val="none" w:sz="0" w:space="0" w:color="auto"/>
            <w:left w:val="none" w:sz="0" w:space="0" w:color="auto"/>
            <w:bottom w:val="none" w:sz="0" w:space="0" w:color="auto"/>
            <w:right w:val="none" w:sz="0" w:space="0" w:color="auto"/>
          </w:divBdr>
        </w:div>
        <w:div w:id="1640725716">
          <w:marLeft w:val="0"/>
          <w:marRight w:val="0"/>
          <w:marTop w:val="0"/>
          <w:marBottom w:val="101"/>
          <w:divBdr>
            <w:top w:val="none" w:sz="0" w:space="0" w:color="auto"/>
            <w:left w:val="none" w:sz="0" w:space="0" w:color="auto"/>
            <w:bottom w:val="none" w:sz="0" w:space="0" w:color="auto"/>
            <w:right w:val="none" w:sz="0" w:space="0" w:color="auto"/>
          </w:divBdr>
        </w:div>
        <w:div w:id="70474179">
          <w:marLeft w:val="0"/>
          <w:marRight w:val="0"/>
          <w:marTop w:val="0"/>
          <w:marBottom w:val="101"/>
          <w:divBdr>
            <w:top w:val="none" w:sz="0" w:space="0" w:color="auto"/>
            <w:left w:val="none" w:sz="0" w:space="0" w:color="auto"/>
            <w:bottom w:val="none" w:sz="0" w:space="0" w:color="auto"/>
            <w:right w:val="none" w:sz="0" w:space="0" w:color="auto"/>
          </w:divBdr>
        </w:div>
        <w:div w:id="892888317">
          <w:marLeft w:val="0"/>
          <w:marRight w:val="0"/>
          <w:marTop w:val="0"/>
          <w:marBottom w:val="96"/>
          <w:divBdr>
            <w:top w:val="none" w:sz="0" w:space="0" w:color="auto"/>
            <w:left w:val="none" w:sz="0" w:space="0" w:color="auto"/>
            <w:bottom w:val="none" w:sz="0" w:space="0" w:color="auto"/>
            <w:right w:val="none" w:sz="0" w:space="0" w:color="auto"/>
          </w:divBdr>
        </w:div>
        <w:div w:id="1396123209">
          <w:marLeft w:val="0"/>
          <w:marRight w:val="0"/>
          <w:marTop w:val="0"/>
          <w:marBottom w:val="96"/>
          <w:divBdr>
            <w:top w:val="none" w:sz="0" w:space="0" w:color="auto"/>
            <w:left w:val="none" w:sz="0" w:space="0" w:color="auto"/>
            <w:bottom w:val="none" w:sz="0" w:space="0" w:color="auto"/>
            <w:right w:val="none" w:sz="0" w:space="0" w:color="auto"/>
          </w:divBdr>
        </w:div>
        <w:div w:id="1313413409">
          <w:marLeft w:val="0"/>
          <w:marRight w:val="0"/>
          <w:marTop w:val="0"/>
          <w:marBottom w:val="96"/>
          <w:divBdr>
            <w:top w:val="none" w:sz="0" w:space="0" w:color="auto"/>
            <w:left w:val="none" w:sz="0" w:space="0" w:color="auto"/>
            <w:bottom w:val="none" w:sz="0" w:space="0" w:color="auto"/>
            <w:right w:val="none" w:sz="0" w:space="0" w:color="auto"/>
          </w:divBdr>
        </w:div>
        <w:div w:id="660282030">
          <w:marLeft w:val="0"/>
          <w:marRight w:val="0"/>
          <w:marTop w:val="0"/>
          <w:marBottom w:val="96"/>
          <w:divBdr>
            <w:top w:val="none" w:sz="0" w:space="0" w:color="auto"/>
            <w:left w:val="none" w:sz="0" w:space="0" w:color="auto"/>
            <w:bottom w:val="none" w:sz="0" w:space="0" w:color="auto"/>
            <w:right w:val="none" w:sz="0" w:space="0" w:color="auto"/>
          </w:divBdr>
        </w:div>
        <w:div w:id="334039788">
          <w:marLeft w:val="0"/>
          <w:marRight w:val="0"/>
          <w:marTop w:val="0"/>
          <w:marBottom w:val="96"/>
          <w:divBdr>
            <w:top w:val="none" w:sz="0" w:space="0" w:color="auto"/>
            <w:left w:val="none" w:sz="0" w:space="0" w:color="auto"/>
            <w:bottom w:val="none" w:sz="0" w:space="0" w:color="auto"/>
            <w:right w:val="none" w:sz="0" w:space="0" w:color="auto"/>
          </w:divBdr>
        </w:div>
        <w:div w:id="433332567">
          <w:marLeft w:val="0"/>
          <w:marRight w:val="0"/>
          <w:marTop w:val="0"/>
          <w:marBottom w:val="96"/>
          <w:divBdr>
            <w:top w:val="none" w:sz="0" w:space="0" w:color="auto"/>
            <w:left w:val="none" w:sz="0" w:space="0" w:color="auto"/>
            <w:bottom w:val="none" w:sz="0" w:space="0" w:color="auto"/>
            <w:right w:val="none" w:sz="0" w:space="0" w:color="auto"/>
          </w:divBdr>
        </w:div>
        <w:div w:id="155920375">
          <w:marLeft w:val="864"/>
          <w:marRight w:val="0"/>
          <w:marTop w:val="0"/>
          <w:marBottom w:val="96"/>
          <w:divBdr>
            <w:top w:val="none" w:sz="0" w:space="0" w:color="auto"/>
            <w:left w:val="none" w:sz="0" w:space="0" w:color="auto"/>
            <w:bottom w:val="none" w:sz="0" w:space="0" w:color="auto"/>
            <w:right w:val="none" w:sz="0" w:space="0" w:color="auto"/>
          </w:divBdr>
        </w:div>
        <w:div w:id="1103111513">
          <w:marLeft w:val="0"/>
          <w:marRight w:val="0"/>
          <w:marTop w:val="0"/>
          <w:marBottom w:val="96"/>
          <w:divBdr>
            <w:top w:val="none" w:sz="0" w:space="0" w:color="auto"/>
            <w:left w:val="none" w:sz="0" w:space="0" w:color="auto"/>
            <w:bottom w:val="none" w:sz="0" w:space="0" w:color="auto"/>
            <w:right w:val="none" w:sz="0" w:space="0" w:color="auto"/>
          </w:divBdr>
        </w:div>
        <w:div w:id="1557204523">
          <w:marLeft w:val="0"/>
          <w:marRight w:val="0"/>
          <w:marTop w:val="0"/>
          <w:marBottom w:val="96"/>
          <w:divBdr>
            <w:top w:val="none" w:sz="0" w:space="0" w:color="auto"/>
            <w:left w:val="none" w:sz="0" w:space="0" w:color="auto"/>
            <w:bottom w:val="none" w:sz="0" w:space="0" w:color="auto"/>
            <w:right w:val="none" w:sz="0" w:space="0" w:color="auto"/>
          </w:divBdr>
        </w:div>
        <w:div w:id="509612316">
          <w:marLeft w:val="0"/>
          <w:marRight w:val="0"/>
          <w:marTop w:val="0"/>
          <w:marBottom w:val="96"/>
          <w:divBdr>
            <w:top w:val="none" w:sz="0" w:space="0" w:color="auto"/>
            <w:left w:val="none" w:sz="0" w:space="0" w:color="auto"/>
            <w:bottom w:val="none" w:sz="0" w:space="0" w:color="auto"/>
            <w:right w:val="none" w:sz="0" w:space="0" w:color="auto"/>
          </w:divBdr>
        </w:div>
        <w:div w:id="2082562924">
          <w:marLeft w:val="0"/>
          <w:marRight w:val="0"/>
          <w:marTop w:val="0"/>
          <w:marBottom w:val="96"/>
          <w:divBdr>
            <w:top w:val="none" w:sz="0" w:space="0" w:color="auto"/>
            <w:left w:val="none" w:sz="0" w:space="0" w:color="auto"/>
            <w:bottom w:val="none" w:sz="0" w:space="0" w:color="auto"/>
            <w:right w:val="none" w:sz="0" w:space="0" w:color="auto"/>
          </w:divBdr>
        </w:div>
        <w:div w:id="1485002688">
          <w:marLeft w:val="0"/>
          <w:marRight w:val="0"/>
          <w:marTop w:val="0"/>
          <w:marBottom w:val="96"/>
          <w:divBdr>
            <w:top w:val="none" w:sz="0" w:space="0" w:color="auto"/>
            <w:left w:val="none" w:sz="0" w:space="0" w:color="auto"/>
            <w:bottom w:val="none" w:sz="0" w:space="0" w:color="auto"/>
            <w:right w:val="none" w:sz="0" w:space="0" w:color="auto"/>
          </w:divBdr>
        </w:div>
        <w:div w:id="261032331">
          <w:marLeft w:val="0"/>
          <w:marRight w:val="0"/>
          <w:marTop w:val="0"/>
          <w:marBottom w:val="96"/>
          <w:divBdr>
            <w:top w:val="none" w:sz="0" w:space="0" w:color="auto"/>
            <w:left w:val="none" w:sz="0" w:space="0" w:color="auto"/>
            <w:bottom w:val="none" w:sz="0" w:space="0" w:color="auto"/>
            <w:right w:val="none" w:sz="0" w:space="0" w:color="auto"/>
          </w:divBdr>
        </w:div>
        <w:div w:id="829567312">
          <w:marLeft w:val="0"/>
          <w:marRight w:val="0"/>
          <w:marTop w:val="0"/>
          <w:marBottom w:val="96"/>
          <w:divBdr>
            <w:top w:val="none" w:sz="0" w:space="0" w:color="auto"/>
            <w:left w:val="none" w:sz="0" w:space="0" w:color="auto"/>
            <w:bottom w:val="none" w:sz="0" w:space="0" w:color="auto"/>
            <w:right w:val="none" w:sz="0" w:space="0" w:color="auto"/>
          </w:divBdr>
        </w:div>
        <w:div w:id="1355612391">
          <w:marLeft w:val="0"/>
          <w:marRight w:val="0"/>
          <w:marTop w:val="0"/>
          <w:marBottom w:val="96"/>
          <w:divBdr>
            <w:top w:val="none" w:sz="0" w:space="0" w:color="auto"/>
            <w:left w:val="none" w:sz="0" w:space="0" w:color="auto"/>
            <w:bottom w:val="none" w:sz="0" w:space="0" w:color="auto"/>
            <w:right w:val="none" w:sz="0" w:space="0" w:color="auto"/>
          </w:divBdr>
        </w:div>
        <w:div w:id="934359750">
          <w:marLeft w:val="0"/>
          <w:marRight w:val="0"/>
          <w:marTop w:val="0"/>
          <w:marBottom w:val="96"/>
          <w:divBdr>
            <w:top w:val="none" w:sz="0" w:space="0" w:color="auto"/>
            <w:left w:val="none" w:sz="0" w:space="0" w:color="auto"/>
            <w:bottom w:val="none" w:sz="0" w:space="0" w:color="auto"/>
            <w:right w:val="none" w:sz="0" w:space="0" w:color="auto"/>
          </w:divBdr>
        </w:div>
        <w:div w:id="2059208664">
          <w:marLeft w:val="0"/>
          <w:marRight w:val="0"/>
          <w:marTop w:val="0"/>
          <w:marBottom w:val="96"/>
          <w:divBdr>
            <w:top w:val="none" w:sz="0" w:space="0" w:color="auto"/>
            <w:left w:val="none" w:sz="0" w:space="0" w:color="auto"/>
            <w:bottom w:val="none" w:sz="0" w:space="0" w:color="auto"/>
            <w:right w:val="none" w:sz="0" w:space="0" w:color="auto"/>
          </w:divBdr>
        </w:div>
        <w:div w:id="2034190711">
          <w:marLeft w:val="0"/>
          <w:marRight w:val="0"/>
          <w:marTop w:val="0"/>
          <w:marBottom w:val="96"/>
          <w:divBdr>
            <w:top w:val="none" w:sz="0" w:space="0" w:color="auto"/>
            <w:left w:val="none" w:sz="0" w:space="0" w:color="auto"/>
            <w:bottom w:val="none" w:sz="0" w:space="0" w:color="auto"/>
            <w:right w:val="none" w:sz="0" w:space="0" w:color="auto"/>
          </w:divBdr>
        </w:div>
        <w:div w:id="2014137955">
          <w:marLeft w:val="0"/>
          <w:marRight w:val="0"/>
          <w:marTop w:val="0"/>
          <w:marBottom w:val="96"/>
          <w:divBdr>
            <w:top w:val="none" w:sz="0" w:space="0" w:color="auto"/>
            <w:left w:val="none" w:sz="0" w:space="0" w:color="auto"/>
            <w:bottom w:val="none" w:sz="0" w:space="0" w:color="auto"/>
            <w:right w:val="none" w:sz="0" w:space="0" w:color="auto"/>
          </w:divBdr>
        </w:div>
        <w:div w:id="1226795657">
          <w:marLeft w:val="0"/>
          <w:marRight w:val="0"/>
          <w:marTop w:val="0"/>
          <w:marBottom w:val="96"/>
          <w:divBdr>
            <w:top w:val="none" w:sz="0" w:space="0" w:color="auto"/>
            <w:left w:val="none" w:sz="0" w:space="0" w:color="auto"/>
            <w:bottom w:val="none" w:sz="0" w:space="0" w:color="auto"/>
            <w:right w:val="none" w:sz="0" w:space="0" w:color="auto"/>
          </w:divBdr>
        </w:div>
        <w:div w:id="699279058">
          <w:marLeft w:val="0"/>
          <w:marRight w:val="0"/>
          <w:marTop w:val="0"/>
          <w:marBottom w:val="96"/>
          <w:divBdr>
            <w:top w:val="none" w:sz="0" w:space="0" w:color="auto"/>
            <w:left w:val="none" w:sz="0" w:space="0" w:color="auto"/>
            <w:bottom w:val="none" w:sz="0" w:space="0" w:color="auto"/>
            <w:right w:val="none" w:sz="0" w:space="0" w:color="auto"/>
          </w:divBdr>
        </w:div>
        <w:div w:id="1533113446">
          <w:marLeft w:val="0"/>
          <w:marRight w:val="0"/>
          <w:marTop w:val="0"/>
          <w:marBottom w:val="96"/>
          <w:divBdr>
            <w:top w:val="none" w:sz="0" w:space="0" w:color="auto"/>
            <w:left w:val="none" w:sz="0" w:space="0" w:color="auto"/>
            <w:bottom w:val="none" w:sz="0" w:space="0" w:color="auto"/>
            <w:right w:val="none" w:sz="0" w:space="0" w:color="auto"/>
          </w:divBdr>
        </w:div>
        <w:div w:id="491483248">
          <w:marLeft w:val="0"/>
          <w:marRight w:val="0"/>
          <w:marTop w:val="0"/>
          <w:marBottom w:val="96"/>
          <w:divBdr>
            <w:top w:val="none" w:sz="0" w:space="0" w:color="auto"/>
            <w:left w:val="none" w:sz="0" w:space="0" w:color="auto"/>
            <w:bottom w:val="none" w:sz="0" w:space="0" w:color="auto"/>
            <w:right w:val="none" w:sz="0" w:space="0" w:color="auto"/>
          </w:divBdr>
        </w:div>
        <w:div w:id="256066261">
          <w:marLeft w:val="864"/>
          <w:marRight w:val="0"/>
          <w:marTop w:val="0"/>
          <w:marBottom w:val="96"/>
          <w:divBdr>
            <w:top w:val="none" w:sz="0" w:space="0" w:color="auto"/>
            <w:left w:val="none" w:sz="0" w:space="0" w:color="auto"/>
            <w:bottom w:val="none" w:sz="0" w:space="0" w:color="auto"/>
            <w:right w:val="none" w:sz="0" w:space="0" w:color="auto"/>
          </w:divBdr>
        </w:div>
        <w:div w:id="1877308831">
          <w:marLeft w:val="0"/>
          <w:marRight w:val="0"/>
          <w:marTop w:val="0"/>
          <w:marBottom w:val="101"/>
          <w:divBdr>
            <w:top w:val="none" w:sz="0" w:space="0" w:color="auto"/>
            <w:left w:val="none" w:sz="0" w:space="0" w:color="auto"/>
            <w:bottom w:val="none" w:sz="0" w:space="0" w:color="auto"/>
            <w:right w:val="none" w:sz="0" w:space="0" w:color="auto"/>
          </w:divBdr>
        </w:div>
        <w:div w:id="1830511242">
          <w:marLeft w:val="0"/>
          <w:marRight w:val="0"/>
          <w:marTop w:val="0"/>
          <w:marBottom w:val="101"/>
          <w:divBdr>
            <w:top w:val="none" w:sz="0" w:space="0" w:color="auto"/>
            <w:left w:val="none" w:sz="0" w:space="0" w:color="auto"/>
            <w:bottom w:val="none" w:sz="0" w:space="0" w:color="auto"/>
            <w:right w:val="none" w:sz="0" w:space="0" w:color="auto"/>
          </w:divBdr>
        </w:div>
        <w:div w:id="1932736195">
          <w:marLeft w:val="0"/>
          <w:marRight w:val="0"/>
          <w:marTop w:val="0"/>
          <w:marBottom w:val="101"/>
          <w:divBdr>
            <w:top w:val="none" w:sz="0" w:space="0" w:color="auto"/>
            <w:left w:val="none" w:sz="0" w:space="0" w:color="auto"/>
            <w:bottom w:val="none" w:sz="0" w:space="0" w:color="auto"/>
            <w:right w:val="none" w:sz="0" w:space="0" w:color="auto"/>
          </w:divBdr>
        </w:div>
        <w:div w:id="1984265162">
          <w:marLeft w:val="0"/>
          <w:marRight w:val="0"/>
          <w:marTop w:val="0"/>
          <w:marBottom w:val="101"/>
          <w:divBdr>
            <w:top w:val="none" w:sz="0" w:space="0" w:color="auto"/>
            <w:left w:val="none" w:sz="0" w:space="0" w:color="auto"/>
            <w:bottom w:val="none" w:sz="0" w:space="0" w:color="auto"/>
            <w:right w:val="none" w:sz="0" w:space="0" w:color="auto"/>
          </w:divBdr>
        </w:div>
        <w:div w:id="778379893">
          <w:marLeft w:val="0"/>
          <w:marRight w:val="0"/>
          <w:marTop w:val="0"/>
          <w:marBottom w:val="101"/>
          <w:divBdr>
            <w:top w:val="none" w:sz="0" w:space="0" w:color="auto"/>
            <w:left w:val="none" w:sz="0" w:space="0" w:color="auto"/>
            <w:bottom w:val="none" w:sz="0" w:space="0" w:color="auto"/>
            <w:right w:val="none" w:sz="0" w:space="0" w:color="auto"/>
          </w:divBdr>
        </w:div>
        <w:div w:id="1959994319">
          <w:marLeft w:val="0"/>
          <w:marRight w:val="0"/>
          <w:marTop w:val="0"/>
          <w:marBottom w:val="101"/>
          <w:divBdr>
            <w:top w:val="none" w:sz="0" w:space="0" w:color="auto"/>
            <w:left w:val="none" w:sz="0" w:space="0" w:color="auto"/>
            <w:bottom w:val="none" w:sz="0" w:space="0" w:color="auto"/>
            <w:right w:val="none" w:sz="0" w:space="0" w:color="auto"/>
          </w:divBdr>
        </w:div>
        <w:div w:id="1259950488">
          <w:marLeft w:val="0"/>
          <w:marRight w:val="0"/>
          <w:marTop w:val="0"/>
          <w:marBottom w:val="101"/>
          <w:divBdr>
            <w:top w:val="none" w:sz="0" w:space="0" w:color="auto"/>
            <w:left w:val="none" w:sz="0" w:space="0" w:color="auto"/>
            <w:bottom w:val="none" w:sz="0" w:space="0" w:color="auto"/>
            <w:right w:val="none" w:sz="0" w:space="0" w:color="auto"/>
          </w:divBdr>
        </w:div>
        <w:div w:id="1261719669">
          <w:marLeft w:val="0"/>
          <w:marRight w:val="0"/>
          <w:marTop w:val="0"/>
          <w:marBottom w:val="101"/>
          <w:divBdr>
            <w:top w:val="none" w:sz="0" w:space="0" w:color="auto"/>
            <w:left w:val="none" w:sz="0" w:space="0" w:color="auto"/>
            <w:bottom w:val="none" w:sz="0" w:space="0" w:color="auto"/>
            <w:right w:val="none" w:sz="0" w:space="0" w:color="auto"/>
          </w:divBdr>
        </w:div>
        <w:div w:id="1132748224">
          <w:marLeft w:val="0"/>
          <w:marRight w:val="0"/>
          <w:marTop w:val="0"/>
          <w:marBottom w:val="101"/>
          <w:divBdr>
            <w:top w:val="none" w:sz="0" w:space="0" w:color="auto"/>
            <w:left w:val="none" w:sz="0" w:space="0" w:color="auto"/>
            <w:bottom w:val="none" w:sz="0" w:space="0" w:color="auto"/>
            <w:right w:val="none" w:sz="0" w:space="0" w:color="auto"/>
          </w:divBdr>
        </w:div>
        <w:div w:id="918635697">
          <w:marLeft w:val="0"/>
          <w:marRight w:val="0"/>
          <w:marTop w:val="0"/>
          <w:marBottom w:val="101"/>
          <w:divBdr>
            <w:top w:val="none" w:sz="0" w:space="0" w:color="auto"/>
            <w:left w:val="none" w:sz="0" w:space="0" w:color="auto"/>
            <w:bottom w:val="none" w:sz="0" w:space="0" w:color="auto"/>
            <w:right w:val="none" w:sz="0" w:space="0" w:color="auto"/>
          </w:divBdr>
        </w:div>
        <w:div w:id="960107179">
          <w:marLeft w:val="864"/>
          <w:marRight w:val="0"/>
          <w:marTop w:val="0"/>
          <w:marBottom w:val="101"/>
          <w:divBdr>
            <w:top w:val="none" w:sz="0" w:space="0" w:color="auto"/>
            <w:left w:val="none" w:sz="0" w:space="0" w:color="auto"/>
            <w:bottom w:val="none" w:sz="0" w:space="0" w:color="auto"/>
            <w:right w:val="none" w:sz="0" w:space="0" w:color="auto"/>
          </w:divBdr>
        </w:div>
        <w:div w:id="638648915">
          <w:marLeft w:val="864"/>
          <w:marRight w:val="0"/>
          <w:marTop w:val="0"/>
          <w:marBottom w:val="101"/>
          <w:divBdr>
            <w:top w:val="none" w:sz="0" w:space="0" w:color="auto"/>
            <w:left w:val="none" w:sz="0" w:space="0" w:color="auto"/>
            <w:bottom w:val="none" w:sz="0" w:space="0" w:color="auto"/>
            <w:right w:val="none" w:sz="0" w:space="0" w:color="auto"/>
          </w:divBdr>
        </w:div>
        <w:div w:id="677927733">
          <w:marLeft w:val="0"/>
          <w:marRight w:val="0"/>
          <w:marTop w:val="40"/>
          <w:marBottom w:val="40"/>
          <w:divBdr>
            <w:top w:val="none" w:sz="0" w:space="0" w:color="auto"/>
            <w:left w:val="none" w:sz="0" w:space="0" w:color="auto"/>
            <w:bottom w:val="none" w:sz="0" w:space="0" w:color="auto"/>
            <w:right w:val="none" w:sz="0" w:space="0" w:color="auto"/>
          </w:divBdr>
        </w:div>
        <w:div w:id="444427796">
          <w:marLeft w:val="0"/>
          <w:marRight w:val="0"/>
          <w:marTop w:val="40"/>
          <w:marBottom w:val="40"/>
          <w:divBdr>
            <w:top w:val="none" w:sz="0" w:space="0" w:color="auto"/>
            <w:left w:val="none" w:sz="0" w:space="0" w:color="auto"/>
            <w:bottom w:val="none" w:sz="0" w:space="0" w:color="auto"/>
            <w:right w:val="none" w:sz="0" w:space="0" w:color="auto"/>
          </w:divBdr>
        </w:div>
        <w:div w:id="211618393">
          <w:marLeft w:val="0"/>
          <w:marRight w:val="0"/>
          <w:marTop w:val="40"/>
          <w:marBottom w:val="40"/>
          <w:divBdr>
            <w:top w:val="none" w:sz="0" w:space="0" w:color="auto"/>
            <w:left w:val="none" w:sz="0" w:space="0" w:color="auto"/>
            <w:bottom w:val="none" w:sz="0" w:space="0" w:color="auto"/>
            <w:right w:val="none" w:sz="0" w:space="0" w:color="auto"/>
          </w:divBdr>
        </w:div>
        <w:div w:id="2025398901">
          <w:marLeft w:val="0"/>
          <w:marRight w:val="0"/>
          <w:marTop w:val="40"/>
          <w:marBottom w:val="40"/>
          <w:divBdr>
            <w:top w:val="none" w:sz="0" w:space="0" w:color="auto"/>
            <w:left w:val="none" w:sz="0" w:space="0" w:color="auto"/>
            <w:bottom w:val="none" w:sz="0" w:space="0" w:color="auto"/>
            <w:right w:val="none" w:sz="0" w:space="0" w:color="auto"/>
          </w:divBdr>
        </w:div>
        <w:div w:id="98912477">
          <w:marLeft w:val="0"/>
          <w:marRight w:val="0"/>
          <w:marTop w:val="40"/>
          <w:marBottom w:val="40"/>
          <w:divBdr>
            <w:top w:val="none" w:sz="0" w:space="0" w:color="auto"/>
            <w:left w:val="none" w:sz="0" w:space="0" w:color="auto"/>
            <w:bottom w:val="none" w:sz="0" w:space="0" w:color="auto"/>
            <w:right w:val="none" w:sz="0" w:space="0" w:color="auto"/>
          </w:divBdr>
        </w:div>
        <w:div w:id="1530027774">
          <w:marLeft w:val="0"/>
          <w:marRight w:val="0"/>
          <w:marTop w:val="40"/>
          <w:marBottom w:val="40"/>
          <w:divBdr>
            <w:top w:val="none" w:sz="0" w:space="0" w:color="auto"/>
            <w:left w:val="none" w:sz="0" w:space="0" w:color="auto"/>
            <w:bottom w:val="none" w:sz="0" w:space="0" w:color="auto"/>
            <w:right w:val="none" w:sz="0" w:space="0" w:color="auto"/>
          </w:divBdr>
        </w:div>
        <w:div w:id="1308362693">
          <w:marLeft w:val="0"/>
          <w:marRight w:val="0"/>
          <w:marTop w:val="40"/>
          <w:marBottom w:val="40"/>
          <w:divBdr>
            <w:top w:val="none" w:sz="0" w:space="0" w:color="auto"/>
            <w:left w:val="none" w:sz="0" w:space="0" w:color="auto"/>
            <w:bottom w:val="none" w:sz="0" w:space="0" w:color="auto"/>
            <w:right w:val="none" w:sz="0" w:space="0" w:color="auto"/>
          </w:divBdr>
        </w:div>
        <w:div w:id="359549861">
          <w:marLeft w:val="0"/>
          <w:marRight w:val="0"/>
          <w:marTop w:val="40"/>
          <w:marBottom w:val="40"/>
          <w:divBdr>
            <w:top w:val="none" w:sz="0" w:space="0" w:color="auto"/>
            <w:left w:val="none" w:sz="0" w:space="0" w:color="auto"/>
            <w:bottom w:val="none" w:sz="0" w:space="0" w:color="auto"/>
            <w:right w:val="none" w:sz="0" w:space="0" w:color="auto"/>
          </w:divBdr>
        </w:div>
        <w:div w:id="581837839">
          <w:marLeft w:val="0"/>
          <w:marRight w:val="0"/>
          <w:marTop w:val="40"/>
          <w:marBottom w:val="40"/>
          <w:divBdr>
            <w:top w:val="none" w:sz="0" w:space="0" w:color="auto"/>
            <w:left w:val="none" w:sz="0" w:space="0" w:color="auto"/>
            <w:bottom w:val="none" w:sz="0" w:space="0" w:color="auto"/>
            <w:right w:val="none" w:sz="0" w:space="0" w:color="auto"/>
          </w:divBdr>
        </w:div>
        <w:div w:id="1448350159">
          <w:marLeft w:val="0"/>
          <w:marRight w:val="0"/>
          <w:marTop w:val="40"/>
          <w:marBottom w:val="40"/>
          <w:divBdr>
            <w:top w:val="none" w:sz="0" w:space="0" w:color="auto"/>
            <w:left w:val="none" w:sz="0" w:space="0" w:color="auto"/>
            <w:bottom w:val="none" w:sz="0" w:space="0" w:color="auto"/>
            <w:right w:val="none" w:sz="0" w:space="0" w:color="auto"/>
          </w:divBdr>
        </w:div>
        <w:div w:id="361172391">
          <w:marLeft w:val="864"/>
          <w:marRight w:val="0"/>
          <w:marTop w:val="0"/>
          <w:marBottom w:val="101"/>
          <w:divBdr>
            <w:top w:val="none" w:sz="0" w:space="0" w:color="auto"/>
            <w:left w:val="none" w:sz="0" w:space="0" w:color="auto"/>
            <w:bottom w:val="none" w:sz="0" w:space="0" w:color="auto"/>
            <w:right w:val="none" w:sz="0" w:space="0" w:color="auto"/>
          </w:divBdr>
        </w:div>
        <w:div w:id="1350065742">
          <w:marLeft w:val="0"/>
          <w:marRight w:val="0"/>
          <w:marTop w:val="40"/>
          <w:marBottom w:val="40"/>
          <w:divBdr>
            <w:top w:val="none" w:sz="0" w:space="0" w:color="auto"/>
            <w:left w:val="none" w:sz="0" w:space="0" w:color="auto"/>
            <w:bottom w:val="none" w:sz="0" w:space="0" w:color="auto"/>
            <w:right w:val="none" w:sz="0" w:space="0" w:color="auto"/>
          </w:divBdr>
        </w:div>
        <w:div w:id="1738431861">
          <w:marLeft w:val="0"/>
          <w:marRight w:val="0"/>
          <w:marTop w:val="40"/>
          <w:marBottom w:val="40"/>
          <w:divBdr>
            <w:top w:val="none" w:sz="0" w:space="0" w:color="auto"/>
            <w:left w:val="none" w:sz="0" w:space="0" w:color="auto"/>
            <w:bottom w:val="none" w:sz="0" w:space="0" w:color="auto"/>
            <w:right w:val="none" w:sz="0" w:space="0" w:color="auto"/>
          </w:divBdr>
        </w:div>
        <w:div w:id="1700350961">
          <w:marLeft w:val="0"/>
          <w:marRight w:val="0"/>
          <w:marTop w:val="40"/>
          <w:marBottom w:val="40"/>
          <w:divBdr>
            <w:top w:val="none" w:sz="0" w:space="0" w:color="auto"/>
            <w:left w:val="none" w:sz="0" w:space="0" w:color="auto"/>
            <w:bottom w:val="none" w:sz="0" w:space="0" w:color="auto"/>
            <w:right w:val="none" w:sz="0" w:space="0" w:color="auto"/>
          </w:divBdr>
        </w:div>
        <w:div w:id="71123894">
          <w:marLeft w:val="0"/>
          <w:marRight w:val="0"/>
          <w:marTop w:val="40"/>
          <w:marBottom w:val="40"/>
          <w:divBdr>
            <w:top w:val="none" w:sz="0" w:space="0" w:color="auto"/>
            <w:left w:val="none" w:sz="0" w:space="0" w:color="auto"/>
            <w:bottom w:val="none" w:sz="0" w:space="0" w:color="auto"/>
            <w:right w:val="none" w:sz="0" w:space="0" w:color="auto"/>
          </w:divBdr>
        </w:div>
        <w:div w:id="1039279279">
          <w:marLeft w:val="0"/>
          <w:marRight w:val="0"/>
          <w:marTop w:val="40"/>
          <w:marBottom w:val="40"/>
          <w:divBdr>
            <w:top w:val="none" w:sz="0" w:space="0" w:color="auto"/>
            <w:left w:val="none" w:sz="0" w:space="0" w:color="auto"/>
            <w:bottom w:val="none" w:sz="0" w:space="0" w:color="auto"/>
            <w:right w:val="none" w:sz="0" w:space="0" w:color="auto"/>
          </w:divBdr>
        </w:div>
        <w:div w:id="1883131702">
          <w:marLeft w:val="0"/>
          <w:marRight w:val="0"/>
          <w:marTop w:val="40"/>
          <w:marBottom w:val="40"/>
          <w:divBdr>
            <w:top w:val="none" w:sz="0" w:space="0" w:color="auto"/>
            <w:left w:val="none" w:sz="0" w:space="0" w:color="auto"/>
            <w:bottom w:val="none" w:sz="0" w:space="0" w:color="auto"/>
            <w:right w:val="none" w:sz="0" w:space="0" w:color="auto"/>
          </w:divBdr>
        </w:div>
        <w:div w:id="1515075932">
          <w:marLeft w:val="0"/>
          <w:marRight w:val="0"/>
          <w:marTop w:val="40"/>
          <w:marBottom w:val="40"/>
          <w:divBdr>
            <w:top w:val="none" w:sz="0" w:space="0" w:color="auto"/>
            <w:left w:val="none" w:sz="0" w:space="0" w:color="auto"/>
            <w:bottom w:val="none" w:sz="0" w:space="0" w:color="auto"/>
            <w:right w:val="none" w:sz="0" w:space="0" w:color="auto"/>
          </w:divBdr>
        </w:div>
        <w:div w:id="321198498">
          <w:marLeft w:val="0"/>
          <w:marRight w:val="0"/>
          <w:marTop w:val="40"/>
          <w:marBottom w:val="40"/>
          <w:divBdr>
            <w:top w:val="none" w:sz="0" w:space="0" w:color="auto"/>
            <w:left w:val="none" w:sz="0" w:space="0" w:color="auto"/>
            <w:bottom w:val="none" w:sz="0" w:space="0" w:color="auto"/>
            <w:right w:val="none" w:sz="0" w:space="0" w:color="auto"/>
          </w:divBdr>
        </w:div>
        <w:div w:id="1949122371">
          <w:marLeft w:val="0"/>
          <w:marRight w:val="0"/>
          <w:marTop w:val="40"/>
          <w:marBottom w:val="40"/>
          <w:divBdr>
            <w:top w:val="none" w:sz="0" w:space="0" w:color="auto"/>
            <w:left w:val="none" w:sz="0" w:space="0" w:color="auto"/>
            <w:bottom w:val="none" w:sz="0" w:space="0" w:color="auto"/>
            <w:right w:val="none" w:sz="0" w:space="0" w:color="auto"/>
          </w:divBdr>
        </w:div>
        <w:div w:id="72750425">
          <w:marLeft w:val="0"/>
          <w:marRight w:val="0"/>
          <w:marTop w:val="40"/>
          <w:marBottom w:val="40"/>
          <w:divBdr>
            <w:top w:val="none" w:sz="0" w:space="0" w:color="auto"/>
            <w:left w:val="none" w:sz="0" w:space="0" w:color="auto"/>
            <w:bottom w:val="none" w:sz="0" w:space="0" w:color="auto"/>
            <w:right w:val="none" w:sz="0" w:space="0" w:color="auto"/>
          </w:divBdr>
        </w:div>
        <w:div w:id="63113755">
          <w:marLeft w:val="0"/>
          <w:marRight w:val="0"/>
          <w:marTop w:val="40"/>
          <w:marBottom w:val="40"/>
          <w:divBdr>
            <w:top w:val="none" w:sz="0" w:space="0" w:color="auto"/>
            <w:left w:val="none" w:sz="0" w:space="0" w:color="auto"/>
            <w:bottom w:val="none" w:sz="0" w:space="0" w:color="auto"/>
            <w:right w:val="none" w:sz="0" w:space="0" w:color="auto"/>
          </w:divBdr>
        </w:div>
        <w:div w:id="809860006">
          <w:marLeft w:val="0"/>
          <w:marRight w:val="0"/>
          <w:marTop w:val="40"/>
          <w:marBottom w:val="40"/>
          <w:divBdr>
            <w:top w:val="none" w:sz="0" w:space="0" w:color="auto"/>
            <w:left w:val="none" w:sz="0" w:space="0" w:color="auto"/>
            <w:bottom w:val="none" w:sz="0" w:space="0" w:color="auto"/>
            <w:right w:val="none" w:sz="0" w:space="0" w:color="auto"/>
          </w:divBdr>
        </w:div>
        <w:div w:id="777985765">
          <w:marLeft w:val="0"/>
          <w:marRight w:val="0"/>
          <w:marTop w:val="40"/>
          <w:marBottom w:val="40"/>
          <w:divBdr>
            <w:top w:val="none" w:sz="0" w:space="0" w:color="auto"/>
            <w:left w:val="none" w:sz="0" w:space="0" w:color="auto"/>
            <w:bottom w:val="none" w:sz="0" w:space="0" w:color="auto"/>
            <w:right w:val="none" w:sz="0" w:space="0" w:color="auto"/>
          </w:divBdr>
        </w:div>
        <w:div w:id="1225415319">
          <w:marLeft w:val="0"/>
          <w:marRight w:val="0"/>
          <w:marTop w:val="40"/>
          <w:marBottom w:val="40"/>
          <w:divBdr>
            <w:top w:val="none" w:sz="0" w:space="0" w:color="auto"/>
            <w:left w:val="none" w:sz="0" w:space="0" w:color="auto"/>
            <w:bottom w:val="none" w:sz="0" w:space="0" w:color="auto"/>
            <w:right w:val="none" w:sz="0" w:space="0" w:color="auto"/>
          </w:divBdr>
        </w:div>
        <w:div w:id="1698118193">
          <w:marLeft w:val="0"/>
          <w:marRight w:val="0"/>
          <w:marTop w:val="0"/>
          <w:marBottom w:val="86"/>
          <w:divBdr>
            <w:top w:val="none" w:sz="0" w:space="0" w:color="auto"/>
            <w:left w:val="none" w:sz="0" w:space="0" w:color="auto"/>
            <w:bottom w:val="none" w:sz="0" w:space="0" w:color="auto"/>
            <w:right w:val="none" w:sz="0" w:space="0" w:color="auto"/>
          </w:divBdr>
        </w:div>
        <w:div w:id="111486839">
          <w:marLeft w:val="0"/>
          <w:marRight w:val="0"/>
          <w:marTop w:val="0"/>
          <w:marBottom w:val="86"/>
          <w:divBdr>
            <w:top w:val="none" w:sz="0" w:space="0" w:color="auto"/>
            <w:left w:val="none" w:sz="0" w:space="0" w:color="auto"/>
            <w:bottom w:val="none" w:sz="0" w:space="0" w:color="auto"/>
            <w:right w:val="none" w:sz="0" w:space="0" w:color="auto"/>
          </w:divBdr>
        </w:div>
        <w:div w:id="209999943">
          <w:marLeft w:val="0"/>
          <w:marRight w:val="0"/>
          <w:marTop w:val="0"/>
          <w:marBottom w:val="86"/>
          <w:divBdr>
            <w:top w:val="none" w:sz="0" w:space="0" w:color="auto"/>
            <w:left w:val="none" w:sz="0" w:space="0" w:color="auto"/>
            <w:bottom w:val="none" w:sz="0" w:space="0" w:color="auto"/>
            <w:right w:val="none" w:sz="0" w:space="0" w:color="auto"/>
          </w:divBdr>
        </w:div>
        <w:div w:id="1153788310">
          <w:marLeft w:val="864"/>
          <w:marRight w:val="0"/>
          <w:marTop w:val="0"/>
          <w:marBottom w:val="86"/>
          <w:divBdr>
            <w:top w:val="none" w:sz="0" w:space="0" w:color="auto"/>
            <w:left w:val="none" w:sz="0" w:space="0" w:color="auto"/>
            <w:bottom w:val="none" w:sz="0" w:space="0" w:color="auto"/>
            <w:right w:val="none" w:sz="0" w:space="0" w:color="auto"/>
          </w:divBdr>
        </w:div>
        <w:div w:id="899250015">
          <w:marLeft w:val="864"/>
          <w:marRight w:val="0"/>
          <w:marTop w:val="0"/>
          <w:marBottom w:val="86"/>
          <w:divBdr>
            <w:top w:val="none" w:sz="0" w:space="0" w:color="auto"/>
            <w:left w:val="none" w:sz="0" w:space="0" w:color="auto"/>
            <w:bottom w:val="none" w:sz="0" w:space="0" w:color="auto"/>
            <w:right w:val="none" w:sz="0" w:space="0" w:color="auto"/>
          </w:divBdr>
        </w:div>
        <w:div w:id="819883817">
          <w:marLeft w:val="864"/>
          <w:marRight w:val="0"/>
          <w:marTop w:val="0"/>
          <w:marBottom w:val="86"/>
          <w:divBdr>
            <w:top w:val="none" w:sz="0" w:space="0" w:color="auto"/>
            <w:left w:val="none" w:sz="0" w:space="0" w:color="auto"/>
            <w:bottom w:val="none" w:sz="0" w:space="0" w:color="auto"/>
            <w:right w:val="none" w:sz="0" w:space="0" w:color="auto"/>
          </w:divBdr>
        </w:div>
        <w:div w:id="833109486">
          <w:marLeft w:val="0"/>
          <w:marRight w:val="0"/>
          <w:marTop w:val="0"/>
          <w:marBottom w:val="86"/>
          <w:divBdr>
            <w:top w:val="none" w:sz="0" w:space="0" w:color="auto"/>
            <w:left w:val="none" w:sz="0" w:space="0" w:color="auto"/>
            <w:bottom w:val="none" w:sz="0" w:space="0" w:color="auto"/>
            <w:right w:val="none" w:sz="0" w:space="0" w:color="auto"/>
          </w:divBdr>
        </w:div>
        <w:div w:id="1613049307">
          <w:marLeft w:val="864"/>
          <w:marRight w:val="0"/>
          <w:marTop w:val="0"/>
          <w:marBottom w:val="86"/>
          <w:divBdr>
            <w:top w:val="none" w:sz="0" w:space="0" w:color="auto"/>
            <w:left w:val="none" w:sz="0" w:space="0" w:color="auto"/>
            <w:bottom w:val="none" w:sz="0" w:space="0" w:color="auto"/>
            <w:right w:val="none" w:sz="0" w:space="0" w:color="auto"/>
          </w:divBdr>
        </w:div>
        <w:div w:id="1282146611">
          <w:marLeft w:val="864"/>
          <w:marRight w:val="0"/>
          <w:marTop w:val="0"/>
          <w:marBottom w:val="86"/>
          <w:divBdr>
            <w:top w:val="none" w:sz="0" w:space="0" w:color="auto"/>
            <w:left w:val="none" w:sz="0" w:space="0" w:color="auto"/>
            <w:bottom w:val="none" w:sz="0" w:space="0" w:color="auto"/>
            <w:right w:val="none" w:sz="0" w:space="0" w:color="auto"/>
          </w:divBdr>
        </w:div>
        <w:div w:id="2074228423">
          <w:marLeft w:val="864"/>
          <w:marRight w:val="0"/>
          <w:marTop w:val="0"/>
          <w:marBottom w:val="101"/>
          <w:divBdr>
            <w:top w:val="none" w:sz="0" w:space="0" w:color="auto"/>
            <w:left w:val="none" w:sz="0" w:space="0" w:color="auto"/>
            <w:bottom w:val="none" w:sz="0" w:space="0" w:color="auto"/>
            <w:right w:val="none" w:sz="0" w:space="0" w:color="auto"/>
          </w:divBdr>
        </w:div>
        <w:div w:id="2066374050">
          <w:marLeft w:val="864"/>
          <w:marRight w:val="0"/>
          <w:marTop w:val="0"/>
          <w:marBottom w:val="101"/>
          <w:divBdr>
            <w:top w:val="none" w:sz="0" w:space="0" w:color="auto"/>
            <w:left w:val="none" w:sz="0" w:space="0" w:color="auto"/>
            <w:bottom w:val="none" w:sz="0" w:space="0" w:color="auto"/>
            <w:right w:val="none" w:sz="0" w:space="0" w:color="auto"/>
          </w:divBdr>
        </w:div>
        <w:div w:id="997459630">
          <w:marLeft w:val="864"/>
          <w:marRight w:val="0"/>
          <w:marTop w:val="0"/>
          <w:marBottom w:val="101"/>
          <w:divBdr>
            <w:top w:val="none" w:sz="0" w:space="0" w:color="auto"/>
            <w:left w:val="none" w:sz="0" w:space="0" w:color="auto"/>
            <w:bottom w:val="none" w:sz="0" w:space="0" w:color="auto"/>
            <w:right w:val="none" w:sz="0" w:space="0" w:color="auto"/>
          </w:divBdr>
        </w:div>
        <w:div w:id="1469974722">
          <w:marLeft w:val="864"/>
          <w:marRight w:val="0"/>
          <w:marTop w:val="0"/>
          <w:marBottom w:val="101"/>
          <w:divBdr>
            <w:top w:val="none" w:sz="0" w:space="0" w:color="auto"/>
            <w:left w:val="none" w:sz="0" w:space="0" w:color="auto"/>
            <w:bottom w:val="none" w:sz="0" w:space="0" w:color="auto"/>
            <w:right w:val="none" w:sz="0" w:space="0" w:color="auto"/>
          </w:divBdr>
        </w:div>
        <w:div w:id="2117825566">
          <w:marLeft w:val="0"/>
          <w:marRight w:val="0"/>
          <w:marTop w:val="0"/>
          <w:marBottom w:val="101"/>
          <w:divBdr>
            <w:top w:val="none" w:sz="0" w:space="0" w:color="auto"/>
            <w:left w:val="none" w:sz="0" w:space="0" w:color="auto"/>
            <w:bottom w:val="none" w:sz="0" w:space="0" w:color="auto"/>
            <w:right w:val="none" w:sz="0" w:space="0" w:color="auto"/>
          </w:divBdr>
        </w:div>
        <w:div w:id="1532256773">
          <w:marLeft w:val="0"/>
          <w:marRight w:val="0"/>
          <w:marTop w:val="0"/>
          <w:marBottom w:val="101"/>
          <w:divBdr>
            <w:top w:val="none" w:sz="0" w:space="0" w:color="auto"/>
            <w:left w:val="none" w:sz="0" w:space="0" w:color="auto"/>
            <w:bottom w:val="none" w:sz="0" w:space="0" w:color="auto"/>
            <w:right w:val="none" w:sz="0" w:space="0" w:color="auto"/>
          </w:divBdr>
        </w:div>
        <w:div w:id="68890155">
          <w:marLeft w:val="0"/>
          <w:marRight w:val="0"/>
          <w:marTop w:val="0"/>
          <w:marBottom w:val="101"/>
          <w:divBdr>
            <w:top w:val="none" w:sz="0" w:space="0" w:color="auto"/>
            <w:left w:val="none" w:sz="0" w:space="0" w:color="auto"/>
            <w:bottom w:val="none" w:sz="0" w:space="0" w:color="auto"/>
            <w:right w:val="none" w:sz="0" w:space="0" w:color="auto"/>
          </w:divBdr>
        </w:div>
        <w:div w:id="1286739516">
          <w:marLeft w:val="864"/>
          <w:marRight w:val="0"/>
          <w:marTop w:val="0"/>
          <w:marBottom w:val="101"/>
          <w:divBdr>
            <w:top w:val="none" w:sz="0" w:space="0" w:color="auto"/>
            <w:left w:val="none" w:sz="0" w:space="0" w:color="auto"/>
            <w:bottom w:val="none" w:sz="0" w:space="0" w:color="auto"/>
            <w:right w:val="none" w:sz="0" w:space="0" w:color="auto"/>
          </w:divBdr>
        </w:div>
        <w:div w:id="261685521">
          <w:marLeft w:val="864"/>
          <w:marRight w:val="0"/>
          <w:marTop w:val="0"/>
          <w:marBottom w:val="101"/>
          <w:divBdr>
            <w:top w:val="none" w:sz="0" w:space="0" w:color="auto"/>
            <w:left w:val="none" w:sz="0" w:space="0" w:color="auto"/>
            <w:bottom w:val="none" w:sz="0" w:space="0" w:color="auto"/>
            <w:right w:val="none" w:sz="0" w:space="0" w:color="auto"/>
          </w:divBdr>
        </w:div>
        <w:div w:id="32771263">
          <w:marLeft w:val="864"/>
          <w:marRight w:val="0"/>
          <w:marTop w:val="0"/>
          <w:marBottom w:val="101"/>
          <w:divBdr>
            <w:top w:val="none" w:sz="0" w:space="0" w:color="auto"/>
            <w:left w:val="none" w:sz="0" w:space="0" w:color="auto"/>
            <w:bottom w:val="none" w:sz="0" w:space="0" w:color="auto"/>
            <w:right w:val="none" w:sz="0" w:space="0" w:color="auto"/>
          </w:divBdr>
        </w:div>
        <w:div w:id="270088176">
          <w:marLeft w:val="864"/>
          <w:marRight w:val="0"/>
          <w:marTop w:val="0"/>
          <w:marBottom w:val="101"/>
          <w:divBdr>
            <w:top w:val="none" w:sz="0" w:space="0" w:color="auto"/>
            <w:left w:val="none" w:sz="0" w:space="0" w:color="auto"/>
            <w:bottom w:val="none" w:sz="0" w:space="0" w:color="auto"/>
            <w:right w:val="none" w:sz="0" w:space="0" w:color="auto"/>
          </w:divBdr>
        </w:div>
        <w:div w:id="305664943">
          <w:marLeft w:val="864"/>
          <w:marRight w:val="0"/>
          <w:marTop w:val="0"/>
          <w:marBottom w:val="101"/>
          <w:divBdr>
            <w:top w:val="none" w:sz="0" w:space="0" w:color="auto"/>
            <w:left w:val="none" w:sz="0" w:space="0" w:color="auto"/>
            <w:bottom w:val="none" w:sz="0" w:space="0" w:color="auto"/>
            <w:right w:val="none" w:sz="0" w:space="0" w:color="auto"/>
          </w:divBdr>
        </w:div>
        <w:div w:id="762804325">
          <w:marLeft w:val="864"/>
          <w:marRight w:val="0"/>
          <w:marTop w:val="0"/>
          <w:marBottom w:val="101"/>
          <w:divBdr>
            <w:top w:val="none" w:sz="0" w:space="0" w:color="auto"/>
            <w:left w:val="none" w:sz="0" w:space="0" w:color="auto"/>
            <w:bottom w:val="none" w:sz="0" w:space="0" w:color="auto"/>
            <w:right w:val="none" w:sz="0" w:space="0" w:color="auto"/>
          </w:divBdr>
        </w:div>
        <w:div w:id="1503621678">
          <w:marLeft w:val="0"/>
          <w:marRight w:val="0"/>
          <w:marTop w:val="0"/>
          <w:marBottom w:val="101"/>
          <w:divBdr>
            <w:top w:val="none" w:sz="0" w:space="0" w:color="auto"/>
            <w:left w:val="none" w:sz="0" w:space="0" w:color="auto"/>
            <w:bottom w:val="none" w:sz="0" w:space="0" w:color="auto"/>
            <w:right w:val="none" w:sz="0" w:space="0" w:color="auto"/>
          </w:divBdr>
        </w:div>
        <w:div w:id="1928148155">
          <w:marLeft w:val="0"/>
          <w:marRight w:val="0"/>
          <w:marTop w:val="0"/>
          <w:marBottom w:val="94"/>
          <w:divBdr>
            <w:top w:val="none" w:sz="0" w:space="0" w:color="auto"/>
            <w:left w:val="none" w:sz="0" w:space="0" w:color="auto"/>
            <w:bottom w:val="none" w:sz="0" w:space="0" w:color="auto"/>
            <w:right w:val="none" w:sz="0" w:space="0" w:color="auto"/>
          </w:divBdr>
        </w:div>
        <w:div w:id="1968927819">
          <w:marLeft w:val="0"/>
          <w:marRight w:val="0"/>
          <w:marTop w:val="0"/>
          <w:marBottom w:val="94"/>
          <w:divBdr>
            <w:top w:val="none" w:sz="0" w:space="0" w:color="auto"/>
            <w:left w:val="none" w:sz="0" w:space="0" w:color="auto"/>
            <w:bottom w:val="none" w:sz="0" w:space="0" w:color="auto"/>
            <w:right w:val="none" w:sz="0" w:space="0" w:color="auto"/>
          </w:divBdr>
        </w:div>
        <w:div w:id="212888841">
          <w:marLeft w:val="0"/>
          <w:marRight w:val="0"/>
          <w:marTop w:val="0"/>
          <w:marBottom w:val="94"/>
          <w:divBdr>
            <w:top w:val="none" w:sz="0" w:space="0" w:color="auto"/>
            <w:left w:val="none" w:sz="0" w:space="0" w:color="auto"/>
            <w:bottom w:val="none" w:sz="0" w:space="0" w:color="auto"/>
            <w:right w:val="none" w:sz="0" w:space="0" w:color="auto"/>
          </w:divBdr>
        </w:div>
        <w:div w:id="445394503">
          <w:marLeft w:val="0"/>
          <w:marRight w:val="0"/>
          <w:marTop w:val="0"/>
          <w:marBottom w:val="94"/>
          <w:divBdr>
            <w:top w:val="none" w:sz="0" w:space="0" w:color="auto"/>
            <w:left w:val="none" w:sz="0" w:space="0" w:color="auto"/>
            <w:bottom w:val="none" w:sz="0" w:space="0" w:color="auto"/>
            <w:right w:val="none" w:sz="0" w:space="0" w:color="auto"/>
          </w:divBdr>
        </w:div>
        <w:div w:id="1826507643">
          <w:marLeft w:val="0"/>
          <w:marRight w:val="0"/>
          <w:marTop w:val="0"/>
          <w:marBottom w:val="94"/>
          <w:divBdr>
            <w:top w:val="none" w:sz="0" w:space="0" w:color="auto"/>
            <w:left w:val="none" w:sz="0" w:space="0" w:color="auto"/>
            <w:bottom w:val="none" w:sz="0" w:space="0" w:color="auto"/>
            <w:right w:val="none" w:sz="0" w:space="0" w:color="auto"/>
          </w:divBdr>
        </w:div>
        <w:div w:id="1587418357">
          <w:marLeft w:val="0"/>
          <w:marRight w:val="0"/>
          <w:marTop w:val="0"/>
          <w:marBottom w:val="94"/>
          <w:divBdr>
            <w:top w:val="none" w:sz="0" w:space="0" w:color="auto"/>
            <w:left w:val="none" w:sz="0" w:space="0" w:color="auto"/>
            <w:bottom w:val="none" w:sz="0" w:space="0" w:color="auto"/>
            <w:right w:val="none" w:sz="0" w:space="0" w:color="auto"/>
          </w:divBdr>
        </w:div>
        <w:div w:id="437332561">
          <w:marLeft w:val="0"/>
          <w:marRight w:val="0"/>
          <w:marTop w:val="0"/>
          <w:marBottom w:val="94"/>
          <w:divBdr>
            <w:top w:val="none" w:sz="0" w:space="0" w:color="auto"/>
            <w:left w:val="none" w:sz="0" w:space="0" w:color="auto"/>
            <w:bottom w:val="none" w:sz="0" w:space="0" w:color="auto"/>
            <w:right w:val="none" w:sz="0" w:space="0" w:color="auto"/>
          </w:divBdr>
        </w:div>
        <w:div w:id="166794227">
          <w:marLeft w:val="0"/>
          <w:marRight w:val="0"/>
          <w:marTop w:val="0"/>
          <w:marBottom w:val="94"/>
          <w:divBdr>
            <w:top w:val="none" w:sz="0" w:space="0" w:color="auto"/>
            <w:left w:val="none" w:sz="0" w:space="0" w:color="auto"/>
            <w:bottom w:val="none" w:sz="0" w:space="0" w:color="auto"/>
            <w:right w:val="none" w:sz="0" w:space="0" w:color="auto"/>
          </w:divBdr>
        </w:div>
        <w:div w:id="1348169174">
          <w:marLeft w:val="0"/>
          <w:marRight w:val="0"/>
          <w:marTop w:val="0"/>
          <w:marBottom w:val="94"/>
          <w:divBdr>
            <w:top w:val="none" w:sz="0" w:space="0" w:color="auto"/>
            <w:left w:val="none" w:sz="0" w:space="0" w:color="auto"/>
            <w:bottom w:val="none" w:sz="0" w:space="0" w:color="auto"/>
            <w:right w:val="none" w:sz="0" w:space="0" w:color="auto"/>
          </w:divBdr>
        </w:div>
        <w:div w:id="1517038905">
          <w:marLeft w:val="864"/>
          <w:marRight w:val="0"/>
          <w:marTop w:val="0"/>
          <w:marBottom w:val="94"/>
          <w:divBdr>
            <w:top w:val="none" w:sz="0" w:space="0" w:color="auto"/>
            <w:left w:val="none" w:sz="0" w:space="0" w:color="auto"/>
            <w:bottom w:val="none" w:sz="0" w:space="0" w:color="auto"/>
            <w:right w:val="none" w:sz="0" w:space="0" w:color="auto"/>
          </w:divBdr>
        </w:div>
        <w:div w:id="1920751929">
          <w:marLeft w:val="864"/>
          <w:marRight w:val="0"/>
          <w:marTop w:val="0"/>
          <w:marBottom w:val="94"/>
          <w:divBdr>
            <w:top w:val="none" w:sz="0" w:space="0" w:color="auto"/>
            <w:left w:val="none" w:sz="0" w:space="0" w:color="auto"/>
            <w:bottom w:val="none" w:sz="0" w:space="0" w:color="auto"/>
            <w:right w:val="none" w:sz="0" w:space="0" w:color="auto"/>
          </w:divBdr>
        </w:div>
        <w:div w:id="56903410">
          <w:marLeft w:val="864"/>
          <w:marRight w:val="0"/>
          <w:marTop w:val="0"/>
          <w:marBottom w:val="94"/>
          <w:divBdr>
            <w:top w:val="none" w:sz="0" w:space="0" w:color="auto"/>
            <w:left w:val="none" w:sz="0" w:space="0" w:color="auto"/>
            <w:bottom w:val="none" w:sz="0" w:space="0" w:color="auto"/>
            <w:right w:val="none" w:sz="0" w:space="0" w:color="auto"/>
          </w:divBdr>
        </w:div>
        <w:div w:id="1328483595">
          <w:marLeft w:val="0"/>
          <w:marRight w:val="0"/>
          <w:marTop w:val="0"/>
          <w:marBottom w:val="94"/>
          <w:divBdr>
            <w:top w:val="none" w:sz="0" w:space="0" w:color="auto"/>
            <w:left w:val="none" w:sz="0" w:space="0" w:color="auto"/>
            <w:bottom w:val="none" w:sz="0" w:space="0" w:color="auto"/>
            <w:right w:val="none" w:sz="0" w:space="0" w:color="auto"/>
          </w:divBdr>
        </w:div>
        <w:div w:id="1829860532">
          <w:marLeft w:val="0"/>
          <w:marRight w:val="0"/>
          <w:marTop w:val="0"/>
          <w:marBottom w:val="94"/>
          <w:divBdr>
            <w:top w:val="none" w:sz="0" w:space="0" w:color="auto"/>
            <w:left w:val="none" w:sz="0" w:space="0" w:color="auto"/>
            <w:bottom w:val="none" w:sz="0" w:space="0" w:color="auto"/>
            <w:right w:val="none" w:sz="0" w:space="0" w:color="auto"/>
          </w:divBdr>
        </w:div>
        <w:div w:id="1097678853">
          <w:marLeft w:val="0"/>
          <w:marRight w:val="0"/>
          <w:marTop w:val="0"/>
          <w:marBottom w:val="94"/>
          <w:divBdr>
            <w:top w:val="none" w:sz="0" w:space="0" w:color="auto"/>
            <w:left w:val="none" w:sz="0" w:space="0" w:color="auto"/>
            <w:bottom w:val="none" w:sz="0" w:space="0" w:color="auto"/>
            <w:right w:val="none" w:sz="0" w:space="0" w:color="auto"/>
          </w:divBdr>
        </w:div>
        <w:div w:id="166134876">
          <w:marLeft w:val="0"/>
          <w:marRight w:val="0"/>
          <w:marTop w:val="0"/>
          <w:marBottom w:val="94"/>
          <w:divBdr>
            <w:top w:val="none" w:sz="0" w:space="0" w:color="auto"/>
            <w:left w:val="none" w:sz="0" w:space="0" w:color="auto"/>
            <w:bottom w:val="none" w:sz="0" w:space="0" w:color="auto"/>
            <w:right w:val="none" w:sz="0" w:space="0" w:color="auto"/>
          </w:divBdr>
        </w:div>
        <w:div w:id="1129086813">
          <w:marLeft w:val="0"/>
          <w:marRight w:val="0"/>
          <w:marTop w:val="0"/>
          <w:marBottom w:val="94"/>
          <w:divBdr>
            <w:top w:val="none" w:sz="0" w:space="0" w:color="auto"/>
            <w:left w:val="none" w:sz="0" w:space="0" w:color="auto"/>
            <w:bottom w:val="none" w:sz="0" w:space="0" w:color="auto"/>
            <w:right w:val="none" w:sz="0" w:space="0" w:color="auto"/>
          </w:divBdr>
        </w:div>
        <w:div w:id="918439097">
          <w:marLeft w:val="0"/>
          <w:marRight w:val="0"/>
          <w:marTop w:val="0"/>
          <w:marBottom w:val="94"/>
          <w:divBdr>
            <w:top w:val="none" w:sz="0" w:space="0" w:color="auto"/>
            <w:left w:val="none" w:sz="0" w:space="0" w:color="auto"/>
            <w:bottom w:val="none" w:sz="0" w:space="0" w:color="auto"/>
            <w:right w:val="none" w:sz="0" w:space="0" w:color="auto"/>
          </w:divBdr>
        </w:div>
        <w:div w:id="222259914">
          <w:marLeft w:val="0"/>
          <w:marRight w:val="0"/>
          <w:marTop w:val="0"/>
          <w:marBottom w:val="94"/>
          <w:divBdr>
            <w:top w:val="none" w:sz="0" w:space="0" w:color="auto"/>
            <w:left w:val="none" w:sz="0" w:space="0" w:color="auto"/>
            <w:bottom w:val="none" w:sz="0" w:space="0" w:color="auto"/>
            <w:right w:val="none" w:sz="0" w:space="0" w:color="auto"/>
          </w:divBdr>
        </w:div>
        <w:div w:id="1612083260">
          <w:marLeft w:val="0"/>
          <w:marRight w:val="0"/>
          <w:marTop w:val="0"/>
          <w:marBottom w:val="94"/>
          <w:divBdr>
            <w:top w:val="none" w:sz="0" w:space="0" w:color="auto"/>
            <w:left w:val="none" w:sz="0" w:space="0" w:color="auto"/>
            <w:bottom w:val="none" w:sz="0" w:space="0" w:color="auto"/>
            <w:right w:val="none" w:sz="0" w:space="0" w:color="auto"/>
          </w:divBdr>
        </w:div>
        <w:div w:id="1194999803">
          <w:marLeft w:val="0"/>
          <w:marRight w:val="0"/>
          <w:marTop w:val="0"/>
          <w:marBottom w:val="94"/>
          <w:divBdr>
            <w:top w:val="none" w:sz="0" w:space="0" w:color="auto"/>
            <w:left w:val="none" w:sz="0" w:space="0" w:color="auto"/>
            <w:bottom w:val="none" w:sz="0" w:space="0" w:color="auto"/>
            <w:right w:val="none" w:sz="0" w:space="0" w:color="auto"/>
          </w:divBdr>
        </w:div>
        <w:div w:id="256255966">
          <w:marLeft w:val="0"/>
          <w:marRight w:val="0"/>
          <w:marTop w:val="0"/>
          <w:marBottom w:val="94"/>
          <w:divBdr>
            <w:top w:val="none" w:sz="0" w:space="0" w:color="auto"/>
            <w:left w:val="none" w:sz="0" w:space="0" w:color="auto"/>
            <w:bottom w:val="none" w:sz="0" w:space="0" w:color="auto"/>
            <w:right w:val="none" w:sz="0" w:space="0" w:color="auto"/>
          </w:divBdr>
        </w:div>
        <w:div w:id="1978408896">
          <w:marLeft w:val="0"/>
          <w:marRight w:val="0"/>
          <w:marTop w:val="0"/>
          <w:marBottom w:val="96"/>
          <w:divBdr>
            <w:top w:val="none" w:sz="0" w:space="0" w:color="auto"/>
            <w:left w:val="none" w:sz="0" w:space="0" w:color="auto"/>
            <w:bottom w:val="none" w:sz="0" w:space="0" w:color="auto"/>
            <w:right w:val="none" w:sz="0" w:space="0" w:color="auto"/>
          </w:divBdr>
        </w:div>
        <w:div w:id="181631473">
          <w:marLeft w:val="0"/>
          <w:marRight w:val="0"/>
          <w:marTop w:val="0"/>
          <w:marBottom w:val="96"/>
          <w:divBdr>
            <w:top w:val="none" w:sz="0" w:space="0" w:color="auto"/>
            <w:left w:val="none" w:sz="0" w:space="0" w:color="auto"/>
            <w:bottom w:val="none" w:sz="0" w:space="0" w:color="auto"/>
            <w:right w:val="none" w:sz="0" w:space="0" w:color="auto"/>
          </w:divBdr>
        </w:div>
        <w:div w:id="1258253484">
          <w:marLeft w:val="0"/>
          <w:marRight w:val="0"/>
          <w:marTop w:val="0"/>
          <w:marBottom w:val="96"/>
          <w:divBdr>
            <w:top w:val="none" w:sz="0" w:space="0" w:color="auto"/>
            <w:left w:val="none" w:sz="0" w:space="0" w:color="auto"/>
            <w:bottom w:val="none" w:sz="0" w:space="0" w:color="auto"/>
            <w:right w:val="none" w:sz="0" w:space="0" w:color="auto"/>
          </w:divBdr>
        </w:div>
        <w:div w:id="614294800">
          <w:marLeft w:val="864"/>
          <w:marRight w:val="0"/>
          <w:marTop w:val="0"/>
          <w:marBottom w:val="96"/>
          <w:divBdr>
            <w:top w:val="none" w:sz="0" w:space="0" w:color="auto"/>
            <w:left w:val="none" w:sz="0" w:space="0" w:color="auto"/>
            <w:bottom w:val="none" w:sz="0" w:space="0" w:color="auto"/>
            <w:right w:val="none" w:sz="0" w:space="0" w:color="auto"/>
          </w:divBdr>
        </w:div>
        <w:div w:id="1075200026">
          <w:marLeft w:val="864"/>
          <w:marRight w:val="0"/>
          <w:marTop w:val="0"/>
          <w:marBottom w:val="96"/>
          <w:divBdr>
            <w:top w:val="none" w:sz="0" w:space="0" w:color="auto"/>
            <w:left w:val="none" w:sz="0" w:space="0" w:color="auto"/>
            <w:bottom w:val="none" w:sz="0" w:space="0" w:color="auto"/>
            <w:right w:val="none" w:sz="0" w:space="0" w:color="auto"/>
          </w:divBdr>
        </w:div>
        <w:div w:id="1250311657">
          <w:marLeft w:val="864"/>
          <w:marRight w:val="0"/>
          <w:marTop w:val="0"/>
          <w:marBottom w:val="96"/>
          <w:divBdr>
            <w:top w:val="none" w:sz="0" w:space="0" w:color="auto"/>
            <w:left w:val="none" w:sz="0" w:space="0" w:color="auto"/>
            <w:bottom w:val="none" w:sz="0" w:space="0" w:color="auto"/>
            <w:right w:val="none" w:sz="0" w:space="0" w:color="auto"/>
          </w:divBdr>
        </w:div>
        <w:div w:id="699862110">
          <w:marLeft w:val="0"/>
          <w:marRight w:val="0"/>
          <w:marTop w:val="0"/>
          <w:marBottom w:val="96"/>
          <w:divBdr>
            <w:top w:val="none" w:sz="0" w:space="0" w:color="auto"/>
            <w:left w:val="none" w:sz="0" w:space="0" w:color="auto"/>
            <w:bottom w:val="none" w:sz="0" w:space="0" w:color="auto"/>
            <w:right w:val="none" w:sz="0" w:space="0" w:color="auto"/>
          </w:divBdr>
        </w:div>
        <w:div w:id="2014646360">
          <w:marLeft w:val="0"/>
          <w:marRight w:val="0"/>
          <w:marTop w:val="0"/>
          <w:marBottom w:val="96"/>
          <w:divBdr>
            <w:top w:val="none" w:sz="0" w:space="0" w:color="auto"/>
            <w:left w:val="none" w:sz="0" w:space="0" w:color="auto"/>
            <w:bottom w:val="none" w:sz="0" w:space="0" w:color="auto"/>
            <w:right w:val="none" w:sz="0" w:space="0" w:color="auto"/>
          </w:divBdr>
        </w:div>
        <w:div w:id="2095079467">
          <w:marLeft w:val="0"/>
          <w:marRight w:val="0"/>
          <w:marTop w:val="0"/>
          <w:marBottom w:val="96"/>
          <w:divBdr>
            <w:top w:val="none" w:sz="0" w:space="0" w:color="auto"/>
            <w:left w:val="none" w:sz="0" w:space="0" w:color="auto"/>
            <w:bottom w:val="none" w:sz="0" w:space="0" w:color="auto"/>
            <w:right w:val="none" w:sz="0" w:space="0" w:color="auto"/>
          </w:divBdr>
        </w:div>
        <w:div w:id="2035958304">
          <w:marLeft w:val="0"/>
          <w:marRight w:val="0"/>
          <w:marTop w:val="0"/>
          <w:marBottom w:val="96"/>
          <w:divBdr>
            <w:top w:val="none" w:sz="0" w:space="0" w:color="auto"/>
            <w:left w:val="none" w:sz="0" w:space="0" w:color="auto"/>
            <w:bottom w:val="none" w:sz="0" w:space="0" w:color="auto"/>
            <w:right w:val="none" w:sz="0" w:space="0" w:color="auto"/>
          </w:divBdr>
        </w:div>
        <w:div w:id="1705868662">
          <w:marLeft w:val="0"/>
          <w:marRight w:val="0"/>
          <w:marTop w:val="0"/>
          <w:marBottom w:val="96"/>
          <w:divBdr>
            <w:top w:val="none" w:sz="0" w:space="0" w:color="auto"/>
            <w:left w:val="none" w:sz="0" w:space="0" w:color="auto"/>
            <w:bottom w:val="none" w:sz="0" w:space="0" w:color="auto"/>
            <w:right w:val="none" w:sz="0" w:space="0" w:color="auto"/>
          </w:divBdr>
        </w:div>
        <w:div w:id="1017777187">
          <w:marLeft w:val="0"/>
          <w:marRight w:val="0"/>
          <w:marTop w:val="0"/>
          <w:marBottom w:val="96"/>
          <w:divBdr>
            <w:top w:val="none" w:sz="0" w:space="0" w:color="auto"/>
            <w:left w:val="none" w:sz="0" w:space="0" w:color="auto"/>
            <w:bottom w:val="none" w:sz="0" w:space="0" w:color="auto"/>
            <w:right w:val="none" w:sz="0" w:space="0" w:color="auto"/>
          </w:divBdr>
        </w:div>
        <w:div w:id="937715783">
          <w:marLeft w:val="0"/>
          <w:marRight w:val="0"/>
          <w:marTop w:val="0"/>
          <w:marBottom w:val="96"/>
          <w:divBdr>
            <w:top w:val="none" w:sz="0" w:space="0" w:color="auto"/>
            <w:left w:val="none" w:sz="0" w:space="0" w:color="auto"/>
            <w:bottom w:val="none" w:sz="0" w:space="0" w:color="auto"/>
            <w:right w:val="none" w:sz="0" w:space="0" w:color="auto"/>
          </w:divBdr>
        </w:div>
        <w:div w:id="612787666">
          <w:marLeft w:val="0"/>
          <w:marRight w:val="0"/>
          <w:marTop w:val="0"/>
          <w:marBottom w:val="96"/>
          <w:divBdr>
            <w:top w:val="none" w:sz="0" w:space="0" w:color="auto"/>
            <w:left w:val="none" w:sz="0" w:space="0" w:color="auto"/>
            <w:bottom w:val="none" w:sz="0" w:space="0" w:color="auto"/>
            <w:right w:val="none" w:sz="0" w:space="0" w:color="auto"/>
          </w:divBdr>
        </w:div>
        <w:div w:id="1527257496">
          <w:marLeft w:val="0"/>
          <w:marRight w:val="0"/>
          <w:marTop w:val="0"/>
          <w:marBottom w:val="96"/>
          <w:divBdr>
            <w:top w:val="none" w:sz="0" w:space="0" w:color="auto"/>
            <w:left w:val="none" w:sz="0" w:space="0" w:color="auto"/>
            <w:bottom w:val="none" w:sz="0" w:space="0" w:color="auto"/>
            <w:right w:val="none" w:sz="0" w:space="0" w:color="auto"/>
          </w:divBdr>
        </w:div>
        <w:div w:id="1970669338">
          <w:marLeft w:val="0"/>
          <w:marRight w:val="0"/>
          <w:marTop w:val="0"/>
          <w:marBottom w:val="96"/>
          <w:divBdr>
            <w:top w:val="none" w:sz="0" w:space="0" w:color="auto"/>
            <w:left w:val="none" w:sz="0" w:space="0" w:color="auto"/>
            <w:bottom w:val="none" w:sz="0" w:space="0" w:color="auto"/>
            <w:right w:val="none" w:sz="0" w:space="0" w:color="auto"/>
          </w:divBdr>
        </w:div>
        <w:div w:id="1803645223">
          <w:marLeft w:val="0"/>
          <w:marRight w:val="0"/>
          <w:marTop w:val="0"/>
          <w:marBottom w:val="96"/>
          <w:divBdr>
            <w:top w:val="none" w:sz="0" w:space="0" w:color="auto"/>
            <w:left w:val="none" w:sz="0" w:space="0" w:color="auto"/>
            <w:bottom w:val="none" w:sz="0" w:space="0" w:color="auto"/>
            <w:right w:val="none" w:sz="0" w:space="0" w:color="auto"/>
          </w:divBdr>
        </w:div>
        <w:div w:id="469633347">
          <w:marLeft w:val="0"/>
          <w:marRight w:val="0"/>
          <w:marTop w:val="0"/>
          <w:marBottom w:val="96"/>
          <w:divBdr>
            <w:top w:val="none" w:sz="0" w:space="0" w:color="auto"/>
            <w:left w:val="none" w:sz="0" w:space="0" w:color="auto"/>
            <w:bottom w:val="none" w:sz="0" w:space="0" w:color="auto"/>
            <w:right w:val="none" w:sz="0" w:space="0" w:color="auto"/>
          </w:divBdr>
        </w:div>
        <w:div w:id="1536770244">
          <w:marLeft w:val="0"/>
          <w:marRight w:val="0"/>
          <w:marTop w:val="0"/>
          <w:marBottom w:val="96"/>
          <w:divBdr>
            <w:top w:val="none" w:sz="0" w:space="0" w:color="auto"/>
            <w:left w:val="none" w:sz="0" w:space="0" w:color="auto"/>
            <w:bottom w:val="none" w:sz="0" w:space="0" w:color="auto"/>
            <w:right w:val="none" w:sz="0" w:space="0" w:color="auto"/>
          </w:divBdr>
        </w:div>
        <w:div w:id="804546743">
          <w:marLeft w:val="0"/>
          <w:marRight w:val="0"/>
          <w:marTop w:val="0"/>
          <w:marBottom w:val="96"/>
          <w:divBdr>
            <w:top w:val="none" w:sz="0" w:space="0" w:color="auto"/>
            <w:left w:val="none" w:sz="0" w:space="0" w:color="auto"/>
            <w:bottom w:val="none" w:sz="0" w:space="0" w:color="auto"/>
            <w:right w:val="none" w:sz="0" w:space="0" w:color="auto"/>
          </w:divBdr>
        </w:div>
        <w:div w:id="1686202082">
          <w:marLeft w:val="0"/>
          <w:marRight w:val="0"/>
          <w:marTop w:val="0"/>
          <w:marBottom w:val="96"/>
          <w:divBdr>
            <w:top w:val="none" w:sz="0" w:space="0" w:color="auto"/>
            <w:left w:val="none" w:sz="0" w:space="0" w:color="auto"/>
            <w:bottom w:val="none" w:sz="0" w:space="0" w:color="auto"/>
            <w:right w:val="none" w:sz="0" w:space="0" w:color="auto"/>
          </w:divBdr>
        </w:div>
        <w:div w:id="310326909">
          <w:marLeft w:val="0"/>
          <w:marRight w:val="0"/>
          <w:marTop w:val="0"/>
          <w:marBottom w:val="96"/>
          <w:divBdr>
            <w:top w:val="none" w:sz="0" w:space="0" w:color="auto"/>
            <w:left w:val="none" w:sz="0" w:space="0" w:color="auto"/>
            <w:bottom w:val="none" w:sz="0" w:space="0" w:color="auto"/>
            <w:right w:val="none" w:sz="0" w:space="0" w:color="auto"/>
          </w:divBdr>
        </w:div>
        <w:div w:id="1811631339">
          <w:marLeft w:val="0"/>
          <w:marRight w:val="0"/>
          <w:marTop w:val="0"/>
          <w:marBottom w:val="46"/>
          <w:divBdr>
            <w:top w:val="none" w:sz="0" w:space="0" w:color="auto"/>
            <w:left w:val="none" w:sz="0" w:space="0" w:color="auto"/>
            <w:bottom w:val="none" w:sz="0" w:space="0" w:color="auto"/>
            <w:right w:val="none" w:sz="0" w:space="0" w:color="auto"/>
          </w:divBdr>
        </w:div>
        <w:div w:id="1825775407">
          <w:marLeft w:val="0"/>
          <w:marRight w:val="0"/>
          <w:marTop w:val="0"/>
          <w:marBottom w:val="46"/>
          <w:divBdr>
            <w:top w:val="none" w:sz="0" w:space="0" w:color="auto"/>
            <w:left w:val="none" w:sz="0" w:space="0" w:color="auto"/>
            <w:bottom w:val="none" w:sz="0" w:space="0" w:color="auto"/>
            <w:right w:val="none" w:sz="0" w:space="0" w:color="auto"/>
          </w:divBdr>
        </w:div>
        <w:div w:id="1717776283">
          <w:marLeft w:val="0"/>
          <w:marRight w:val="0"/>
          <w:marTop w:val="0"/>
          <w:marBottom w:val="46"/>
          <w:divBdr>
            <w:top w:val="none" w:sz="0" w:space="0" w:color="auto"/>
            <w:left w:val="none" w:sz="0" w:space="0" w:color="auto"/>
            <w:bottom w:val="none" w:sz="0" w:space="0" w:color="auto"/>
            <w:right w:val="none" w:sz="0" w:space="0" w:color="auto"/>
          </w:divBdr>
        </w:div>
        <w:div w:id="1975745138">
          <w:marLeft w:val="0"/>
          <w:marRight w:val="0"/>
          <w:marTop w:val="0"/>
          <w:marBottom w:val="46"/>
          <w:divBdr>
            <w:top w:val="none" w:sz="0" w:space="0" w:color="auto"/>
            <w:left w:val="none" w:sz="0" w:space="0" w:color="auto"/>
            <w:bottom w:val="none" w:sz="0" w:space="0" w:color="auto"/>
            <w:right w:val="none" w:sz="0" w:space="0" w:color="auto"/>
          </w:divBdr>
        </w:div>
        <w:div w:id="545413494">
          <w:marLeft w:val="0"/>
          <w:marRight w:val="0"/>
          <w:marTop w:val="0"/>
          <w:marBottom w:val="46"/>
          <w:divBdr>
            <w:top w:val="none" w:sz="0" w:space="0" w:color="auto"/>
            <w:left w:val="none" w:sz="0" w:space="0" w:color="auto"/>
            <w:bottom w:val="none" w:sz="0" w:space="0" w:color="auto"/>
            <w:right w:val="none" w:sz="0" w:space="0" w:color="auto"/>
          </w:divBdr>
        </w:div>
        <w:div w:id="454523134">
          <w:marLeft w:val="0"/>
          <w:marRight w:val="0"/>
          <w:marTop w:val="0"/>
          <w:marBottom w:val="46"/>
          <w:divBdr>
            <w:top w:val="none" w:sz="0" w:space="0" w:color="auto"/>
            <w:left w:val="none" w:sz="0" w:space="0" w:color="auto"/>
            <w:bottom w:val="none" w:sz="0" w:space="0" w:color="auto"/>
            <w:right w:val="none" w:sz="0" w:space="0" w:color="auto"/>
          </w:divBdr>
        </w:div>
        <w:div w:id="1404370992">
          <w:marLeft w:val="864"/>
          <w:marRight w:val="0"/>
          <w:marTop w:val="0"/>
          <w:marBottom w:val="46"/>
          <w:divBdr>
            <w:top w:val="none" w:sz="0" w:space="0" w:color="auto"/>
            <w:left w:val="none" w:sz="0" w:space="0" w:color="auto"/>
            <w:bottom w:val="none" w:sz="0" w:space="0" w:color="auto"/>
            <w:right w:val="none" w:sz="0" w:space="0" w:color="auto"/>
          </w:divBdr>
        </w:div>
        <w:div w:id="1152328299">
          <w:marLeft w:val="864"/>
          <w:marRight w:val="0"/>
          <w:marTop w:val="0"/>
          <w:marBottom w:val="46"/>
          <w:divBdr>
            <w:top w:val="none" w:sz="0" w:space="0" w:color="auto"/>
            <w:left w:val="none" w:sz="0" w:space="0" w:color="auto"/>
            <w:bottom w:val="none" w:sz="0" w:space="0" w:color="auto"/>
            <w:right w:val="none" w:sz="0" w:space="0" w:color="auto"/>
          </w:divBdr>
        </w:div>
        <w:div w:id="39794391">
          <w:marLeft w:val="864"/>
          <w:marRight w:val="0"/>
          <w:marTop w:val="0"/>
          <w:marBottom w:val="46"/>
          <w:divBdr>
            <w:top w:val="none" w:sz="0" w:space="0" w:color="auto"/>
            <w:left w:val="none" w:sz="0" w:space="0" w:color="auto"/>
            <w:bottom w:val="none" w:sz="0" w:space="0" w:color="auto"/>
            <w:right w:val="none" w:sz="0" w:space="0" w:color="auto"/>
          </w:divBdr>
        </w:div>
        <w:div w:id="1835340916">
          <w:marLeft w:val="864"/>
          <w:marRight w:val="0"/>
          <w:marTop w:val="0"/>
          <w:marBottom w:val="46"/>
          <w:divBdr>
            <w:top w:val="none" w:sz="0" w:space="0" w:color="auto"/>
            <w:left w:val="none" w:sz="0" w:space="0" w:color="auto"/>
            <w:bottom w:val="none" w:sz="0" w:space="0" w:color="auto"/>
            <w:right w:val="none" w:sz="0" w:space="0" w:color="auto"/>
          </w:divBdr>
        </w:div>
        <w:div w:id="890850147">
          <w:marLeft w:val="864"/>
          <w:marRight w:val="0"/>
          <w:marTop w:val="0"/>
          <w:marBottom w:val="101"/>
          <w:divBdr>
            <w:top w:val="none" w:sz="0" w:space="0" w:color="auto"/>
            <w:left w:val="none" w:sz="0" w:space="0" w:color="auto"/>
            <w:bottom w:val="none" w:sz="0" w:space="0" w:color="auto"/>
            <w:right w:val="none" w:sz="0" w:space="0" w:color="auto"/>
          </w:divBdr>
        </w:div>
        <w:div w:id="563183493">
          <w:marLeft w:val="0"/>
          <w:marRight w:val="0"/>
          <w:marTop w:val="0"/>
          <w:marBottom w:val="101"/>
          <w:divBdr>
            <w:top w:val="none" w:sz="0" w:space="0" w:color="auto"/>
            <w:left w:val="none" w:sz="0" w:space="0" w:color="auto"/>
            <w:bottom w:val="none" w:sz="0" w:space="0" w:color="auto"/>
            <w:right w:val="none" w:sz="0" w:space="0" w:color="auto"/>
          </w:divBdr>
        </w:div>
        <w:div w:id="940143028">
          <w:marLeft w:val="0"/>
          <w:marRight w:val="0"/>
          <w:marTop w:val="0"/>
          <w:marBottom w:val="101"/>
          <w:divBdr>
            <w:top w:val="none" w:sz="0" w:space="0" w:color="auto"/>
            <w:left w:val="none" w:sz="0" w:space="0" w:color="auto"/>
            <w:bottom w:val="none" w:sz="0" w:space="0" w:color="auto"/>
            <w:right w:val="none" w:sz="0" w:space="0" w:color="auto"/>
          </w:divBdr>
        </w:div>
        <w:div w:id="807668243">
          <w:marLeft w:val="864"/>
          <w:marRight w:val="0"/>
          <w:marTop w:val="0"/>
          <w:marBottom w:val="101"/>
          <w:divBdr>
            <w:top w:val="none" w:sz="0" w:space="0" w:color="auto"/>
            <w:left w:val="none" w:sz="0" w:space="0" w:color="auto"/>
            <w:bottom w:val="none" w:sz="0" w:space="0" w:color="auto"/>
            <w:right w:val="none" w:sz="0" w:space="0" w:color="auto"/>
          </w:divBdr>
        </w:div>
        <w:div w:id="143619822">
          <w:marLeft w:val="864"/>
          <w:marRight w:val="0"/>
          <w:marTop w:val="0"/>
          <w:marBottom w:val="101"/>
          <w:divBdr>
            <w:top w:val="none" w:sz="0" w:space="0" w:color="auto"/>
            <w:left w:val="none" w:sz="0" w:space="0" w:color="auto"/>
            <w:bottom w:val="none" w:sz="0" w:space="0" w:color="auto"/>
            <w:right w:val="none" w:sz="0" w:space="0" w:color="auto"/>
          </w:divBdr>
        </w:div>
        <w:div w:id="859004274">
          <w:marLeft w:val="864"/>
          <w:marRight w:val="0"/>
          <w:marTop w:val="0"/>
          <w:marBottom w:val="101"/>
          <w:divBdr>
            <w:top w:val="none" w:sz="0" w:space="0" w:color="auto"/>
            <w:left w:val="none" w:sz="0" w:space="0" w:color="auto"/>
            <w:bottom w:val="none" w:sz="0" w:space="0" w:color="auto"/>
            <w:right w:val="none" w:sz="0" w:space="0" w:color="auto"/>
          </w:divBdr>
        </w:div>
        <w:div w:id="123234727">
          <w:marLeft w:val="0"/>
          <w:marRight w:val="0"/>
          <w:marTop w:val="0"/>
          <w:marBottom w:val="101"/>
          <w:divBdr>
            <w:top w:val="none" w:sz="0" w:space="0" w:color="auto"/>
            <w:left w:val="none" w:sz="0" w:space="0" w:color="auto"/>
            <w:bottom w:val="none" w:sz="0" w:space="0" w:color="auto"/>
            <w:right w:val="none" w:sz="0" w:space="0" w:color="auto"/>
          </w:divBdr>
        </w:div>
        <w:div w:id="1439449409">
          <w:marLeft w:val="0"/>
          <w:marRight w:val="0"/>
          <w:marTop w:val="0"/>
          <w:marBottom w:val="101"/>
          <w:divBdr>
            <w:top w:val="none" w:sz="0" w:space="0" w:color="auto"/>
            <w:left w:val="none" w:sz="0" w:space="0" w:color="auto"/>
            <w:bottom w:val="none" w:sz="0" w:space="0" w:color="auto"/>
            <w:right w:val="none" w:sz="0" w:space="0" w:color="auto"/>
          </w:divBdr>
        </w:div>
        <w:div w:id="1875658606">
          <w:marLeft w:val="0"/>
          <w:marRight w:val="0"/>
          <w:marTop w:val="0"/>
          <w:marBottom w:val="101"/>
          <w:divBdr>
            <w:top w:val="none" w:sz="0" w:space="0" w:color="auto"/>
            <w:left w:val="none" w:sz="0" w:space="0" w:color="auto"/>
            <w:bottom w:val="none" w:sz="0" w:space="0" w:color="auto"/>
            <w:right w:val="none" w:sz="0" w:space="0" w:color="auto"/>
          </w:divBdr>
        </w:div>
        <w:div w:id="1950819899">
          <w:marLeft w:val="0"/>
          <w:marRight w:val="0"/>
          <w:marTop w:val="0"/>
          <w:marBottom w:val="101"/>
          <w:divBdr>
            <w:top w:val="none" w:sz="0" w:space="0" w:color="auto"/>
            <w:left w:val="none" w:sz="0" w:space="0" w:color="auto"/>
            <w:bottom w:val="none" w:sz="0" w:space="0" w:color="auto"/>
            <w:right w:val="none" w:sz="0" w:space="0" w:color="auto"/>
          </w:divBdr>
        </w:div>
        <w:div w:id="1131365065">
          <w:marLeft w:val="0"/>
          <w:marRight w:val="0"/>
          <w:marTop w:val="0"/>
          <w:marBottom w:val="101"/>
          <w:divBdr>
            <w:top w:val="none" w:sz="0" w:space="0" w:color="auto"/>
            <w:left w:val="none" w:sz="0" w:space="0" w:color="auto"/>
            <w:bottom w:val="none" w:sz="0" w:space="0" w:color="auto"/>
            <w:right w:val="none" w:sz="0" w:space="0" w:color="auto"/>
          </w:divBdr>
        </w:div>
        <w:div w:id="1129934527">
          <w:marLeft w:val="0"/>
          <w:marRight w:val="0"/>
          <w:marTop w:val="0"/>
          <w:marBottom w:val="101"/>
          <w:divBdr>
            <w:top w:val="none" w:sz="0" w:space="0" w:color="auto"/>
            <w:left w:val="none" w:sz="0" w:space="0" w:color="auto"/>
            <w:bottom w:val="none" w:sz="0" w:space="0" w:color="auto"/>
            <w:right w:val="none" w:sz="0" w:space="0" w:color="auto"/>
          </w:divBdr>
        </w:div>
        <w:div w:id="985889271">
          <w:marLeft w:val="0"/>
          <w:marRight w:val="0"/>
          <w:marTop w:val="0"/>
          <w:marBottom w:val="101"/>
          <w:divBdr>
            <w:top w:val="none" w:sz="0" w:space="0" w:color="auto"/>
            <w:left w:val="none" w:sz="0" w:space="0" w:color="auto"/>
            <w:bottom w:val="none" w:sz="0" w:space="0" w:color="auto"/>
            <w:right w:val="none" w:sz="0" w:space="0" w:color="auto"/>
          </w:divBdr>
        </w:div>
        <w:div w:id="592056387">
          <w:marLeft w:val="0"/>
          <w:marRight w:val="0"/>
          <w:marTop w:val="0"/>
          <w:marBottom w:val="101"/>
          <w:divBdr>
            <w:top w:val="none" w:sz="0" w:space="0" w:color="auto"/>
            <w:left w:val="none" w:sz="0" w:space="0" w:color="auto"/>
            <w:bottom w:val="none" w:sz="0" w:space="0" w:color="auto"/>
            <w:right w:val="none" w:sz="0" w:space="0" w:color="auto"/>
          </w:divBdr>
        </w:div>
        <w:div w:id="1498184746">
          <w:marLeft w:val="864"/>
          <w:marRight w:val="0"/>
          <w:marTop w:val="0"/>
          <w:marBottom w:val="101"/>
          <w:divBdr>
            <w:top w:val="none" w:sz="0" w:space="0" w:color="auto"/>
            <w:left w:val="none" w:sz="0" w:space="0" w:color="auto"/>
            <w:bottom w:val="none" w:sz="0" w:space="0" w:color="auto"/>
            <w:right w:val="none" w:sz="0" w:space="0" w:color="auto"/>
          </w:divBdr>
        </w:div>
        <w:div w:id="2093967235">
          <w:marLeft w:val="864"/>
          <w:marRight w:val="0"/>
          <w:marTop w:val="0"/>
          <w:marBottom w:val="101"/>
          <w:divBdr>
            <w:top w:val="none" w:sz="0" w:space="0" w:color="auto"/>
            <w:left w:val="none" w:sz="0" w:space="0" w:color="auto"/>
            <w:bottom w:val="none" w:sz="0" w:space="0" w:color="auto"/>
            <w:right w:val="none" w:sz="0" w:space="0" w:color="auto"/>
          </w:divBdr>
        </w:div>
        <w:div w:id="887839363">
          <w:marLeft w:val="864"/>
          <w:marRight w:val="0"/>
          <w:marTop w:val="0"/>
          <w:marBottom w:val="101"/>
          <w:divBdr>
            <w:top w:val="none" w:sz="0" w:space="0" w:color="auto"/>
            <w:left w:val="none" w:sz="0" w:space="0" w:color="auto"/>
            <w:bottom w:val="none" w:sz="0" w:space="0" w:color="auto"/>
            <w:right w:val="none" w:sz="0" w:space="0" w:color="auto"/>
          </w:divBdr>
        </w:div>
        <w:div w:id="1747459425">
          <w:marLeft w:val="864"/>
          <w:marRight w:val="0"/>
          <w:marTop w:val="0"/>
          <w:marBottom w:val="101"/>
          <w:divBdr>
            <w:top w:val="none" w:sz="0" w:space="0" w:color="auto"/>
            <w:left w:val="none" w:sz="0" w:space="0" w:color="auto"/>
            <w:bottom w:val="none" w:sz="0" w:space="0" w:color="auto"/>
            <w:right w:val="none" w:sz="0" w:space="0" w:color="auto"/>
          </w:divBdr>
        </w:div>
        <w:div w:id="325255900">
          <w:marLeft w:val="864"/>
          <w:marRight w:val="0"/>
          <w:marTop w:val="0"/>
          <w:marBottom w:val="101"/>
          <w:divBdr>
            <w:top w:val="none" w:sz="0" w:space="0" w:color="auto"/>
            <w:left w:val="none" w:sz="0" w:space="0" w:color="auto"/>
            <w:bottom w:val="none" w:sz="0" w:space="0" w:color="auto"/>
            <w:right w:val="none" w:sz="0" w:space="0" w:color="auto"/>
          </w:divBdr>
        </w:div>
        <w:div w:id="1137066457">
          <w:marLeft w:val="0"/>
          <w:marRight w:val="0"/>
          <w:marTop w:val="0"/>
          <w:marBottom w:val="101"/>
          <w:divBdr>
            <w:top w:val="none" w:sz="0" w:space="0" w:color="auto"/>
            <w:left w:val="none" w:sz="0" w:space="0" w:color="auto"/>
            <w:bottom w:val="none" w:sz="0" w:space="0" w:color="auto"/>
            <w:right w:val="none" w:sz="0" w:space="0" w:color="auto"/>
          </w:divBdr>
        </w:div>
        <w:div w:id="1322659864">
          <w:marLeft w:val="0"/>
          <w:marRight w:val="0"/>
          <w:marTop w:val="0"/>
          <w:marBottom w:val="101"/>
          <w:divBdr>
            <w:top w:val="none" w:sz="0" w:space="0" w:color="auto"/>
            <w:left w:val="none" w:sz="0" w:space="0" w:color="auto"/>
            <w:bottom w:val="none" w:sz="0" w:space="0" w:color="auto"/>
            <w:right w:val="none" w:sz="0" w:space="0" w:color="auto"/>
          </w:divBdr>
        </w:div>
        <w:div w:id="616370953">
          <w:marLeft w:val="0"/>
          <w:marRight w:val="0"/>
          <w:marTop w:val="0"/>
          <w:marBottom w:val="101"/>
          <w:divBdr>
            <w:top w:val="none" w:sz="0" w:space="0" w:color="auto"/>
            <w:left w:val="none" w:sz="0" w:space="0" w:color="auto"/>
            <w:bottom w:val="none" w:sz="0" w:space="0" w:color="auto"/>
            <w:right w:val="none" w:sz="0" w:space="0" w:color="auto"/>
          </w:divBdr>
        </w:div>
        <w:div w:id="1314261579">
          <w:marLeft w:val="0"/>
          <w:marRight w:val="0"/>
          <w:marTop w:val="0"/>
          <w:marBottom w:val="101"/>
          <w:divBdr>
            <w:top w:val="none" w:sz="0" w:space="0" w:color="auto"/>
            <w:left w:val="none" w:sz="0" w:space="0" w:color="auto"/>
            <w:bottom w:val="none" w:sz="0" w:space="0" w:color="auto"/>
            <w:right w:val="none" w:sz="0" w:space="0" w:color="auto"/>
          </w:divBdr>
        </w:div>
        <w:div w:id="2062553421">
          <w:marLeft w:val="0"/>
          <w:marRight w:val="0"/>
          <w:marTop w:val="0"/>
          <w:marBottom w:val="101"/>
          <w:divBdr>
            <w:top w:val="none" w:sz="0" w:space="0" w:color="auto"/>
            <w:left w:val="none" w:sz="0" w:space="0" w:color="auto"/>
            <w:bottom w:val="none" w:sz="0" w:space="0" w:color="auto"/>
            <w:right w:val="none" w:sz="0" w:space="0" w:color="auto"/>
          </w:divBdr>
        </w:div>
        <w:div w:id="1309941422">
          <w:marLeft w:val="0"/>
          <w:marRight w:val="0"/>
          <w:marTop w:val="0"/>
          <w:marBottom w:val="101"/>
          <w:divBdr>
            <w:top w:val="none" w:sz="0" w:space="0" w:color="auto"/>
            <w:left w:val="none" w:sz="0" w:space="0" w:color="auto"/>
            <w:bottom w:val="none" w:sz="0" w:space="0" w:color="auto"/>
            <w:right w:val="none" w:sz="0" w:space="0" w:color="auto"/>
          </w:divBdr>
        </w:div>
        <w:div w:id="199785490">
          <w:marLeft w:val="864"/>
          <w:marRight w:val="0"/>
          <w:marTop w:val="0"/>
          <w:marBottom w:val="101"/>
          <w:divBdr>
            <w:top w:val="none" w:sz="0" w:space="0" w:color="auto"/>
            <w:left w:val="none" w:sz="0" w:space="0" w:color="auto"/>
            <w:bottom w:val="none" w:sz="0" w:space="0" w:color="auto"/>
            <w:right w:val="none" w:sz="0" w:space="0" w:color="auto"/>
          </w:divBdr>
        </w:div>
        <w:div w:id="2100786961">
          <w:marLeft w:val="864"/>
          <w:marRight w:val="0"/>
          <w:marTop w:val="0"/>
          <w:marBottom w:val="101"/>
          <w:divBdr>
            <w:top w:val="none" w:sz="0" w:space="0" w:color="auto"/>
            <w:left w:val="none" w:sz="0" w:space="0" w:color="auto"/>
            <w:bottom w:val="none" w:sz="0" w:space="0" w:color="auto"/>
            <w:right w:val="none" w:sz="0" w:space="0" w:color="auto"/>
          </w:divBdr>
        </w:div>
        <w:div w:id="2066027756">
          <w:marLeft w:val="864"/>
          <w:marRight w:val="0"/>
          <w:marTop w:val="0"/>
          <w:marBottom w:val="101"/>
          <w:divBdr>
            <w:top w:val="none" w:sz="0" w:space="0" w:color="auto"/>
            <w:left w:val="none" w:sz="0" w:space="0" w:color="auto"/>
            <w:bottom w:val="none" w:sz="0" w:space="0" w:color="auto"/>
            <w:right w:val="none" w:sz="0" w:space="0" w:color="auto"/>
          </w:divBdr>
        </w:div>
        <w:div w:id="1106846240">
          <w:marLeft w:val="864"/>
          <w:marRight w:val="0"/>
          <w:marTop w:val="0"/>
          <w:marBottom w:val="101"/>
          <w:divBdr>
            <w:top w:val="none" w:sz="0" w:space="0" w:color="auto"/>
            <w:left w:val="none" w:sz="0" w:space="0" w:color="auto"/>
            <w:bottom w:val="none" w:sz="0" w:space="0" w:color="auto"/>
            <w:right w:val="none" w:sz="0" w:space="0" w:color="auto"/>
          </w:divBdr>
        </w:div>
        <w:div w:id="981155780">
          <w:marLeft w:val="864"/>
          <w:marRight w:val="0"/>
          <w:marTop w:val="0"/>
          <w:marBottom w:val="86"/>
          <w:divBdr>
            <w:top w:val="none" w:sz="0" w:space="0" w:color="auto"/>
            <w:left w:val="none" w:sz="0" w:space="0" w:color="auto"/>
            <w:bottom w:val="none" w:sz="0" w:space="0" w:color="auto"/>
            <w:right w:val="none" w:sz="0" w:space="0" w:color="auto"/>
          </w:divBdr>
        </w:div>
        <w:div w:id="1352343035">
          <w:marLeft w:val="864"/>
          <w:marRight w:val="0"/>
          <w:marTop w:val="0"/>
          <w:marBottom w:val="86"/>
          <w:divBdr>
            <w:top w:val="none" w:sz="0" w:space="0" w:color="auto"/>
            <w:left w:val="none" w:sz="0" w:space="0" w:color="auto"/>
            <w:bottom w:val="none" w:sz="0" w:space="0" w:color="auto"/>
            <w:right w:val="none" w:sz="0" w:space="0" w:color="auto"/>
          </w:divBdr>
        </w:div>
        <w:div w:id="990332211">
          <w:marLeft w:val="864"/>
          <w:marRight w:val="0"/>
          <w:marTop w:val="0"/>
          <w:marBottom w:val="86"/>
          <w:divBdr>
            <w:top w:val="none" w:sz="0" w:space="0" w:color="auto"/>
            <w:left w:val="none" w:sz="0" w:space="0" w:color="auto"/>
            <w:bottom w:val="none" w:sz="0" w:space="0" w:color="auto"/>
            <w:right w:val="none" w:sz="0" w:space="0" w:color="auto"/>
          </w:divBdr>
        </w:div>
        <w:div w:id="1269853713">
          <w:marLeft w:val="0"/>
          <w:marRight w:val="0"/>
          <w:marTop w:val="0"/>
          <w:marBottom w:val="86"/>
          <w:divBdr>
            <w:top w:val="none" w:sz="0" w:space="0" w:color="auto"/>
            <w:left w:val="none" w:sz="0" w:space="0" w:color="auto"/>
            <w:bottom w:val="none" w:sz="0" w:space="0" w:color="auto"/>
            <w:right w:val="none" w:sz="0" w:space="0" w:color="auto"/>
          </w:divBdr>
        </w:div>
        <w:div w:id="951084909">
          <w:marLeft w:val="0"/>
          <w:marRight w:val="0"/>
          <w:marTop w:val="0"/>
          <w:marBottom w:val="86"/>
          <w:divBdr>
            <w:top w:val="none" w:sz="0" w:space="0" w:color="auto"/>
            <w:left w:val="none" w:sz="0" w:space="0" w:color="auto"/>
            <w:bottom w:val="none" w:sz="0" w:space="0" w:color="auto"/>
            <w:right w:val="none" w:sz="0" w:space="0" w:color="auto"/>
          </w:divBdr>
        </w:div>
        <w:div w:id="1664047904">
          <w:marLeft w:val="0"/>
          <w:marRight w:val="0"/>
          <w:marTop w:val="0"/>
          <w:marBottom w:val="86"/>
          <w:divBdr>
            <w:top w:val="none" w:sz="0" w:space="0" w:color="auto"/>
            <w:left w:val="none" w:sz="0" w:space="0" w:color="auto"/>
            <w:bottom w:val="none" w:sz="0" w:space="0" w:color="auto"/>
            <w:right w:val="none" w:sz="0" w:space="0" w:color="auto"/>
          </w:divBdr>
        </w:div>
        <w:div w:id="1815564322">
          <w:marLeft w:val="0"/>
          <w:marRight w:val="0"/>
          <w:marTop w:val="0"/>
          <w:marBottom w:val="86"/>
          <w:divBdr>
            <w:top w:val="none" w:sz="0" w:space="0" w:color="auto"/>
            <w:left w:val="none" w:sz="0" w:space="0" w:color="auto"/>
            <w:bottom w:val="none" w:sz="0" w:space="0" w:color="auto"/>
            <w:right w:val="none" w:sz="0" w:space="0" w:color="auto"/>
          </w:divBdr>
        </w:div>
        <w:div w:id="1413620109">
          <w:marLeft w:val="0"/>
          <w:marRight w:val="0"/>
          <w:marTop w:val="0"/>
          <w:marBottom w:val="86"/>
          <w:divBdr>
            <w:top w:val="none" w:sz="0" w:space="0" w:color="auto"/>
            <w:left w:val="none" w:sz="0" w:space="0" w:color="auto"/>
            <w:bottom w:val="none" w:sz="0" w:space="0" w:color="auto"/>
            <w:right w:val="none" w:sz="0" w:space="0" w:color="auto"/>
          </w:divBdr>
        </w:div>
        <w:div w:id="523137564">
          <w:marLeft w:val="0"/>
          <w:marRight w:val="0"/>
          <w:marTop w:val="0"/>
          <w:marBottom w:val="86"/>
          <w:divBdr>
            <w:top w:val="none" w:sz="0" w:space="0" w:color="auto"/>
            <w:left w:val="none" w:sz="0" w:space="0" w:color="auto"/>
            <w:bottom w:val="none" w:sz="0" w:space="0" w:color="auto"/>
            <w:right w:val="none" w:sz="0" w:space="0" w:color="auto"/>
          </w:divBdr>
        </w:div>
        <w:div w:id="1332754354">
          <w:marLeft w:val="0"/>
          <w:marRight w:val="0"/>
          <w:marTop w:val="0"/>
          <w:marBottom w:val="86"/>
          <w:divBdr>
            <w:top w:val="none" w:sz="0" w:space="0" w:color="auto"/>
            <w:left w:val="none" w:sz="0" w:space="0" w:color="auto"/>
            <w:bottom w:val="none" w:sz="0" w:space="0" w:color="auto"/>
            <w:right w:val="none" w:sz="0" w:space="0" w:color="auto"/>
          </w:divBdr>
        </w:div>
        <w:div w:id="1077676255">
          <w:marLeft w:val="0"/>
          <w:marRight w:val="0"/>
          <w:marTop w:val="0"/>
          <w:marBottom w:val="86"/>
          <w:divBdr>
            <w:top w:val="none" w:sz="0" w:space="0" w:color="auto"/>
            <w:left w:val="none" w:sz="0" w:space="0" w:color="auto"/>
            <w:bottom w:val="none" w:sz="0" w:space="0" w:color="auto"/>
            <w:right w:val="none" w:sz="0" w:space="0" w:color="auto"/>
          </w:divBdr>
        </w:div>
        <w:div w:id="1739859528">
          <w:marLeft w:val="0"/>
          <w:marRight w:val="0"/>
          <w:marTop w:val="0"/>
          <w:marBottom w:val="86"/>
          <w:divBdr>
            <w:top w:val="none" w:sz="0" w:space="0" w:color="auto"/>
            <w:left w:val="none" w:sz="0" w:space="0" w:color="auto"/>
            <w:bottom w:val="none" w:sz="0" w:space="0" w:color="auto"/>
            <w:right w:val="none" w:sz="0" w:space="0" w:color="auto"/>
          </w:divBdr>
        </w:div>
        <w:div w:id="801725991">
          <w:marLeft w:val="0"/>
          <w:marRight w:val="0"/>
          <w:marTop w:val="0"/>
          <w:marBottom w:val="101"/>
          <w:divBdr>
            <w:top w:val="none" w:sz="0" w:space="0" w:color="auto"/>
            <w:left w:val="none" w:sz="0" w:space="0" w:color="auto"/>
            <w:bottom w:val="none" w:sz="0" w:space="0" w:color="auto"/>
            <w:right w:val="none" w:sz="0" w:space="0" w:color="auto"/>
          </w:divBdr>
        </w:div>
        <w:div w:id="867909794">
          <w:marLeft w:val="0"/>
          <w:marRight w:val="0"/>
          <w:marTop w:val="0"/>
          <w:marBottom w:val="101"/>
          <w:divBdr>
            <w:top w:val="none" w:sz="0" w:space="0" w:color="auto"/>
            <w:left w:val="none" w:sz="0" w:space="0" w:color="auto"/>
            <w:bottom w:val="none" w:sz="0" w:space="0" w:color="auto"/>
            <w:right w:val="none" w:sz="0" w:space="0" w:color="auto"/>
          </w:divBdr>
        </w:div>
        <w:div w:id="439225304">
          <w:marLeft w:val="0"/>
          <w:marRight w:val="0"/>
          <w:marTop w:val="0"/>
          <w:marBottom w:val="101"/>
          <w:divBdr>
            <w:top w:val="none" w:sz="0" w:space="0" w:color="auto"/>
            <w:left w:val="none" w:sz="0" w:space="0" w:color="auto"/>
            <w:bottom w:val="none" w:sz="0" w:space="0" w:color="auto"/>
            <w:right w:val="none" w:sz="0" w:space="0" w:color="auto"/>
          </w:divBdr>
        </w:div>
        <w:div w:id="1447386495">
          <w:marLeft w:val="0"/>
          <w:marRight w:val="0"/>
          <w:marTop w:val="0"/>
          <w:marBottom w:val="101"/>
          <w:divBdr>
            <w:top w:val="none" w:sz="0" w:space="0" w:color="auto"/>
            <w:left w:val="none" w:sz="0" w:space="0" w:color="auto"/>
            <w:bottom w:val="none" w:sz="0" w:space="0" w:color="auto"/>
            <w:right w:val="none" w:sz="0" w:space="0" w:color="auto"/>
          </w:divBdr>
        </w:div>
        <w:div w:id="1958638867">
          <w:marLeft w:val="0"/>
          <w:marRight w:val="0"/>
          <w:marTop w:val="0"/>
          <w:marBottom w:val="101"/>
          <w:divBdr>
            <w:top w:val="none" w:sz="0" w:space="0" w:color="auto"/>
            <w:left w:val="none" w:sz="0" w:space="0" w:color="auto"/>
            <w:bottom w:val="none" w:sz="0" w:space="0" w:color="auto"/>
            <w:right w:val="none" w:sz="0" w:space="0" w:color="auto"/>
          </w:divBdr>
        </w:div>
        <w:div w:id="338242776">
          <w:marLeft w:val="0"/>
          <w:marRight w:val="0"/>
          <w:marTop w:val="0"/>
          <w:marBottom w:val="101"/>
          <w:divBdr>
            <w:top w:val="none" w:sz="0" w:space="0" w:color="auto"/>
            <w:left w:val="none" w:sz="0" w:space="0" w:color="auto"/>
            <w:bottom w:val="none" w:sz="0" w:space="0" w:color="auto"/>
            <w:right w:val="none" w:sz="0" w:space="0" w:color="auto"/>
          </w:divBdr>
        </w:div>
        <w:div w:id="14969232">
          <w:marLeft w:val="0"/>
          <w:marRight w:val="0"/>
          <w:marTop w:val="0"/>
          <w:marBottom w:val="101"/>
          <w:divBdr>
            <w:top w:val="none" w:sz="0" w:space="0" w:color="auto"/>
            <w:left w:val="none" w:sz="0" w:space="0" w:color="auto"/>
            <w:bottom w:val="none" w:sz="0" w:space="0" w:color="auto"/>
            <w:right w:val="none" w:sz="0" w:space="0" w:color="auto"/>
          </w:divBdr>
        </w:div>
        <w:div w:id="1582712990">
          <w:marLeft w:val="0"/>
          <w:marRight w:val="0"/>
          <w:marTop w:val="0"/>
          <w:marBottom w:val="101"/>
          <w:divBdr>
            <w:top w:val="none" w:sz="0" w:space="0" w:color="auto"/>
            <w:left w:val="none" w:sz="0" w:space="0" w:color="auto"/>
            <w:bottom w:val="none" w:sz="0" w:space="0" w:color="auto"/>
            <w:right w:val="none" w:sz="0" w:space="0" w:color="auto"/>
          </w:divBdr>
        </w:div>
        <w:div w:id="1843005556">
          <w:marLeft w:val="0"/>
          <w:marRight w:val="0"/>
          <w:marTop w:val="0"/>
          <w:marBottom w:val="101"/>
          <w:divBdr>
            <w:top w:val="none" w:sz="0" w:space="0" w:color="auto"/>
            <w:left w:val="none" w:sz="0" w:space="0" w:color="auto"/>
            <w:bottom w:val="none" w:sz="0" w:space="0" w:color="auto"/>
            <w:right w:val="none" w:sz="0" w:space="0" w:color="auto"/>
          </w:divBdr>
        </w:div>
        <w:div w:id="1727142016">
          <w:marLeft w:val="0"/>
          <w:marRight w:val="0"/>
          <w:marTop w:val="0"/>
          <w:marBottom w:val="101"/>
          <w:divBdr>
            <w:top w:val="none" w:sz="0" w:space="0" w:color="auto"/>
            <w:left w:val="none" w:sz="0" w:space="0" w:color="auto"/>
            <w:bottom w:val="none" w:sz="0" w:space="0" w:color="auto"/>
            <w:right w:val="none" w:sz="0" w:space="0" w:color="auto"/>
          </w:divBdr>
        </w:div>
        <w:div w:id="1968972196">
          <w:marLeft w:val="0"/>
          <w:marRight w:val="0"/>
          <w:marTop w:val="0"/>
          <w:marBottom w:val="101"/>
          <w:divBdr>
            <w:top w:val="none" w:sz="0" w:space="0" w:color="auto"/>
            <w:left w:val="none" w:sz="0" w:space="0" w:color="auto"/>
            <w:bottom w:val="none" w:sz="0" w:space="0" w:color="auto"/>
            <w:right w:val="none" w:sz="0" w:space="0" w:color="auto"/>
          </w:divBdr>
        </w:div>
        <w:div w:id="402022782">
          <w:marLeft w:val="864"/>
          <w:marRight w:val="0"/>
          <w:marTop w:val="0"/>
          <w:marBottom w:val="101"/>
          <w:divBdr>
            <w:top w:val="none" w:sz="0" w:space="0" w:color="auto"/>
            <w:left w:val="none" w:sz="0" w:space="0" w:color="auto"/>
            <w:bottom w:val="none" w:sz="0" w:space="0" w:color="auto"/>
            <w:right w:val="none" w:sz="0" w:space="0" w:color="auto"/>
          </w:divBdr>
        </w:div>
        <w:div w:id="883910390">
          <w:marLeft w:val="864"/>
          <w:marRight w:val="0"/>
          <w:marTop w:val="0"/>
          <w:marBottom w:val="101"/>
          <w:divBdr>
            <w:top w:val="none" w:sz="0" w:space="0" w:color="auto"/>
            <w:left w:val="none" w:sz="0" w:space="0" w:color="auto"/>
            <w:bottom w:val="none" w:sz="0" w:space="0" w:color="auto"/>
            <w:right w:val="none" w:sz="0" w:space="0" w:color="auto"/>
          </w:divBdr>
        </w:div>
        <w:div w:id="228656167">
          <w:marLeft w:val="864"/>
          <w:marRight w:val="0"/>
          <w:marTop w:val="0"/>
          <w:marBottom w:val="101"/>
          <w:divBdr>
            <w:top w:val="none" w:sz="0" w:space="0" w:color="auto"/>
            <w:left w:val="none" w:sz="0" w:space="0" w:color="auto"/>
            <w:bottom w:val="none" w:sz="0" w:space="0" w:color="auto"/>
            <w:right w:val="none" w:sz="0" w:space="0" w:color="auto"/>
          </w:divBdr>
        </w:div>
        <w:div w:id="1553494342">
          <w:marLeft w:val="0"/>
          <w:marRight w:val="0"/>
          <w:marTop w:val="0"/>
          <w:marBottom w:val="101"/>
          <w:divBdr>
            <w:top w:val="none" w:sz="0" w:space="0" w:color="auto"/>
            <w:left w:val="none" w:sz="0" w:space="0" w:color="auto"/>
            <w:bottom w:val="none" w:sz="0" w:space="0" w:color="auto"/>
            <w:right w:val="none" w:sz="0" w:space="0" w:color="auto"/>
          </w:divBdr>
        </w:div>
        <w:div w:id="947539491">
          <w:marLeft w:val="0"/>
          <w:marRight w:val="0"/>
          <w:marTop w:val="0"/>
          <w:marBottom w:val="101"/>
          <w:divBdr>
            <w:top w:val="none" w:sz="0" w:space="0" w:color="auto"/>
            <w:left w:val="none" w:sz="0" w:space="0" w:color="auto"/>
            <w:bottom w:val="none" w:sz="0" w:space="0" w:color="auto"/>
            <w:right w:val="none" w:sz="0" w:space="0" w:color="auto"/>
          </w:divBdr>
        </w:div>
        <w:div w:id="642849319">
          <w:marLeft w:val="0"/>
          <w:marRight w:val="0"/>
          <w:marTop w:val="0"/>
          <w:marBottom w:val="101"/>
          <w:divBdr>
            <w:top w:val="none" w:sz="0" w:space="0" w:color="auto"/>
            <w:left w:val="none" w:sz="0" w:space="0" w:color="auto"/>
            <w:bottom w:val="none" w:sz="0" w:space="0" w:color="auto"/>
            <w:right w:val="none" w:sz="0" w:space="0" w:color="auto"/>
          </w:divBdr>
        </w:div>
        <w:div w:id="1572809060">
          <w:marLeft w:val="0"/>
          <w:marRight w:val="0"/>
          <w:marTop w:val="0"/>
          <w:marBottom w:val="101"/>
          <w:divBdr>
            <w:top w:val="none" w:sz="0" w:space="0" w:color="auto"/>
            <w:left w:val="none" w:sz="0" w:space="0" w:color="auto"/>
            <w:bottom w:val="none" w:sz="0" w:space="0" w:color="auto"/>
            <w:right w:val="none" w:sz="0" w:space="0" w:color="auto"/>
          </w:divBdr>
        </w:div>
        <w:div w:id="9644121">
          <w:marLeft w:val="0"/>
          <w:marRight w:val="0"/>
          <w:marTop w:val="0"/>
          <w:marBottom w:val="98"/>
          <w:divBdr>
            <w:top w:val="none" w:sz="0" w:space="0" w:color="auto"/>
            <w:left w:val="none" w:sz="0" w:space="0" w:color="auto"/>
            <w:bottom w:val="none" w:sz="0" w:space="0" w:color="auto"/>
            <w:right w:val="none" w:sz="0" w:space="0" w:color="auto"/>
          </w:divBdr>
        </w:div>
        <w:div w:id="1877892113">
          <w:marLeft w:val="0"/>
          <w:marRight w:val="0"/>
          <w:marTop w:val="0"/>
          <w:marBottom w:val="98"/>
          <w:divBdr>
            <w:top w:val="none" w:sz="0" w:space="0" w:color="auto"/>
            <w:left w:val="none" w:sz="0" w:space="0" w:color="auto"/>
            <w:bottom w:val="none" w:sz="0" w:space="0" w:color="auto"/>
            <w:right w:val="none" w:sz="0" w:space="0" w:color="auto"/>
          </w:divBdr>
        </w:div>
        <w:div w:id="581334703">
          <w:marLeft w:val="0"/>
          <w:marRight w:val="0"/>
          <w:marTop w:val="0"/>
          <w:marBottom w:val="98"/>
          <w:divBdr>
            <w:top w:val="none" w:sz="0" w:space="0" w:color="auto"/>
            <w:left w:val="none" w:sz="0" w:space="0" w:color="auto"/>
            <w:bottom w:val="none" w:sz="0" w:space="0" w:color="auto"/>
            <w:right w:val="none" w:sz="0" w:space="0" w:color="auto"/>
          </w:divBdr>
        </w:div>
        <w:div w:id="1418096143">
          <w:marLeft w:val="0"/>
          <w:marRight w:val="0"/>
          <w:marTop w:val="0"/>
          <w:marBottom w:val="98"/>
          <w:divBdr>
            <w:top w:val="none" w:sz="0" w:space="0" w:color="auto"/>
            <w:left w:val="none" w:sz="0" w:space="0" w:color="auto"/>
            <w:bottom w:val="none" w:sz="0" w:space="0" w:color="auto"/>
            <w:right w:val="none" w:sz="0" w:space="0" w:color="auto"/>
          </w:divBdr>
        </w:div>
        <w:div w:id="1705444984">
          <w:marLeft w:val="864"/>
          <w:marRight w:val="0"/>
          <w:marTop w:val="0"/>
          <w:marBottom w:val="98"/>
          <w:divBdr>
            <w:top w:val="none" w:sz="0" w:space="0" w:color="auto"/>
            <w:left w:val="none" w:sz="0" w:space="0" w:color="auto"/>
            <w:bottom w:val="none" w:sz="0" w:space="0" w:color="auto"/>
            <w:right w:val="none" w:sz="0" w:space="0" w:color="auto"/>
          </w:divBdr>
        </w:div>
        <w:div w:id="1084031256">
          <w:marLeft w:val="864"/>
          <w:marRight w:val="0"/>
          <w:marTop w:val="0"/>
          <w:marBottom w:val="98"/>
          <w:divBdr>
            <w:top w:val="none" w:sz="0" w:space="0" w:color="auto"/>
            <w:left w:val="none" w:sz="0" w:space="0" w:color="auto"/>
            <w:bottom w:val="none" w:sz="0" w:space="0" w:color="auto"/>
            <w:right w:val="none" w:sz="0" w:space="0" w:color="auto"/>
          </w:divBdr>
        </w:div>
        <w:div w:id="1830319048">
          <w:marLeft w:val="864"/>
          <w:marRight w:val="0"/>
          <w:marTop w:val="0"/>
          <w:marBottom w:val="98"/>
          <w:divBdr>
            <w:top w:val="none" w:sz="0" w:space="0" w:color="auto"/>
            <w:left w:val="none" w:sz="0" w:space="0" w:color="auto"/>
            <w:bottom w:val="none" w:sz="0" w:space="0" w:color="auto"/>
            <w:right w:val="none" w:sz="0" w:space="0" w:color="auto"/>
          </w:divBdr>
        </w:div>
        <w:div w:id="2003043906">
          <w:marLeft w:val="864"/>
          <w:marRight w:val="0"/>
          <w:marTop w:val="0"/>
          <w:marBottom w:val="98"/>
          <w:divBdr>
            <w:top w:val="none" w:sz="0" w:space="0" w:color="auto"/>
            <w:left w:val="none" w:sz="0" w:space="0" w:color="auto"/>
            <w:bottom w:val="none" w:sz="0" w:space="0" w:color="auto"/>
            <w:right w:val="none" w:sz="0" w:space="0" w:color="auto"/>
          </w:divBdr>
        </w:div>
        <w:div w:id="784692960">
          <w:marLeft w:val="0"/>
          <w:marRight w:val="0"/>
          <w:marTop w:val="0"/>
          <w:marBottom w:val="98"/>
          <w:divBdr>
            <w:top w:val="none" w:sz="0" w:space="0" w:color="auto"/>
            <w:left w:val="none" w:sz="0" w:space="0" w:color="auto"/>
            <w:bottom w:val="none" w:sz="0" w:space="0" w:color="auto"/>
            <w:right w:val="none" w:sz="0" w:space="0" w:color="auto"/>
          </w:divBdr>
        </w:div>
        <w:div w:id="250625028">
          <w:marLeft w:val="0"/>
          <w:marRight w:val="0"/>
          <w:marTop w:val="0"/>
          <w:marBottom w:val="98"/>
          <w:divBdr>
            <w:top w:val="none" w:sz="0" w:space="0" w:color="auto"/>
            <w:left w:val="none" w:sz="0" w:space="0" w:color="auto"/>
            <w:bottom w:val="none" w:sz="0" w:space="0" w:color="auto"/>
            <w:right w:val="none" w:sz="0" w:space="0" w:color="auto"/>
          </w:divBdr>
        </w:div>
        <w:div w:id="1962031457">
          <w:marLeft w:val="0"/>
          <w:marRight w:val="0"/>
          <w:marTop w:val="0"/>
          <w:marBottom w:val="98"/>
          <w:divBdr>
            <w:top w:val="none" w:sz="0" w:space="0" w:color="auto"/>
            <w:left w:val="none" w:sz="0" w:space="0" w:color="auto"/>
            <w:bottom w:val="none" w:sz="0" w:space="0" w:color="auto"/>
            <w:right w:val="none" w:sz="0" w:space="0" w:color="auto"/>
          </w:divBdr>
        </w:div>
        <w:div w:id="1504319756">
          <w:marLeft w:val="864"/>
          <w:marRight w:val="0"/>
          <w:marTop w:val="0"/>
          <w:marBottom w:val="98"/>
          <w:divBdr>
            <w:top w:val="none" w:sz="0" w:space="0" w:color="auto"/>
            <w:left w:val="none" w:sz="0" w:space="0" w:color="auto"/>
            <w:bottom w:val="none" w:sz="0" w:space="0" w:color="auto"/>
            <w:right w:val="none" w:sz="0" w:space="0" w:color="auto"/>
          </w:divBdr>
        </w:div>
        <w:div w:id="2114209143">
          <w:marLeft w:val="864"/>
          <w:marRight w:val="0"/>
          <w:marTop w:val="0"/>
          <w:marBottom w:val="98"/>
          <w:divBdr>
            <w:top w:val="none" w:sz="0" w:space="0" w:color="auto"/>
            <w:left w:val="none" w:sz="0" w:space="0" w:color="auto"/>
            <w:bottom w:val="none" w:sz="0" w:space="0" w:color="auto"/>
            <w:right w:val="none" w:sz="0" w:space="0" w:color="auto"/>
          </w:divBdr>
        </w:div>
        <w:div w:id="2076393899">
          <w:marLeft w:val="864"/>
          <w:marRight w:val="0"/>
          <w:marTop w:val="0"/>
          <w:marBottom w:val="98"/>
          <w:divBdr>
            <w:top w:val="none" w:sz="0" w:space="0" w:color="auto"/>
            <w:left w:val="none" w:sz="0" w:space="0" w:color="auto"/>
            <w:bottom w:val="none" w:sz="0" w:space="0" w:color="auto"/>
            <w:right w:val="none" w:sz="0" w:space="0" w:color="auto"/>
          </w:divBdr>
        </w:div>
        <w:div w:id="1556352756">
          <w:marLeft w:val="0"/>
          <w:marRight w:val="0"/>
          <w:marTop w:val="0"/>
          <w:marBottom w:val="101"/>
          <w:divBdr>
            <w:top w:val="none" w:sz="0" w:space="0" w:color="auto"/>
            <w:left w:val="none" w:sz="0" w:space="0" w:color="auto"/>
            <w:bottom w:val="none" w:sz="0" w:space="0" w:color="auto"/>
            <w:right w:val="none" w:sz="0" w:space="0" w:color="auto"/>
          </w:divBdr>
        </w:div>
        <w:div w:id="1109353339">
          <w:marLeft w:val="0"/>
          <w:marRight w:val="0"/>
          <w:marTop w:val="0"/>
          <w:marBottom w:val="46"/>
          <w:divBdr>
            <w:top w:val="none" w:sz="0" w:space="0" w:color="auto"/>
            <w:left w:val="none" w:sz="0" w:space="0" w:color="auto"/>
            <w:bottom w:val="none" w:sz="0" w:space="0" w:color="auto"/>
            <w:right w:val="none" w:sz="0" w:space="0" w:color="auto"/>
          </w:divBdr>
        </w:div>
        <w:div w:id="431361322">
          <w:marLeft w:val="0"/>
          <w:marRight w:val="0"/>
          <w:marTop w:val="0"/>
          <w:marBottom w:val="46"/>
          <w:divBdr>
            <w:top w:val="none" w:sz="0" w:space="0" w:color="auto"/>
            <w:left w:val="none" w:sz="0" w:space="0" w:color="auto"/>
            <w:bottom w:val="none" w:sz="0" w:space="0" w:color="auto"/>
            <w:right w:val="none" w:sz="0" w:space="0" w:color="auto"/>
          </w:divBdr>
        </w:div>
        <w:div w:id="566573104">
          <w:marLeft w:val="0"/>
          <w:marRight w:val="0"/>
          <w:marTop w:val="0"/>
          <w:marBottom w:val="46"/>
          <w:divBdr>
            <w:top w:val="none" w:sz="0" w:space="0" w:color="auto"/>
            <w:left w:val="none" w:sz="0" w:space="0" w:color="auto"/>
            <w:bottom w:val="none" w:sz="0" w:space="0" w:color="auto"/>
            <w:right w:val="none" w:sz="0" w:space="0" w:color="auto"/>
          </w:divBdr>
        </w:div>
        <w:div w:id="799032725">
          <w:marLeft w:val="0"/>
          <w:marRight w:val="0"/>
          <w:marTop w:val="0"/>
          <w:marBottom w:val="46"/>
          <w:divBdr>
            <w:top w:val="none" w:sz="0" w:space="0" w:color="auto"/>
            <w:left w:val="none" w:sz="0" w:space="0" w:color="auto"/>
            <w:bottom w:val="none" w:sz="0" w:space="0" w:color="auto"/>
            <w:right w:val="none" w:sz="0" w:space="0" w:color="auto"/>
          </w:divBdr>
        </w:div>
        <w:div w:id="310066883">
          <w:marLeft w:val="0"/>
          <w:marRight w:val="0"/>
          <w:marTop w:val="0"/>
          <w:marBottom w:val="46"/>
          <w:divBdr>
            <w:top w:val="none" w:sz="0" w:space="0" w:color="auto"/>
            <w:left w:val="none" w:sz="0" w:space="0" w:color="auto"/>
            <w:bottom w:val="none" w:sz="0" w:space="0" w:color="auto"/>
            <w:right w:val="none" w:sz="0" w:space="0" w:color="auto"/>
          </w:divBdr>
        </w:div>
        <w:div w:id="1597515082">
          <w:marLeft w:val="0"/>
          <w:marRight w:val="0"/>
          <w:marTop w:val="0"/>
          <w:marBottom w:val="46"/>
          <w:divBdr>
            <w:top w:val="none" w:sz="0" w:space="0" w:color="auto"/>
            <w:left w:val="none" w:sz="0" w:space="0" w:color="auto"/>
            <w:bottom w:val="none" w:sz="0" w:space="0" w:color="auto"/>
            <w:right w:val="none" w:sz="0" w:space="0" w:color="auto"/>
          </w:divBdr>
        </w:div>
        <w:div w:id="769665300">
          <w:marLeft w:val="0"/>
          <w:marRight w:val="0"/>
          <w:marTop w:val="0"/>
          <w:marBottom w:val="46"/>
          <w:divBdr>
            <w:top w:val="none" w:sz="0" w:space="0" w:color="auto"/>
            <w:left w:val="none" w:sz="0" w:space="0" w:color="auto"/>
            <w:bottom w:val="none" w:sz="0" w:space="0" w:color="auto"/>
            <w:right w:val="none" w:sz="0" w:space="0" w:color="auto"/>
          </w:divBdr>
        </w:div>
        <w:div w:id="1972443780">
          <w:marLeft w:val="0"/>
          <w:marRight w:val="0"/>
          <w:marTop w:val="0"/>
          <w:marBottom w:val="46"/>
          <w:divBdr>
            <w:top w:val="none" w:sz="0" w:space="0" w:color="auto"/>
            <w:left w:val="none" w:sz="0" w:space="0" w:color="auto"/>
            <w:bottom w:val="none" w:sz="0" w:space="0" w:color="auto"/>
            <w:right w:val="none" w:sz="0" w:space="0" w:color="auto"/>
          </w:divBdr>
        </w:div>
        <w:div w:id="1199123321">
          <w:marLeft w:val="0"/>
          <w:marRight w:val="0"/>
          <w:marTop w:val="0"/>
          <w:marBottom w:val="46"/>
          <w:divBdr>
            <w:top w:val="none" w:sz="0" w:space="0" w:color="auto"/>
            <w:left w:val="none" w:sz="0" w:space="0" w:color="auto"/>
            <w:bottom w:val="none" w:sz="0" w:space="0" w:color="auto"/>
            <w:right w:val="none" w:sz="0" w:space="0" w:color="auto"/>
          </w:divBdr>
        </w:div>
        <w:div w:id="1134955712">
          <w:marLeft w:val="0"/>
          <w:marRight w:val="0"/>
          <w:marTop w:val="0"/>
          <w:marBottom w:val="46"/>
          <w:divBdr>
            <w:top w:val="none" w:sz="0" w:space="0" w:color="auto"/>
            <w:left w:val="none" w:sz="0" w:space="0" w:color="auto"/>
            <w:bottom w:val="none" w:sz="0" w:space="0" w:color="auto"/>
            <w:right w:val="none" w:sz="0" w:space="0" w:color="auto"/>
          </w:divBdr>
        </w:div>
        <w:div w:id="725639073">
          <w:marLeft w:val="864"/>
          <w:marRight w:val="0"/>
          <w:marTop w:val="0"/>
          <w:marBottom w:val="46"/>
          <w:divBdr>
            <w:top w:val="none" w:sz="0" w:space="0" w:color="auto"/>
            <w:left w:val="none" w:sz="0" w:space="0" w:color="auto"/>
            <w:bottom w:val="none" w:sz="0" w:space="0" w:color="auto"/>
            <w:right w:val="none" w:sz="0" w:space="0" w:color="auto"/>
          </w:divBdr>
        </w:div>
        <w:div w:id="962492962">
          <w:marLeft w:val="0"/>
          <w:marRight w:val="0"/>
          <w:marTop w:val="0"/>
          <w:marBottom w:val="46"/>
          <w:divBdr>
            <w:top w:val="none" w:sz="0" w:space="0" w:color="auto"/>
            <w:left w:val="none" w:sz="0" w:space="0" w:color="auto"/>
            <w:bottom w:val="none" w:sz="0" w:space="0" w:color="auto"/>
            <w:right w:val="none" w:sz="0" w:space="0" w:color="auto"/>
          </w:divBdr>
        </w:div>
        <w:div w:id="530654966">
          <w:marLeft w:val="864"/>
          <w:marRight w:val="0"/>
          <w:marTop w:val="0"/>
          <w:marBottom w:val="46"/>
          <w:divBdr>
            <w:top w:val="none" w:sz="0" w:space="0" w:color="auto"/>
            <w:left w:val="none" w:sz="0" w:space="0" w:color="auto"/>
            <w:bottom w:val="none" w:sz="0" w:space="0" w:color="auto"/>
            <w:right w:val="none" w:sz="0" w:space="0" w:color="auto"/>
          </w:divBdr>
        </w:div>
        <w:div w:id="1156919154">
          <w:marLeft w:val="1296"/>
          <w:marRight w:val="0"/>
          <w:marTop w:val="0"/>
          <w:marBottom w:val="46"/>
          <w:divBdr>
            <w:top w:val="none" w:sz="0" w:space="0" w:color="auto"/>
            <w:left w:val="none" w:sz="0" w:space="0" w:color="auto"/>
            <w:bottom w:val="none" w:sz="0" w:space="0" w:color="auto"/>
            <w:right w:val="none" w:sz="0" w:space="0" w:color="auto"/>
          </w:divBdr>
        </w:div>
        <w:div w:id="1066146600">
          <w:marLeft w:val="1296"/>
          <w:marRight w:val="0"/>
          <w:marTop w:val="0"/>
          <w:marBottom w:val="46"/>
          <w:divBdr>
            <w:top w:val="none" w:sz="0" w:space="0" w:color="auto"/>
            <w:left w:val="none" w:sz="0" w:space="0" w:color="auto"/>
            <w:bottom w:val="none" w:sz="0" w:space="0" w:color="auto"/>
            <w:right w:val="none" w:sz="0" w:space="0" w:color="auto"/>
          </w:divBdr>
        </w:div>
        <w:div w:id="1510289911">
          <w:marLeft w:val="1296"/>
          <w:marRight w:val="0"/>
          <w:marTop w:val="0"/>
          <w:marBottom w:val="46"/>
          <w:divBdr>
            <w:top w:val="none" w:sz="0" w:space="0" w:color="auto"/>
            <w:left w:val="none" w:sz="0" w:space="0" w:color="auto"/>
            <w:bottom w:val="none" w:sz="0" w:space="0" w:color="auto"/>
            <w:right w:val="none" w:sz="0" w:space="0" w:color="auto"/>
          </w:divBdr>
        </w:div>
        <w:div w:id="1537540894">
          <w:marLeft w:val="1728"/>
          <w:marRight w:val="0"/>
          <w:marTop w:val="0"/>
          <w:marBottom w:val="46"/>
          <w:divBdr>
            <w:top w:val="none" w:sz="0" w:space="0" w:color="auto"/>
            <w:left w:val="none" w:sz="0" w:space="0" w:color="auto"/>
            <w:bottom w:val="none" w:sz="0" w:space="0" w:color="auto"/>
            <w:right w:val="none" w:sz="0" w:space="0" w:color="auto"/>
          </w:divBdr>
        </w:div>
        <w:div w:id="289820997">
          <w:marLeft w:val="1728"/>
          <w:marRight w:val="0"/>
          <w:marTop w:val="0"/>
          <w:marBottom w:val="46"/>
          <w:divBdr>
            <w:top w:val="none" w:sz="0" w:space="0" w:color="auto"/>
            <w:left w:val="none" w:sz="0" w:space="0" w:color="auto"/>
            <w:bottom w:val="none" w:sz="0" w:space="0" w:color="auto"/>
            <w:right w:val="none" w:sz="0" w:space="0" w:color="auto"/>
          </w:divBdr>
        </w:div>
        <w:div w:id="1469317153">
          <w:marLeft w:val="1728"/>
          <w:marRight w:val="0"/>
          <w:marTop w:val="0"/>
          <w:marBottom w:val="46"/>
          <w:divBdr>
            <w:top w:val="none" w:sz="0" w:space="0" w:color="auto"/>
            <w:left w:val="none" w:sz="0" w:space="0" w:color="auto"/>
            <w:bottom w:val="none" w:sz="0" w:space="0" w:color="auto"/>
            <w:right w:val="none" w:sz="0" w:space="0" w:color="auto"/>
          </w:divBdr>
        </w:div>
        <w:div w:id="2050908313">
          <w:marLeft w:val="1728"/>
          <w:marRight w:val="0"/>
          <w:marTop w:val="0"/>
          <w:marBottom w:val="46"/>
          <w:divBdr>
            <w:top w:val="none" w:sz="0" w:space="0" w:color="auto"/>
            <w:left w:val="none" w:sz="0" w:space="0" w:color="auto"/>
            <w:bottom w:val="none" w:sz="0" w:space="0" w:color="auto"/>
            <w:right w:val="none" w:sz="0" w:space="0" w:color="auto"/>
          </w:divBdr>
        </w:div>
        <w:div w:id="1759674284">
          <w:marLeft w:val="1728"/>
          <w:marRight w:val="0"/>
          <w:marTop w:val="0"/>
          <w:marBottom w:val="46"/>
          <w:divBdr>
            <w:top w:val="none" w:sz="0" w:space="0" w:color="auto"/>
            <w:left w:val="none" w:sz="0" w:space="0" w:color="auto"/>
            <w:bottom w:val="none" w:sz="0" w:space="0" w:color="auto"/>
            <w:right w:val="none" w:sz="0" w:space="0" w:color="auto"/>
          </w:divBdr>
        </w:div>
        <w:div w:id="614290037">
          <w:marLeft w:val="1728"/>
          <w:marRight w:val="0"/>
          <w:marTop w:val="0"/>
          <w:marBottom w:val="46"/>
          <w:divBdr>
            <w:top w:val="none" w:sz="0" w:space="0" w:color="auto"/>
            <w:left w:val="none" w:sz="0" w:space="0" w:color="auto"/>
            <w:bottom w:val="none" w:sz="0" w:space="0" w:color="auto"/>
            <w:right w:val="none" w:sz="0" w:space="0" w:color="auto"/>
          </w:divBdr>
        </w:div>
        <w:div w:id="1653439197">
          <w:marLeft w:val="1728"/>
          <w:marRight w:val="0"/>
          <w:marTop w:val="0"/>
          <w:marBottom w:val="46"/>
          <w:divBdr>
            <w:top w:val="none" w:sz="0" w:space="0" w:color="auto"/>
            <w:left w:val="none" w:sz="0" w:space="0" w:color="auto"/>
            <w:bottom w:val="none" w:sz="0" w:space="0" w:color="auto"/>
            <w:right w:val="none" w:sz="0" w:space="0" w:color="auto"/>
          </w:divBdr>
        </w:div>
        <w:div w:id="492916717">
          <w:marLeft w:val="864"/>
          <w:marRight w:val="0"/>
          <w:marTop w:val="0"/>
          <w:marBottom w:val="101"/>
          <w:divBdr>
            <w:top w:val="none" w:sz="0" w:space="0" w:color="auto"/>
            <w:left w:val="none" w:sz="0" w:space="0" w:color="auto"/>
            <w:bottom w:val="none" w:sz="0" w:space="0" w:color="auto"/>
            <w:right w:val="none" w:sz="0" w:space="0" w:color="auto"/>
          </w:divBdr>
        </w:div>
        <w:div w:id="1254440411">
          <w:marLeft w:val="0"/>
          <w:marRight w:val="0"/>
          <w:marTop w:val="0"/>
          <w:marBottom w:val="86"/>
          <w:divBdr>
            <w:top w:val="none" w:sz="0" w:space="0" w:color="auto"/>
            <w:left w:val="none" w:sz="0" w:space="0" w:color="auto"/>
            <w:bottom w:val="none" w:sz="0" w:space="0" w:color="auto"/>
            <w:right w:val="none" w:sz="0" w:space="0" w:color="auto"/>
          </w:divBdr>
        </w:div>
        <w:div w:id="348261298">
          <w:marLeft w:val="0"/>
          <w:marRight w:val="0"/>
          <w:marTop w:val="0"/>
          <w:marBottom w:val="86"/>
          <w:divBdr>
            <w:top w:val="none" w:sz="0" w:space="0" w:color="auto"/>
            <w:left w:val="none" w:sz="0" w:space="0" w:color="auto"/>
            <w:bottom w:val="none" w:sz="0" w:space="0" w:color="auto"/>
            <w:right w:val="none" w:sz="0" w:space="0" w:color="auto"/>
          </w:divBdr>
        </w:div>
        <w:div w:id="1236210834">
          <w:marLeft w:val="0"/>
          <w:marRight w:val="0"/>
          <w:marTop w:val="0"/>
          <w:marBottom w:val="86"/>
          <w:divBdr>
            <w:top w:val="none" w:sz="0" w:space="0" w:color="auto"/>
            <w:left w:val="none" w:sz="0" w:space="0" w:color="auto"/>
            <w:bottom w:val="none" w:sz="0" w:space="0" w:color="auto"/>
            <w:right w:val="none" w:sz="0" w:space="0" w:color="auto"/>
          </w:divBdr>
        </w:div>
        <w:div w:id="643701760">
          <w:marLeft w:val="0"/>
          <w:marRight w:val="0"/>
          <w:marTop w:val="0"/>
          <w:marBottom w:val="86"/>
          <w:divBdr>
            <w:top w:val="none" w:sz="0" w:space="0" w:color="auto"/>
            <w:left w:val="none" w:sz="0" w:space="0" w:color="auto"/>
            <w:bottom w:val="none" w:sz="0" w:space="0" w:color="auto"/>
            <w:right w:val="none" w:sz="0" w:space="0" w:color="auto"/>
          </w:divBdr>
        </w:div>
        <w:div w:id="1109160020">
          <w:marLeft w:val="0"/>
          <w:marRight w:val="0"/>
          <w:marTop w:val="0"/>
          <w:marBottom w:val="86"/>
          <w:divBdr>
            <w:top w:val="none" w:sz="0" w:space="0" w:color="auto"/>
            <w:left w:val="none" w:sz="0" w:space="0" w:color="auto"/>
            <w:bottom w:val="none" w:sz="0" w:space="0" w:color="auto"/>
            <w:right w:val="none" w:sz="0" w:space="0" w:color="auto"/>
          </w:divBdr>
        </w:div>
        <w:div w:id="2134012209">
          <w:marLeft w:val="0"/>
          <w:marRight w:val="0"/>
          <w:marTop w:val="0"/>
          <w:marBottom w:val="86"/>
          <w:divBdr>
            <w:top w:val="none" w:sz="0" w:space="0" w:color="auto"/>
            <w:left w:val="none" w:sz="0" w:space="0" w:color="auto"/>
            <w:bottom w:val="none" w:sz="0" w:space="0" w:color="auto"/>
            <w:right w:val="none" w:sz="0" w:space="0" w:color="auto"/>
          </w:divBdr>
        </w:div>
        <w:div w:id="2099862083">
          <w:marLeft w:val="864"/>
          <w:marRight w:val="0"/>
          <w:marTop w:val="0"/>
          <w:marBottom w:val="86"/>
          <w:divBdr>
            <w:top w:val="none" w:sz="0" w:space="0" w:color="auto"/>
            <w:left w:val="none" w:sz="0" w:space="0" w:color="auto"/>
            <w:bottom w:val="none" w:sz="0" w:space="0" w:color="auto"/>
            <w:right w:val="none" w:sz="0" w:space="0" w:color="auto"/>
          </w:divBdr>
        </w:div>
        <w:div w:id="1855533951">
          <w:marLeft w:val="0"/>
          <w:marRight w:val="0"/>
          <w:marTop w:val="0"/>
          <w:marBottom w:val="86"/>
          <w:divBdr>
            <w:top w:val="none" w:sz="0" w:space="0" w:color="auto"/>
            <w:left w:val="none" w:sz="0" w:space="0" w:color="auto"/>
            <w:bottom w:val="none" w:sz="0" w:space="0" w:color="auto"/>
            <w:right w:val="none" w:sz="0" w:space="0" w:color="auto"/>
          </w:divBdr>
        </w:div>
        <w:div w:id="769743095">
          <w:marLeft w:val="0"/>
          <w:marRight w:val="0"/>
          <w:marTop w:val="0"/>
          <w:marBottom w:val="86"/>
          <w:divBdr>
            <w:top w:val="none" w:sz="0" w:space="0" w:color="auto"/>
            <w:left w:val="none" w:sz="0" w:space="0" w:color="auto"/>
            <w:bottom w:val="none" w:sz="0" w:space="0" w:color="auto"/>
            <w:right w:val="none" w:sz="0" w:space="0" w:color="auto"/>
          </w:divBdr>
        </w:div>
        <w:div w:id="391733887">
          <w:marLeft w:val="0"/>
          <w:marRight w:val="0"/>
          <w:marTop w:val="0"/>
          <w:marBottom w:val="86"/>
          <w:divBdr>
            <w:top w:val="none" w:sz="0" w:space="0" w:color="auto"/>
            <w:left w:val="none" w:sz="0" w:space="0" w:color="auto"/>
            <w:bottom w:val="none" w:sz="0" w:space="0" w:color="auto"/>
            <w:right w:val="none" w:sz="0" w:space="0" w:color="auto"/>
          </w:divBdr>
        </w:div>
        <w:div w:id="1411737521">
          <w:marLeft w:val="0"/>
          <w:marRight w:val="0"/>
          <w:marTop w:val="0"/>
          <w:marBottom w:val="86"/>
          <w:divBdr>
            <w:top w:val="none" w:sz="0" w:space="0" w:color="auto"/>
            <w:left w:val="none" w:sz="0" w:space="0" w:color="auto"/>
            <w:bottom w:val="none" w:sz="0" w:space="0" w:color="auto"/>
            <w:right w:val="none" w:sz="0" w:space="0" w:color="auto"/>
          </w:divBdr>
        </w:div>
        <w:div w:id="326251581">
          <w:marLeft w:val="0"/>
          <w:marRight w:val="0"/>
          <w:marTop w:val="0"/>
          <w:marBottom w:val="86"/>
          <w:divBdr>
            <w:top w:val="none" w:sz="0" w:space="0" w:color="auto"/>
            <w:left w:val="none" w:sz="0" w:space="0" w:color="auto"/>
            <w:bottom w:val="none" w:sz="0" w:space="0" w:color="auto"/>
            <w:right w:val="none" w:sz="0" w:space="0" w:color="auto"/>
          </w:divBdr>
        </w:div>
        <w:div w:id="372465609">
          <w:marLeft w:val="0"/>
          <w:marRight w:val="0"/>
          <w:marTop w:val="0"/>
          <w:marBottom w:val="86"/>
          <w:divBdr>
            <w:top w:val="none" w:sz="0" w:space="0" w:color="auto"/>
            <w:left w:val="none" w:sz="0" w:space="0" w:color="auto"/>
            <w:bottom w:val="none" w:sz="0" w:space="0" w:color="auto"/>
            <w:right w:val="none" w:sz="0" w:space="0" w:color="auto"/>
          </w:divBdr>
        </w:div>
        <w:div w:id="937182432">
          <w:marLeft w:val="864"/>
          <w:marRight w:val="0"/>
          <w:marTop w:val="0"/>
          <w:marBottom w:val="86"/>
          <w:divBdr>
            <w:top w:val="none" w:sz="0" w:space="0" w:color="auto"/>
            <w:left w:val="none" w:sz="0" w:space="0" w:color="auto"/>
            <w:bottom w:val="none" w:sz="0" w:space="0" w:color="auto"/>
            <w:right w:val="none" w:sz="0" w:space="0" w:color="auto"/>
          </w:divBdr>
        </w:div>
        <w:div w:id="1534415629">
          <w:marLeft w:val="864"/>
          <w:marRight w:val="0"/>
          <w:marTop w:val="0"/>
          <w:marBottom w:val="86"/>
          <w:divBdr>
            <w:top w:val="none" w:sz="0" w:space="0" w:color="auto"/>
            <w:left w:val="none" w:sz="0" w:space="0" w:color="auto"/>
            <w:bottom w:val="none" w:sz="0" w:space="0" w:color="auto"/>
            <w:right w:val="none" w:sz="0" w:space="0" w:color="auto"/>
          </w:divBdr>
        </w:div>
        <w:div w:id="1282371864">
          <w:marLeft w:val="864"/>
          <w:marRight w:val="0"/>
          <w:marTop w:val="0"/>
          <w:marBottom w:val="86"/>
          <w:divBdr>
            <w:top w:val="none" w:sz="0" w:space="0" w:color="auto"/>
            <w:left w:val="none" w:sz="0" w:space="0" w:color="auto"/>
            <w:bottom w:val="none" w:sz="0" w:space="0" w:color="auto"/>
            <w:right w:val="none" w:sz="0" w:space="0" w:color="auto"/>
          </w:divBdr>
        </w:div>
        <w:div w:id="1049377868">
          <w:marLeft w:val="864"/>
          <w:marRight w:val="0"/>
          <w:marTop w:val="0"/>
          <w:marBottom w:val="86"/>
          <w:divBdr>
            <w:top w:val="none" w:sz="0" w:space="0" w:color="auto"/>
            <w:left w:val="none" w:sz="0" w:space="0" w:color="auto"/>
            <w:bottom w:val="none" w:sz="0" w:space="0" w:color="auto"/>
            <w:right w:val="none" w:sz="0" w:space="0" w:color="auto"/>
          </w:divBdr>
        </w:div>
        <w:div w:id="1090004138">
          <w:marLeft w:val="0"/>
          <w:marRight w:val="0"/>
          <w:marTop w:val="0"/>
          <w:marBottom w:val="101"/>
          <w:divBdr>
            <w:top w:val="none" w:sz="0" w:space="0" w:color="auto"/>
            <w:left w:val="none" w:sz="0" w:space="0" w:color="auto"/>
            <w:bottom w:val="none" w:sz="0" w:space="0" w:color="auto"/>
            <w:right w:val="none" w:sz="0" w:space="0" w:color="auto"/>
          </w:divBdr>
        </w:div>
        <w:div w:id="693700499">
          <w:marLeft w:val="0"/>
          <w:marRight w:val="0"/>
          <w:marTop w:val="0"/>
          <w:marBottom w:val="101"/>
          <w:divBdr>
            <w:top w:val="none" w:sz="0" w:space="0" w:color="auto"/>
            <w:left w:val="none" w:sz="0" w:space="0" w:color="auto"/>
            <w:bottom w:val="none" w:sz="0" w:space="0" w:color="auto"/>
            <w:right w:val="none" w:sz="0" w:space="0" w:color="auto"/>
          </w:divBdr>
        </w:div>
        <w:div w:id="497036343">
          <w:marLeft w:val="0"/>
          <w:marRight w:val="0"/>
          <w:marTop w:val="0"/>
          <w:marBottom w:val="87"/>
          <w:divBdr>
            <w:top w:val="none" w:sz="0" w:space="0" w:color="auto"/>
            <w:left w:val="none" w:sz="0" w:space="0" w:color="auto"/>
            <w:bottom w:val="none" w:sz="0" w:space="0" w:color="auto"/>
            <w:right w:val="none" w:sz="0" w:space="0" w:color="auto"/>
          </w:divBdr>
        </w:div>
        <w:div w:id="1323119197">
          <w:marLeft w:val="0"/>
          <w:marRight w:val="0"/>
          <w:marTop w:val="0"/>
          <w:marBottom w:val="87"/>
          <w:divBdr>
            <w:top w:val="none" w:sz="0" w:space="0" w:color="auto"/>
            <w:left w:val="none" w:sz="0" w:space="0" w:color="auto"/>
            <w:bottom w:val="none" w:sz="0" w:space="0" w:color="auto"/>
            <w:right w:val="none" w:sz="0" w:space="0" w:color="auto"/>
          </w:divBdr>
        </w:div>
        <w:div w:id="1052775311">
          <w:marLeft w:val="0"/>
          <w:marRight w:val="0"/>
          <w:marTop w:val="0"/>
          <w:marBottom w:val="87"/>
          <w:divBdr>
            <w:top w:val="none" w:sz="0" w:space="0" w:color="auto"/>
            <w:left w:val="none" w:sz="0" w:space="0" w:color="auto"/>
            <w:bottom w:val="none" w:sz="0" w:space="0" w:color="auto"/>
            <w:right w:val="none" w:sz="0" w:space="0" w:color="auto"/>
          </w:divBdr>
        </w:div>
        <w:div w:id="1652520791">
          <w:marLeft w:val="0"/>
          <w:marRight w:val="0"/>
          <w:marTop w:val="0"/>
          <w:marBottom w:val="87"/>
          <w:divBdr>
            <w:top w:val="none" w:sz="0" w:space="0" w:color="auto"/>
            <w:left w:val="none" w:sz="0" w:space="0" w:color="auto"/>
            <w:bottom w:val="none" w:sz="0" w:space="0" w:color="auto"/>
            <w:right w:val="none" w:sz="0" w:space="0" w:color="auto"/>
          </w:divBdr>
        </w:div>
        <w:div w:id="1693217412">
          <w:marLeft w:val="0"/>
          <w:marRight w:val="0"/>
          <w:marTop w:val="0"/>
          <w:marBottom w:val="87"/>
          <w:divBdr>
            <w:top w:val="none" w:sz="0" w:space="0" w:color="auto"/>
            <w:left w:val="none" w:sz="0" w:space="0" w:color="auto"/>
            <w:bottom w:val="none" w:sz="0" w:space="0" w:color="auto"/>
            <w:right w:val="none" w:sz="0" w:space="0" w:color="auto"/>
          </w:divBdr>
        </w:div>
        <w:div w:id="1548762881">
          <w:marLeft w:val="0"/>
          <w:marRight w:val="0"/>
          <w:marTop w:val="0"/>
          <w:marBottom w:val="87"/>
          <w:divBdr>
            <w:top w:val="none" w:sz="0" w:space="0" w:color="auto"/>
            <w:left w:val="none" w:sz="0" w:space="0" w:color="auto"/>
            <w:bottom w:val="none" w:sz="0" w:space="0" w:color="auto"/>
            <w:right w:val="none" w:sz="0" w:space="0" w:color="auto"/>
          </w:divBdr>
        </w:div>
        <w:div w:id="876821259">
          <w:marLeft w:val="864"/>
          <w:marRight w:val="0"/>
          <w:marTop w:val="0"/>
          <w:marBottom w:val="87"/>
          <w:divBdr>
            <w:top w:val="none" w:sz="0" w:space="0" w:color="auto"/>
            <w:left w:val="none" w:sz="0" w:space="0" w:color="auto"/>
            <w:bottom w:val="none" w:sz="0" w:space="0" w:color="auto"/>
            <w:right w:val="none" w:sz="0" w:space="0" w:color="auto"/>
          </w:divBdr>
        </w:div>
        <w:div w:id="896815388">
          <w:marLeft w:val="0"/>
          <w:marRight w:val="0"/>
          <w:marTop w:val="0"/>
          <w:marBottom w:val="87"/>
          <w:divBdr>
            <w:top w:val="none" w:sz="0" w:space="0" w:color="auto"/>
            <w:left w:val="none" w:sz="0" w:space="0" w:color="auto"/>
            <w:bottom w:val="none" w:sz="0" w:space="0" w:color="auto"/>
            <w:right w:val="none" w:sz="0" w:space="0" w:color="auto"/>
          </w:divBdr>
        </w:div>
        <w:div w:id="886184026">
          <w:marLeft w:val="0"/>
          <w:marRight w:val="0"/>
          <w:marTop w:val="0"/>
          <w:marBottom w:val="87"/>
          <w:divBdr>
            <w:top w:val="none" w:sz="0" w:space="0" w:color="auto"/>
            <w:left w:val="none" w:sz="0" w:space="0" w:color="auto"/>
            <w:bottom w:val="none" w:sz="0" w:space="0" w:color="auto"/>
            <w:right w:val="none" w:sz="0" w:space="0" w:color="auto"/>
          </w:divBdr>
        </w:div>
        <w:div w:id="1211845864">
          <w:marLeft w:val="0"/>
          <w:marRight w:val="0"/>
          <w:marTop w:val="0"/>
          <w:marBottom w:val="87"/>
          <w:divBdr>
            <w:top w:val="none" w:sz="0" w:space="0" w:color="auto"/>
            <w:left w:val="none" w:sz="0" w:space="0" w:color="auto"/>
            <w:bottom w:val="none" w:sz="0" w:space="0" w:color="auto"/>
            <w:right w:val="none" w:sz="0" w:space="0" w:color="auto"/>
          </w:divBdr>
        </w:div>
        <w:div w:id="265508025">
          <w:marLeft w:val="0"/>
          <w:marRight w:val="0"/>
          <w:marTop w:val="0"/>
          <w:marBottom w:val="87"/>
          <w:divBdr>
            <w:top w:val="none" w:sz="0" w:space="0" w:color="auto"/>
            <w:left w:val="none" w:sz="0" w:space="0" w:color="auto"/>
            <w:bottom w:val="none" w:sz="0" w:space="0" w:color="auto"/>
            <w:right w:val="none" w:sz="0" w:space="0" w:color="auto"/>
          </w:divBdr>
        </w:div>
        <w:div w:id="1716155904">
          <w:marLeft w:val="0"/>
          <w:marRight w:val="0"/>
          <w:marTop w:val="0"/>
          <w:marBottom w:val="87"/>
          <w:divBdr>
            <w:top w:val="none" w:sz="0" w:space="0" w:color="auto"/>
            <w:left w:val="none" w:sz="0" w:space="0" w:color="auto"/>
            <w:bottom w:val="none" w:sz="0" w:space="0" w:color="auto"/>
            <w:right w:val="none" w:sz="0" w:space="0" w:color="auto"/>
          </w:divBdr>
        </w:div>
        <w:div w:id="63724610">
          <w:marLeft w:val="0"/>
          <w:marRight w:val="0"/>
          <w:marTop w:val="0"/>
          <w:marBottom w:val="87"/>
          <w:divBdr>
            <w:top w:val="none" w:sz="0" w:space="0" w:color="auto"/>
            <w:left w:val="none" w:sz="0" w:space="0" w:color="auto"/>
            <w:bottom w:val="none" w:sz="0" w:space="0" w:color="auto"/>
            <w:right w:val="none" w:sz="0" w:space="0" w:color="auto"/>
          </w:divBdr>
        </w:div>
        <w:div w:id="1757707696">
          <w:marLeft w:val="0"/>
          <w:marRight w:val="0"/>
          <w:marTop w:val="0"/>
          <w:marBottom w:val="87"/>
          <w:divBdr>
            <w:top w:val="none" w:sz="0" w:space="0" w:color="auto"/>
            <w:left w:val="none" w:sz="0" w:space="0" w:color="auto"/>
            <w:bottom w:val="none" w:sz="0" w:space="0" w:color="auto"/>
            <w:right w:val="none" w:sz="0" w:space="0" w:color="auto"/>
          </w:divBdr>
        </w:div>
        <w:div w:id="1944680436">
          <w:marLeft w:val="0"/>
          <w:marRight w:val="0"/>
          <w:marTop w:val="0"/>
          <w:marBottom w:val="87"/>
          <w:divBdr>
            <w:top w:val="none" w:sz="0" w:space="0" w:color="auto"/>
            <w:left w:val="none" w:sz="0" w:space="0" w:color="auto"/>
            <w:bottom w:val="none" w:sz="0" w:space="0" w:color="auto"/>
            <w:right w:val="none" w:sz="0" w:space="0" w:color="auto"/>
          </w:divBdr>
        </w:div>
        <w:div w:id="1970430581">
          <w:marLeft w:val="0"/>
          <w:marRight w:val="0"/>
          <w:marTop w:val="0"/>
          <w:marBottom w:val="87"/>
          <w:divBdr>
            <w:top w:val="none" w:sz="0" w:space="0" w:color="auto"/>
            <w:left w:val="none" w:sz="0" w:space="0" w:color="auto"/>
            <w:bottom w:val="none" w:sz="0" w:space="0" w:color="auto"/>
            <w:right w:val="none" w:sz="0" w:space="0" w:color="auto"/>
          </w:divBdr>
        </w:div>
        <w:div w:id="919867540">
          <w:marLeft w:val="0"/>
          <w:marRight w:val="0"/>
          <w:marTop w:val="0"/>
          <w:marBottom w:val="87"/>
          <w:divBdr>
            <w:top w:val="none" w:sz="0" w:space="0" w:color="auto"/>
            <w:left w:val="none" w:sz="0" w:space="0" w:color="auto"/>
            <w:bottom w:val="none" w:sz="0" w:space="0" w:color="auto"/>
            <w:right w:val="none" w:sz="0" w:space="0" w:color="auto"/>
          </w:divBdr>
        </w:div>
        <w:div w:id="58553689">
          <w:marLeft w:val="864"/>
          <w:marRight w:val="0"/>
          <w:marTop w:val="0"/>
          <w:marBottom w:val="87"/>
          <w:divBdr>
            <w:top w:val="none" w:sz="0" w:space="0" w:color="auto"/>
            <w:left w:val="none" w:sz="0" w:space="0" w:color="auto"/>
            <w:bottom w:val="none" w:sz="0" w:space="0" w:color="auto"/>
            <w:right w:val="none" w:sz="0" w:space="0" w:color="auto"/>
          </w:divBdr>
        </w:div>
        <w:div w:id="56251084">
          <w:marLeft w:val="864"/>
          <w:marRight w:val="0"/>
          <w:marTop w:val="0"/>
          <w:marBottom w:val="87"/>
          <w:divBdr>
            <w:top w:val="none" w:sz="0" w:space="0" w:color="auto"/>
            <w:left w:val="none" w:sz="0" w:space="0" w:color="auto"/>
            <w:bottom w:val="none" w:sz="0" w:space="0" w:color="auto"/>
            <w:right w:val="none" w:sz="0" w:space="0" w:color="auto"/>
          </w:divBdr>
        </w:div>
        <w:div w:id="23869486">
          <w:marLeft w:val="864"/>
          <w:marRight w:val="0"/>
          <w:marTop w:val="0"/>
          <w:marBottom w:val="87"/>
          <w:divBdr>
            <w:top w:val="none" w:sz="0" w:space="0" w:color="auto"/>
            <w:left w:val="none" w:sz="0" w:space="0" w:color="auto"/>
            <w:bottom w:val="none" w:sz="0" w:space="0" w:color="auto"/>
            <w:right w:val="none" w:sz="0" w:space="0" w:color="auto"/>
          </w:divBdr>
        </w:div>
        <w:div w:id="1335959646">
          <w:marLeft w:val="864"/>
          <w:marRight w:val="0"/>
          <w:marTop w:val="0"/>
          <w:marBottom w:val="101"/>
          <w:divBdr>
            <w:top w:val="none" w:sz="0" w:space="0" w:color="auto"/>
            <w:left w:val="none" w:sz="0" w:space="0" w:color="auto"/>
            <w:bottom w:val="none" w:sz="0" w:space="0" w:color="auto"/>
            <w:right w:val="none" w:sz="0" w:space="0" w:color="auto"/>
          </w:divBdr>
        </w:div>
        <w:div w:id="1241985152">
          <w:marLeft w:val="864"/>
          <w:marRight w:val="0"/>
          <w:marTop w:val="0"/>
          <w:marBottom w:val="101"/>
          <w:divBdr>
            <w:top w:val="none" w:sz="0" w:space="0" w:color="auto"/>
            <w:left w:val="none" w:sz="0" w:space="0" w:color="auto"/>
            <w:bottom w:val="none" w:sz="0" w:space="0" w:color="auto"/>
            <w:right w:val="none" w:sz="0" w:space="0" w:color="auto"/>
          </w:divBdr>
        </w:div>
        <w:div w:id="830291411">
          <w:marLeft w:val="864"/>
          <w:marRight w:val="0"/>
          <w:marTop w:val="0"/>
          <w:marBottom w:val="101"/>
          <w:divBdr>
            <w:top w:val="none" w:sz="0" w:space="0" w:color="auto"/>
            <w:left w:val="none" w:sz="0" w:space="0" w:color="auto"/>
            <w:bottom w:val="none" w:sz="0" w:space="0" w:color="auto"/>
            <w:right w:val="none" w:sz="0" w:space="0" w:color="auto"/>
          </w:divBdr>
        </w:div>
        <w:div w:id="1418551837">
          <w:marLeft w:val="864"/>
          <w:marRight w:val="0"/>
          <w:marTop w:val="0"/>
          <w:marBottom w:val="101"/>
          <w:divBdr>
            <w:top w:val="none" w:sz="0" w:space="0" w:color="auto"/>
            <w:left w:val="none" w:sz="0" w:space="0" w:color="auto"/>
            <w:bottom w:val="none" w:sz="0" w:space="0" w:color="auto"/>
            <w:right w:val="none" w:sz="0" w:space="0" w:color="auto"/>
          </w:divBdr>
        </w:div>
        <w:div w:id="145171233">
          <w:marLeft w:val="0"/>
          <w:marRight w:val="0"/>
          <w:marTop w:val="0"/>
          <w:marBottom w:val="101"/>
          <w:divBdr>
            <w:top w:val="none" w:sz="0" w:space="0" w:color="auto"/>
            <w:left w:val="none" w:sz="0" w:space="0" w:color="auto"/>
            <w:bottom w:val="none" w:sz="0" w:space="0" w:color="auto"/>
            <w:right w:val="none" w:sz="0" w:space="0" w:color="auto"/>
          </w:divBdr>
        </w:div>
        <w:div w:id="917397256">
          <w:marLeft w:val="0"/>
          <w:marRight w:val="0"/>
          <w:marTop w:val="0"/>
          <w:marBottom w:val="101"/>
          <w:divBdr>
            <w:top w:val="none" w:sz="0" w:space="0" w:color="auto"/>
            <w:left w:val="none" w:sz="0" w:space="0" w:color="auto"/>
            <w:bottom w:val="none" w:sz="0" w:space="0" w:color="auto"/>
            <w:right w:val="none" w:sz="0" w:space="0" w:color="auto"/>
          </w:divBdr>
        </w:div>
        <w:div w:id="1790858788">
          <w:marLeft w:val="864"/>
          <w:marRight w:val="0"/>
          <w:marTop w:val="0"/>
          <w:marBottom w:val="101"/>
          <w:divBdr>
            <w:top w:val="none" w:sz="0" w:space="0" w:color="auto"/>
            <w:left w:val="none" w:sz="0" w:space="0" w:color="auto"/>
            <w:bottom w:val="none" w:sz="0" w:space="0" w:color="auto"/>
            <w:right w:val="none" w:sz="0" w:space="0" w:color="auto"/>
          </w:divBdr>
        </w:div>
        <w:div w:id="1161652210">
          <w:marLeft w:val="864"/>
          <w:marRight w:val="0"/>
          <w:marTop w:val="0"/>
          <w:marBottom w:val="101"/>
          <w:divBdr>
            <w:top w:val="none" w:sz="0" w:space="0" w:color="auto"/>
            <w:left w:val="none" w:sz="0" w:space="0" w:color="auto"/>
            <w:bottom w:val="none" w:sz="0" w:space="0" w:color="auto"/>
            <w:right w:val="none" w:sz="0" w:space="0" w:color="auto"/>
          </w:divBdr>
        </w:div>
        <w:div w:id="1712921329">
          <w:marLeft w:val="1296"/>
          <w:marRight w:val="0"/>
          <w:marTop w:val="0"/>
          <w:marBottom w:val="101"/>
          <w:divBdr>
            <w:top w:val="none" w:sz="0" w:space="0" w:color="auto"/>
            <w:left w:val="none" w:sz="0" w:space="0" w:color="auto"/>
            <w:bottom w:val="none" w:sz="0" w:space="0" w:color="auto"/>
            <w:right w:val="none" w:sz="0" w:space="0" w:color="auto"/>
          </w:divBdr>
        </w:div>
        <w:div w:id="688139814">
          <w:marLeft w:val="1296"/>
          <w:marRight w:val="0"/>
          <w:marTop w:val="0"/>
          <w:marBottom w:val="101"/>
          <w:divBdr>
            <w:top w:val="none" w:sz="0" w:space="0" w:color="auto"/>
            <w:left w:val="none" w:sz="0" w:space="0" w:color="auto"/>
            <w:bottom w:val="none" w:sz="0" w:space="0" w:color="auto"/>
            <w:right w:val="none" w:sz="0" w:space="0" w:color="auto"/>
          </w:divBdr>
        </w:div>
        <w:div w:id="1833791679">
          <w:marLeft w:val="1296"/>
          <w:marRight w:val="0"/>
          <w:marTop w:val="0"/>
          <w:marBottom w:val="101"/>
          <w:divBdr>
            <w:top w:val="none" w:sz="0" w:space="0" w:color="auto"/>
            <w:left w:val="none" w:sz="0" w:space="0" w:color="auto"/>
            <w:bottom w:val="none" w:sz="0" w:space="0" w:color="auto"/>
            <w:right w:val="none" w:sz="0" w:space="0" w:color="auto"/>
          </w:divBdr>
        </w:div>
        <w:div w:id="1864786454">
          <w:marLeft w:val="1296"/>
          <w:marRight w:val="0"/>
          <w:marTop w:val="0"/>
          <w:marBottom w:val="101"/>
          <w:divBdr>
            <w:top w:val="none" w:sz="0" w:space="0" w:color="auto"/>
            <w:left w:val="none" w:sz="0" w:space="0" w:color="auto"/>
            <w:bottom w:val="none" w:sz="0" w:space="0" w:color="auto"/>
            <w:right w:val="none" w:sz="0" w:space="0" w:color="auto"/>
          </w:divBdr>
        </w:div>
        <w:div w:id="392698241">
          <w:marLeft w:val="864"/>
          <w:marRight w:val="0"/>
          <w:marTop w:val="0"/>
          <w:marBottom w:val="101"/>
          <w:divBdr>
            <w:top w:val="none" w:sz="0" w:space="0" w:color="auto"/>
            <w:left w:val="none" w:sz="0" w:space="0" w:color="auto"/>
            <w:bottom w:val="none" w:sz="0" w:space="0" w:color="auto"/>
            <w:right w:val="none" w:sz="0" w:space="0" w:color="auto"/>
          </w:divBdr>
        </w:div>
        <w:div w:id="194776090">
          <w:marLeft w:val="864"/>
          <w:marRight w:val="0"/>
          <w:marTop w:val="0"/>
          <w:marBottom w:val="101"/>
          <w:divBdr>
            <w:top w:val="none" w:sz="0" w:space="0" w:color="auto"/>
            <w:left w:val="none" w:sz="0" w:space="0" w:color="auto"/>
            <w:bottom w:val="none" w:sz="0" w:space="0" w:color="auto"/>
            <w:right w:val="none" w:sz="0" w:space="0" w:color="auto"/>
          </w:divBdr>
        </w:div>
        <w:div w:id="1374843566">
          <w:marLeft w:val="864"/>
          <w:marRight w:val="0"/>
          <w:marTop w:val="0"/>
          <w:marBottom w:val="101"/>
          <w:divBdr>
            <w:top w:val="none" w:sz="0" w:space="0" w:color="auto"/>
            <w:left w:val="none" w:sz="0" w:space="0" w:color="auto"/>
            <w:bottom w:val="none" w:sz="0" w:space="0" w:color="auto"/>
            <w:right w:val="none" w:sz="0" w:space="0" w:color="auto"/>
          </w:divBdr>
        </w:div>
        <w:div w:id="911811655">
          <w:marLeft w:val="864"/>
          <w:marRight w:val="0"/>
          <w:marTop w:val="0"/>
          <w:marBottom w:val="101"/>
          <w:divBdr>
            <w:top w:val="none" w:sz="0" w:space="0" w:color="auto"/>
            <w:left w:val="none" w:sz="0" w:space="0" w:color="auto"/>
            <w:bottom w:val="none" w:sz="0" w:space="0" w:color="auto"/>
            <w:right w:val="none" w:sz="0" w:space="0" w:color="auto"/>
          </w:divBdr>
        </w:div>
        <w:div w:id="1265766386">
          <w:marLeft w:val="864"/>
          <w:marRight w:val="0"/>
          <w:marTop w:val="0"/>
          <w:marBottom w:val="101"/>
          <w:divBdr>
            <w:top w:val="none" w:sz="0" w:space="0" w:color="auto"/>
            <w:left w:val="none" w:sz="0" w:space="0" w:color="auto"/>
            <w:bottom w:val="none" w:sz="0" w:space="0" w:color="auto"/>
            <w:right w:val="none" w:sz="0" w:space="0" w:color="auto"/>
          </w:divBdr>
        </w:div>
        <w:div w:id="1414813281">
          <w:marLeft w:val="864"/>
          <w:marRight w:val="0"/>
          <w:marTop w:val="0"/>
          <w:marBottom w:val="101"/>
          <w:divBdr>
            <w:top w:val="none" w:sz="0" w:space="0" w:color="auto"/>
            <w:left w:val="none" w:sz="0" w:space="0" w:color="auto"/>
            <w:bottom w:val="none" w:sz="0" w:space="0" w:color="auto"/>
            <w:right w:val="none" w:sz="0" w:space="0" w:color="auto"/>
          </w:divBdr>
        </w:div>
        <w:div w:id="1992900992">
          <w:marLeft w:val="864"/>
          <w:marRight w:val="0"/>
          <w:marTop w:val="0"/>
          <w:marBottom w:val="101"/>
          <w:divBdr>
            <w:top w:val="none" w:sz="0" w:space="0" w:color="auto"/>
            <w:left w:val="none" w:sz="0" w:space="0" w:color="auto"/>
            <w:bottom w:val="none" w:sz="0" w:space="0" w:color="auto"/>
            <w:right w:val="none" w:sz="0" w:space="0" w:color="auto"/>
          </w:divBdr>
        </w:div>
        <w:div w:id="1608778410">
          <w:marLeft w:val="864"/>
          <w:marRight w:val="0"/>
          <w:marTop w:val="0"/>
          <w:marBottom w:val="101"/>
          <w:divBdr>
            <w:top w:val="none" w:sz="0" w:space="0" w:color="auto"/>
            <w:left w:val="none" w:sz="0" w:space="0" w:color="auto"/>
            <w:bottom w:val="none" w:sz="0" w:space="0" w:color="auto"/>
            <w:right w:val="none" w:sz="0" w:space="0" w:color="auto"/>
          </w:divBdr>
        </w:div>
        <w:div w:id="1216041793">
          <w:marLeft w:val="864"/>
          <w:marRight w:val="0"/>
          <w:marTop w:val="0"/>
          <w:marBottom w:val="101"/>
          <w:divBdr>
            <w:top w:val="none" w:sz="0" w:space="0" w:color="auto"/>
            <w:left w:val="none" w:sz="0" w:space="0" w:color="auto"/>
            <w:bottom w:val="none" w:sz="0" w:space="0" w:color="auto"/>
            <w:right w:val="none" w:sz="0" w:space="0" w:color="auto"/>
          </w:divBdr>
        </w:div>
        <w:div w:id="2120680696">
          <w:marLeft w:val="864"/>
          <w:marRight w:val="0"/>
          <w:marTop w:val="0"/>
          <w:marBottom w:val="101"/>
          <w:divBdr>
            <w:top w:val="none" w:sz="0" w:space="0" w:color="auto"/>
            <w:left w:val="none" w:sz="0" w:space="0" w:color="auto"/>
            <w:bottom w:val="none" w:sz="0" w:space="0" w:color="auto"/>
            <w:right w:val="none" w:sz="0" w:space="0" w:color="auto"/>
          </w:divBdr>
        </w:div>
        <w:div w:id="876546826">
          <w:marLeft w:val="864"/>
          <w:marRight w:val="0"/>
          <w:marTop w:val="0"/>
          <w:marBottom w:val="101"/>
          <w:divBdr>
            <w:top w:val="none" w:sz="0" w:space="0" w:color="auto"/>
            <w:left w:val="none" w:sz="0" w:space="0" w:color="auto"/>
            <w:bottom w:val="none" w:sz="0" w:space="0" w:color="auto"/>
            <w:right w:val="none" w:sz="0" w:space="0" w:color="auto"/>
          </w:divBdr>
        </w:div>
        <w:div w:id="135923733">
          <w:marLeft w:val="864"/>
          <w:marRight w:val="0"/>
          <w:marTop w:val="0"/>
          <w:marBottom w:val="101"/>
          <w:divBdr>
            <w:top w:val="none" w:sz="0" w:space="0" w:color="auto"/>
            <w:left w:val="none" w:sz="0" w:space="0" w:color="auto"/>
            <w:bottom w:val="none" w:sz="0" w:space="0" w:color="auto"/>
            <w:right w:val="none" w:sz="0" w:space="0" w:color="auto"/>
          </w:divBdr>
        </w:div>
        <w:div w:id="294257867">
          <w:marLeft w:val="1296"/>
          <w:marRight w:val="0"/>
          <w:marTop w:val="0"/>
          <w:marBottom w:val="101"/>
          <w:divBdr>
            <w:top w:val="none" w:sz="0" w:space="0" w:color="auto"/>
            <w:left w:val="none" w:sz="0" w:space="0" w:color="auto"/>
            <w:bottom w:val="none" w:sz="0" w:space="0" w:color="auto"/>
            <w:right w:val="none" w:sz="0" w:space="0" w:color="auto"/>
          </w:divBdr>
        </w:div>
        <w:div w:id="2061319106">
          <w:marLeft w:val="1728"/>
          <w:marRight w:val="0"/>
          <w:marTop w:val="0"/>
          <w:marBottom w:val="101"/>
          <w:divBdr>
            <w:top w:val="none" w:sz="0" w:space="0" w:color="auto"/>
            <w:left w:val="none" w:sz="0" w:space="0" w:color="auto"/>
            <w:bottom w:val="none" w:sz="0" w:space="0" w:color="auto"/>
            <w:right w:val="none" w:sz="0" w:space="0" w:color="auto"/>
          </w:divBdr>
        </w:div>
        <w:div w:id="538052143">
          <w:marLeft w:val="1728"/>
          <w:marRight w:val="0"/>
          <w:marTop w:val="0"/>
          <w:marBottom w:val="101"/>
          <w:divBdr>
            <w:top w:val="none" w:sz="0" w:space="0" w:color="auto"/>
            <w:left w:val="none" w:sz="0" w:space="0" w:color="auto"/>
            <w:bottom w:val="none" w:sz="0" w:space="0" w:color="auto"/>
            <w:right w:val="none" w:sz="0" w:space="0" w:color="auto"/>
          </w:divBdr>
        </w:div>
        <w:div w:id="1108038993">
          <w:marLeft w:val="1296"/>
          <w:marRight w:val="0"/>
          <w:marTop w:val="0"/>
          <w:marBottom w:val="101"/>
          <w:divBdr>
            <w:top w:val="none" w:sz="0" w:space="0" w:color="auto"/>
            <w:left w:val="none" w:sz="0" w:space="0" w:color="auto"/>
            <w:bottom w:val="none" w:sz="0" w:space="0" w:color="auto"/>
            <w:right w:val="none" w:sz="0" w:space="0" w:color="auto"/>
          </w:divBdr>
        </w:div>
        <w:div w:id="729691121">
          <w:marLeft w:val="1296"/>
          <w:marRight w:val="0"/>
          <w:marTop w:val="0"/>
          <w:marBottom w:val="101"/>
          <w:divBdr>
            <w:top w:val="none" w:sz="0" w:space="0" w:color="auto"/>
            <w:left w:val="none" w:sz="0" w:space="0" w:color="auto"/>
            <w:bottom w:val="none" w:sz="0" w:space="0" w:color="auto"/>
            <w:right w:val="none" w:sz="0" w:space="0" w:color="auto"/>
          </w:divBdr>
        </w:div>
        <w:div w:id="1302659144">
          <w:marLeft w:val="864"/>
          <w:marRight w:val="0"/>
          <w:marTop w:val="0"/>
          <w:marBottom w:val="101"/>
          <w:divBdr>
            <w:top w:val="none" w:sz="0" w:space="0" w:color="auto"/>
            <w:left w:val="none" w:sz="0" w:space="0" w:color="auto"/>
            <w:bottom w:val="none" w:sz="0" w:space="0" w:color="auto"/>
            <w:right w:val="none" w:sz="0" w:space="0" w:color="auto"/>
          </w:divBdr>
        </w:div>
        <w:div w:id="1149130503">
          <w:marLeft w:val="864"/>
          <w:marRight w:val="0"/>
          <w:marTop w:val="0"/>
          <w:marBottom w:val="101"/>
          <w:divBdr>
            <w:top w:val="none" w:sz="0" w:space="0" w:color="auto"/>
            <w:left w:val="none" w:sz="0" w:space="0" w:color="auto"/>
            <w:bottom w:val="none" w:sz="0" w:space="0" w:color="auto"/>
            <w:right w:val="none" w:sz="0" w:space="0" w:color="auto"/>
          </w:divBdr>
        </w:div>
        <w:div w:id="1506439064">
          <w:marLeft w:val="864"/>
          <w:marRight w:val="0"/>
          <w:marTop w:val="0"/>
          <w:marBottom w:val="101"/>
          <w:divBdr>
            <w:top w:val="none" w:sz="0" w:space="0" w:color="auto"/>
            <w:left w:val="none" w:sz="0" w:space="0" w:color="auto"/>
            <w:bottom w:val="none" w:sz="0" w:space="0" w:color="auto"/>
            <w:right w:val="none" w:sz="0" w:space="0" w:color="auto"/>
          </w:divBdr>
        </w:div>
        <w:div w:id="1077745702">
          <w:marLeft w:val="864"/>
          <w:marRight w:val="0"/>
          <w:marTop w:val="0"/>
          <w:marBottom w:val="101"/>
          <w:divBdr>
            <w:top w:val="none" w:sz="0" w:space="0" w:color="auto"/>
            <w:left w:val="none" w:sz="0" w:space="0" w:color="auto"/>
            <w:bottom w:val="none" w:sz="0" w:space="0" w:color="auto"/>
            <w:right w:val="none" w:sz="0" w:space="0" w:color="auto"/>
          </w:divBdr>
        </w:div>
        <w:div w:id="14772074">
          <w:marLeft w:val="864"/>
          <w:marRight w:val="0"/>
          <w:marTop w:val="0"/>
          <w:marBottom w:val="101"/>
          <w:divBdr>
            <w:top w:val="none" w:sz="0" w:space="0" w:color="auto"/>
            <w:left w:val="none" w:sz="0" w:space="0" w:color="auto"/>
            <w:bottom w:val="none" w:sz="0" w:space="0" w:color="auto"/>
            <w:right w:val="none" w:sz="0" w:space="0" w:color="auto"/>
          </w:divBdr>
        </w:div>
        <w:div w:id="1672558607">
          <w:marLeft w:val="0"/>
          <w:marRight w:val="0"/>
          <w:marTop w:val="101"/>
          <w:marBottom w:val="101"/>
          <w:divBdr>
            <w:top w:val="none" w:sz="0" w:space="0" w:color="auto"/>
            <w:left w:val="none" w:sz="0" w:space="0" w:color="auto"/>
            <w:bottom w:val="none" w:sz="0" w:space="0" w:color="auto"/>
            <w:right w:val="none" w:sz="0" w:space="0" w:color="auto"/>
          </w:divBdr>
        </w:div>
        <w:div w:id="651761764">
          <w:marLeft w:val="0"/>
          <w:marRight w:val="0"/>
          <w:marTop w:val="0"/>
          <w:marBottom w:val="101"/>
          <w:divBdr>
            <w:top w:val="none" w:sz="0" w:space="0" w:color="auto"/>
            <w:left w:val="none" w:sz="0" w:space="0" w:color="auto"/>
            <w:bottom w:val="none" w:sz="0" w:space="0" w:color="auto"/>
            <w:right w:val="none" w:sz="0" w:space="0" w:color="auto"/>
          </w:divBdr>
        </w:div>
        <w:div w:id="909851194">
          <w:marLeft w:val="0"/>
          <w:marRight w:val="0"/>
          <w:marTop w:val="0"/>
          <w:marBottom w:val="101"/>
          <w:divBdr>
            <w:top w:val="none" w:sz="0" w:space="0" w:color="auto"/>
            <w:left w:val="none" w:sz="0" w:space="0" w:color="auto"/>
            <w:bottom w:val="none" w:sz="0" w:space="0" w:color="auto"/>
            <w:right w:val="none" w:sz="0" w:space="0" w:color="auto"/>
          </w:divBdr>
        </w:div>
        <w:div w:id="1863933088">
          <w:marLeft w:val="0"/>
          <w:marRight w:val="0"/>
          <w:marTop w:val="0"/>
          <w:marBottom w:val="101"/>
          <w:divBdr>
            <w:top w:val="none" w:sz="0" w:space="0" w:color="auto"/>
            <w:left w:val="none" w:sz="0" w:space="0" w:color="auto"/>
            <w:bottom w:val="none" w:sz="0" w:space="0" w:color="auto"/>
            <w:right w:val="none" w:sz="0" w:space="0" w:color="auto"/>
          </w:divBdr>
        </w:div>
        <w:div w:id="2038773066">
          <w:marLeft w:val="0"/>
          <w:marRight w:val="0"/>
          <w:marTop w:val="0"/>
          <w:marBottom w:val="101"/>
          <w:divBdr>
            <w:top w:val="none" w:sz="0" w:space="0" w:color="auto"/>
            <w:left w:val="none" w:sz="0" w:space="0" w:color="auto"/>
            <w:bottom w:val="none" w:sz="0" w:space="0" w:color="auto"/>
            <w:right w:val="none" w:sz="0" w:space="0" w:color="auto"/>
          </w:divBdr>
        </w:div>
        <w:div w:id="1987857120">
          <w:marLeft w:val="0"/>
          <w:marRight w:val="0"/>
          <w:marTop w:val="0"/>
          <w:marBottom w:val="101"/>
          <w:divBdr>
            <w:top w:val="none" w:sz="0" w:space="0" w:color="auto"/>
            <w:left w:val="none" w:sz="0" w:space="0" w:color="auto"/>
            <w:bottom w:val="none" w:sz="0" w:space="0" w:color="auto"/>
            <w:right w:val="none" w:sz="0" w:space="0" w:color="auto"/>
          </w:divBdr>
        </w:div>
        <w:div w:id="530731789">
          <w:marLeft w:val="0"/>
          <w:marRight w:val="0"/>
          <w:marTop w:val="0"/>
          <w:marBottom w:val="101"/>
          <w:divBdr>
            <w:top w:val="none" w:sz="0" w:space="0" w:color="auto"/>
            <w:left w:val="none" w:sz="0" w:space="0" w:color="auto"/>
            <w:bottom w:val="none" w:sz="0" w:space="0" w:color="auto"/>
            <w:right w:val="none" w:sz="0" w:space="0" w:color="auto"/>
          </w:divBdr>
        </w:div>
        <w:div w:id="1224608199">
          <w:marLeft w:val="0"/>
          <w:marRight w:val="0"/>
          <w:marTop w:val="0"/>
          <w:marBottom w:val="101"/>
          <w:divBdr>
            <w:top w:val="none" w:sz="0" w:space="0" w:color="auto"/>
            <w:left w:val="none" w:sz="0" w:space="0" w:color="auto"/>
            <w:bottom w:val="none" w:sz="0" w:space="0" w:color="auto"/>
            <w:right w:val="none" w:sz="0" w:space="0" w:color="auto"/>
          </w:divBdr>
        </w:div>
        <w:div w:id="304824156">
          <w:marLeft w:val="0"/>
          <w:marRight w:val="0"/>
          <w:marTop w:val="0"/>
          <w:marBottom w:val="101"/>
          <w:divBdr>
            <w:top w:val="none" w:sz="0" w:space="0" w:color="auto"/>
            <w:left w:val="none" w:sz="0" w:space="0" w:color="auto"/>
            <w:bottom w:val="none" w:sz="0" w:space="0" w:color="auto"/>
            <w:right w:val="none" w:sz="0" w:space="0" w:color="auto"/>
          </w:divBdr>
        </w:div>
        <w:div w:id="1395814375">
          <w:marLeft w:val="864"/>
          <w:marRight w:val="0"/>
          <w:marTop w:val="0"/>
          <w:marBottom w:val="101"/>
          <w:divBdr>
            <w:top w:val="none" w:sz="0" w:space="0" w:color="auto"/>
            <w:left w:val="none" w:sz="0" w:space="0" w:color="auto"/>
            <w:bottom w:val="none" w:sz="0" w:space="0" w:color="auto"/>
            <w:right w:val="none" w:sz="0" w:space="0" w:color="auto"/>
          </w:divBdr>
        </w:div>
        <w:div w:id="204294564">
          <w:marLeft w:val="0"/>
          <w:marRight w:val="0"/>
          <w:marTop w:val="0"/>
          <w:marBottom w:val="101"/>
          <w:divBdr>
            <w:top w:val="none" w:sz="0" w:space="0" w:color="auto"/>
            <w:left w:val="none" w:sz="0" w:space="0" w:color="auto"/>
            <w:bottom w:val="none" w:sz="0" w:space="0" w:color="auto"/>
            <w:right w:val="none" w:sz="0" w:space="0" w:color="auto"/>
          </w:divBdr>
        </w:div>
        <w:div w:id="1010790303">
          <w:marLeft w:val="0"/>
          <w:marRight w:val="0"/>
          <w:marTop w:val="0"/>
          <w:marBottom w:val="101"/>
          <w:divBdr>
            <w:top w:val="none" w:sz="0" w:space="0" w:color="auto"/>
            <w:left w:val="none" w:sz="0" w:space="0" w:color="auto"/>
            <w:bottom w:val="none" w:sz="0" w:space="0" w:color="auto"/>
            <w:right w:val="none" w:sz="0" w:space="0" w:color="auto"/>
          </w:divBdr>
        </w:div>
        <w:div w:id="1185631495">
          <w:marLeft w:val="0"/>
          <w:marRight w:val="0"/>
          <w:marTop w:val="0"/>
          <w:marBottom w:val="101"/>
          <w:divBdr>
            <w:top w:val="none" w:sz="0" w:space="0" w:color="auto"/>
            <w:left w:val="none" w:sz="0" w:space="0" w:color="auto"/>
            <w:bottom w:val="none" w:sz="0" w:space="0" w:color="auto"/>
            <w:right w:val="none" w:sz="0" w:space="0" w:color="auto"/>
          </w:divBdr>
        </w:div>
        <w:div w:id="844440729">
          <w:marLeft w:val="0"/>
          <w:marRight w:val="0"/>
          <w:marTop w:val="0"/>
          <w:marBottom w:val="101"/>
          <w:divBdr>
            <w:top w:val="none" w:sz="0" w:space="0" w:color="auto"/>
            <w:left w:val="none" w:sz="0" w:space="0" w:color="auto"/>
            <w:bottom w:val="none" w:sz="0" w:space="0" w:color="auto"/>
            <w:right w:val="none" w:sz="0" w:space="0" w:color="auto"/>
          </w:divBdr>
        </w:div>
        <w:div w:id="437524135">
          <w:marLeft w:val="0"/>
          <w:marRight w:val="0"/>
          <w:marTop w:val="0"/>
          <w:marBottom w:val="101"/>
          <w:divBdr>
            <w:top w:val="none" w:sz="0" w:space="0" w:color="auto"/>
            <w:left w:val="none" w:sz="0" w:space="0" w:color="auto"/>
            <w:bottom w:val="none" w:sz="0" w:space="0" w:color="auto"/>
            <w:right w:val="none" w:sz="0" w:space="0" w:color="auto"/>
          </w:divBdr>
        </w:div>
        <w:div w:id="97021969">
          <w:marLeft w:val="0"/>
          <w:marRight w:val="0"/>
          <w:marTop w:val="0"/>
          <w:marBottom w:val="84"/>
          <w:divBdr>
            <w:top w:val="none" w:sz="0" w:space="0" w:color="auto"/>
            <w:left w:val="none" w:sz="0" w:space="0" w:color="auto"/>
            <w:bottom w:val="none" w:sz="0" w:space="0" w:color="auto"/>
            <w:right w:val="none" w:sz="0" w:space="0" w:color="auto"/>
          </w:divBdr>
        </w:div>
        <w:div w:id="2001152228">
          <w:marLeft w:val="0"/>
          <w:marRight w:val="0"/>
          <w:marTop w:val="0"/>
          <w:marBottom w:val="84"/>
          <w:divBdr>
            <w:top w:val="none" w:sz="0" w:space="0" w:color="auto"/>
            <w:left w:val="none" w:sz="0" w:space="0" w:color="auto"/>
            <w:bottom w:val="none" w:sz="0" w:space="0" w:color="auto"/>
            <w:right w:val="none" w:sz="0" w:space="0" w:color="auto"/>
          </w:divBdr>
        </w:div>
        <w:div w:id="1036009847">
          <w:marLeft w:val="0"/>
          <w:marRight w:val="0"/>
          <w:marTop w:val="0"/>
          <w:marBottom w:val="84"/>
          <w:divBdr>
            <w:top w:val="none" w:sz="0" w:space="0" w:color="auto"/>
            <w:left w:val="none" w:sz="0" w:space="0" w:color="auto"/>
            <w:bottom w:val="none" w:sz="0" w:space="0" w:color="auto"/>
            <w:right w:val="none" w:sz="0" w:space="0" w:color="auto"/>
          </w:divBdr>
        </w:div>
        <w:div w:id="379286863">
          <w:marLeft w:val="864"/>
          <w:marRight w:val="0"/>
          <w:marTop w:val="0"/>
          <w:marBottom w:val="84"/>
          <w:divBdr>
            <w:top w:val="none" w:sz="0" w:space="0" w:color="auto"/>
            <w:left w:val="none" w:sz="0" w:space="0" w:color="auto"/>
            <w:bottom w:val="none" w:sz="0" w:space="0" w:color="auto"/>
            <w:right w:val="none" w:sz="0" w:space="0" w:color="auto"/>
          </w:divBdr>
        </w:div>
        <w:div w:id="25253002">
          <w:marLeft w:val="864"/>
          <w:marRight w:val="0"/>
          <w:marTop w:val="0"/>
          <w:marBottom w:val="84"/>
          <w:divBdr>
            <w:top w:val="none" w:sz="0" w:space="0" w:color="auto"/>
            <w:left w:val="none" w:sz="0" w:space="0" w:color="auto"/>
            <w:bottom w:val="none" w:sz="0" w:space="0" w:color="auto"/>
            <w:right w:val="none" w:sz="0" w:space="0" w:color="auto"/>
          </w:divBdr>
        </w:div>
        <w:div w:id="1414401706">
          <w:marLeft w:val="864"/>
          <w:marRight w:val="0"/>
          <w:marTop w:val="0"/>
          <w:marBottom w:val="84"/>
          <w:divBdr>
            <w:top w:val="none" w:sz="0" w:space="0" w:color="auto"/>
            <w:left w:val="none" w:sz="0" w:space="0" w:color="auto"/>
            <w:bottom w:val="none" w:sz="0" w:space="0" w:color="auto"/>
            <w:right w:val="none" w:sz="0" w:space="0" w:color="auto"/>
          </w:divBdr>
        </w:div>
        <w:div w:id="361900139">
          <w:marLeft w:val="864"/>
          <w:marRight w:val="0"/>
          <w:marTop w:val="0"/>
          <w:marBottom w:val="84"/>
          <w:divBdr>
            <w:top w:val="none" w:sz="0" w:space="0" w:color="auto"/>
            <w:left w:val="none" w:sz="0" w:space="0" w:color="auto"/>
            <w:bottom w:val="none" w:sz="0" w:space="0" w:color="auto"/>
            <w:right w:val="none" w:sz="0" w:space="0" w:color="auto"/>
          </w:divBdr>
        </w:div>
        <w:div w:id="472871213">
          <w:marLeft w:val="0"/>
          <w:marRight w:val="0"/>
          <w:marTop w:val="0"/>
          <w:marBottom w:val="84"/>
          <w:divBdr>
            <w:top w:val="none" w:sz="0" w:space="0" w:color="auto"/>
            <w:left w:val="none" w:sz="0" w:space="0" w:color="auto"/>
            <w:bottom w:val="none" w:sz="0" w:space="0" w:color="auto"/>
            <w:right w:val="none" w:sz="0" w:space="0" w:color="auto"/>
          </w:divBdr>
        </w:div>
        <w:div w:id="1879396999">
          <w:marLeft w:val="0"/>
          <w:marRight w:val="0"/>
          <w:marTop w:val="0"/>
          <w:marBottom w:val="84"/>
          <w:divBdr>
            <w:top w:val="none" w:sz="0" w:space="0" w:color="auto"/>
            <w:left w:val="none" w:sz="0" w:space="0" w:color="auto"/>
            <w:bottom w:val="none" w:sz="0" w:space="0" w:color="auto"/>
            <w:right w:val="none" w:sz="0" w:space="0" w:color="auto"/>
          </w:divBdr>
        </w:div>
        <w:div w:id="546601563">
          <w:marLeft w:val="0"/>
          <w:marRight w:val="0"/>
          <w:marTop w:val="0"/>
          <w:marBottom w:val="84"/>
          <w:divBdr>
            <w:top w:val="none" w:sz="0" w:space="0" w:color="auto"/>
            <w:left w:val="none" w:sz="0" w:space="0" w:color="auto"/>
            <w:bottom w:val="none" w:sz="0" w:space="0" w:color="auto"/>
            <w:right w:val="none" w:sz="0" w:space="0" w:color="auto"/>
          </w:divBdr>
        </w:div>
        <w:div w:id="624458915">
          <w:marLeft w:val="0"/>
          <w:marRight w:val="0"/>
          <w:marTop w:val="0"/>
          <w:marBottom w:val="84"/>
          <w:divBdr>
            <w:top w:val="none" w:sz="0" w:space="0" w:color="auto"/>
            <w:left w:val="none" w:sz="0" w:space="0" w:color="auto"/>
            <w:bottom w:val="none" w:sz="0" w:space="0" w:color="auto"/>
            <w:right w:val="none" w:sz="0" w:space="0" w:color="auto"/>
          </w:divBdr>
        </w:div>
        <w:div w:id="522521153">
          <w:marLeft w:val="0"/>
          <w:marRight w:val="0"/>
          <w:marTop w:val="0"/>
          <w:marBottom w:val="84"/>
          <w:divBdr>
            <w:top w:val="none" w:sz="0" w:space="0" w:color="auto"/>
            <w:left w:val="none" w:sz="0" w:space="0" w:color="auto"/>
            <w:bottom w:val="none" w:sz="0" w:space="0" w:color="auto"/>
            <w:right w:val="none" w:sz="0" w:space="0" w:color="auto"/>
          </w:divBdr>
        </w:div>
        <w:div w:id="1972633663">
          <w:marLeft w:val="0"/>
          <w:marRight w:val="0"/>
          <w:marTop w:val="0"/>
          <w:marBottom w:val="84"/>
          <w:divBdr>
            <w:top w:val="none" w:sz="0" w:space="0" w:color="auto"/>
            <w:left w:val="none" w:sz="0" w:space="0" w:color="auto"/>
            <w:bottom w:val="none" w:sz="0" w:space="0" w:color="auto"/>
            <w:right w:val="none" w:sz="0" w:space="0" w:color="auto"/>
          </w:divBdr>
        </w:div>
        <w:div w:id="2048410868">
          <w:marLeft w:val="0"/>
          <w:marRight w:val="0"/>
          <w:marTop w:val="0"/>
          <w:marBottom w:val="84"/>
          <w:divBdr>
            <w:top w:val="none" w:sz="0" w:space="0" w:color="auto"/>
            <w:left w:val="none" w:sz="0" w:space="0" w:color="auto"/>
            <w:bottom w:val="none" w:sz="0" w:space="0" w:color="auto"/>
            <w:right w:val="none" w:sz="0" w:space="0" w:color="auto"/>
          </w:divBdr>
        </w:div>
        <w:div w:id="1519660205">
          <w:marLeft w:val="0"/>
          <w:marRight w:val="0"/>
          <w:marTop w:val="0"/>
          <w:marBottom w:val="84"/>
          <w:divBdr>
            <w:top w:val="none" w:sz="0" w:space="0" w:color="auto"/>
            <w:left w:val="none" w:sz="0" w:space="0" w:color="auto"/>
            <w:bottom w:val="none" w:sz="0" w:space="0" w:color="auto"/>
            <w:right w:val="none" w:sz="0" w:space="0" w:color="auto"/>
          </w:divBdr>
        </w:div>
        <w:div w:id="192502380">
          <w:marLeft w:val="0"/>
          <w:marRight w:val="0"/>
          <w:marTop w:val="0"/>
          <w:marBottom w:val="84"/>
          <w:divBdr>
            <w:top w:val="none" w:sz="0" w:space="0" w:color="auto"/>
            <w:left w:val="none" w:sz="0" w:space="0" w:color="auto"/>
            <w:bottom w:val="none" w:sz="0" w:space="0" w:color="auto"/>
            <w:right w:val="none" w:sz="0" w:space="0" w:color="auto"/>
          </w:divBdr>
        </w:div>
        <w:div w:id="1949697710">
          <w:marLeft w:val="0"/>
          <w:marRight w:val="0"/>
          <w:marTop w:val="0"/>
          <w:marBottom w:val="84"/>
          <w:divBdr>
            <w:top w:val="none" w:sz="0" w:space="0" w:color="auto"/>
            <w:left w:val="none" w:sz="0" w:space="0" w:color="auto"/>
            <w:bottom w:val="none" w:sz="0" w:space="0" w:color="auto"/>
            <w:right w:val="none" w:sz="0" w:space="0" w:color="auto"/>
          </w:divBdr>
        </w:div>
        <w:div w:id="959142151">
          <w:marLeft w:val="0"/>
          <w:marRight w:val="0"/>
          <w:marTop w:val="0"/>
          <w:marBottom w:val="84"/>
          <w:divBdr>
            <w:top w:val="none" w:sz="0" w:space="0" w:color="auto"/>
            <w:left w:val="none" w:sz="0" w:space="0" w:color="auto"/>
            <w:bottom w:val="none" w:sz="0" w:space="0" w:color="auto"/>
            <w:right w:val="none" w:sz="0" w:space="0" w:color="auto"/>
          </w:divBdr>
        </w:div>
        <w:div w:id="202863994">
          <w:marLeft w:val="0"/>
          <w:marRight w:val="0"/>
          <w:marTop w:val="0"/>
          <w:marBottom w:val="84"/>
          <w:divBdr>
            <w:top w:val="none" w:sz="0" w:space="0" w:color="auto"/>
            <w:left w:val="none" w:sz="0" w:space="0" w:color="auto"/>
            <w:bottom w:val="none" w:sz="0" w:space="0" w:color="auto"/>
            <w:right w:val="none" w:sz="0" w:space="0" w:color="auto"/>
          </w:divBdr>
        </w:div>
        <w:div w:id="1874614702">
          <w:marLeft w:val="0"/>
          <w:marRight w:val="0"/>
          <w:marTop w:val="0"/>
          <w:marBottom w:val="84"/>
          <w:divBdr>
            <w:top w:val="none" w:sz="0" w:space="0" w:color="auto"/>
            <w:left w:val="none" w:sz="0" w:space="0" w:color="auto"/>
            <w:bottom w:val="none" w:sz="0" w:space="0" w:color="auto"/>
            <w:right w:val="none" w:sz="0" w:space="0" w:color="auto"/>
          </w:divBdr>
        </w:div>
        <w:div w:id="2101371180">
          <w:marLeft w:val="864"/>
          <w:marRight w:val="0"/>
          <w:marTop w:val="0"/>
          <w:marBottom w:val="84"/>
          <w:divBdr>
            <w:top w:val="none" w:sz="0" w:space="0" w:color="auto"/>
            <w:left w:val="none" w:sz="0" w:space="0" w:color="auto"/>
            <w:bottom w:val="none" w:sz="0" w:space="0" w:color="auto"/>
            <w:right w:val="none" w:sz="0" w:space="0" w:color="auto"/>
          </w:divBdr>
        </w:div>
        <w:div w:id="1735473179">
          <w:marLeft w:val="0"/>
          <w:marRight w:val="0"/>
          <w:marTop w:val="0"/>
          <w:marBottom w:val="84"/>
          <w:divBdr>
            <w:top w:val="none" w:sz="0" w:space="0" w:color="auto"/>
            <w:left w:val="none" w:sz="0" w:space="0" w:color="auto"/>
            <w:bottom w:val="none" w:sz="0" w:space="0" w:color="auto"/>
            <w:right w:val="none" w:sz="0" w:space="0" w:color="auto"/>
          </w:divBdr>
        </w:div>
        <w:div w:id="166210985">
          <w:marLeft w:val="0"/>
          <w:marRight w:val="0"/>
          <w:marTop w:val="0"/>
          <w:marBottom w:val="84"/>
          <w:divBdr>
            <w:top w:val="none" w:sz="0" w:space="0" w:color="auto"/>
            <w:left w:val="none" w:sz="0" w:space="0" w:color="auto"/>
            <w:bottom w:val="none" w:sz="0" w:space="0" w:color="auto"/>
            <w:right w:val="none" w:sz="0" w:space="0" w:color="auto"/>
          </w:divBdr>
        </w:div>
        <w:div w:id="1409961579">
          <w:marLeft w:val="864"/>
          <w:marRight w:val="0"/>
          <w:marTop w:val="0"/>
          <w:marBottom w:val="84"/>
          <w:divBdr>
            <w:top w:val="none" w:sz="0" w:space="0" w:color="auto"/>
            <w:left w:val="none" w:sz="0" w:space="0" w:color="auto"/>
            <w:bottom w:val="none" w:sz="0" w:space="0" w:color="auto"/>
            <w:right w:val="none" w:sz="0" w:space="0" w:color="auto"/>
          </w:divBdr>
        </w:div>
        <w:div w:id="1952979653">
          <w:marLeft w:val="864"/>
          <w:marRight w:val="0"/>
          <w:marTop w:val="0"/>
          <w:marBottom w:val="84"/>
          <w:divBdr>
            <w:top w:val="none" w:sz="0" w:space="0" w:color="auto"/>
            <w:left w:val="none" w:sz="0" w:space="0" w:color="auto"/>
            <w:bottom w:val="none" w:sz="0" w:space="0" w:color="auto"/>
            <w:right w:val="none" w:sz="0" w:space="0" w:color="auto"/>
          </w:divBdr>
        </w:div>
        <w:div w:id="2023244960">
          <w:marLeft w:val="864"/>
          <w:marRight w:val="0"/>
          <w:marTop w:val="0"/>
          <w:marBottom w:val="101"/>
          <w:divBdr>
            <w:top w:val="none" w:sz="0" w:space="0" w:color="auto"/>
            <w:left w:val="none" w:sz="0" w:space="0" w:color="auto"/>
            <w:bottom w:val="none" w:sz="0" w:space="0" w:color="auto"/>
            <w:right w:val="none" w:sz="0" w:space="0" w:color="auto"/>
          </w:divBdr>
        </w:div>
        <w:div w:id="1451819045">
          <w:marLeft w:val="864"/>
          <w:marRight w:val="0"/>
          <w:marTop w:val="0"/>
          <w:marBottom w:val="101"/>
          <w:divBdr>
            <w:top w:val="none" w:sz="0" w:space="0" w:color="auto"/>
            <w:left w:val="none" w:sz="0" w:space="0" w:color="auto"/>
            <w:bottom w:val="none" w:sz="0" w:space="0" w:color="auto"/>
            <w:right w:val="none" w:sz="0" w:space="0" w:color="auto"/>
          </w:divBdr>
        </w:div>
        <w:div w:id="195047079">
          <w:marLeft w:val="0"/>
          <w:marRight w:val="0"/>
          <w:marTop w:val="0"/>
          <w:marBottom w:val="101"/>
          <w:divBdr>
            <w:top w:val="none" w:sz="0" w:space="0" w:color="auto"/>
            <w:left w:val="none" w:sz="0" w:space="0" w:color="auto"/>
            <w:bottom w:val="none" w:sz="0" w:space="0" w:color="auto"/>
            <w:right w:val="none" w:sz="0" w:space="0" w:color="auto"/>
          </w:divBdr>
        </w:div>
        <w:div w:id="1193301969">
          <w:marLeft w:val="0"/>
          <w:marRight w:val="0"/>
          <w:marTop w:val="0"/>
          <w:marBottom w:val="101"/>
          <w:divBdr>
            <w:top w:val="none" w:sz="0" w:space="0" w:color="auto"/>
            <w:left w:val="none" w:sz="0" w:space="0" w:color="auto"/>
            <w:bottom w:val="none" w:sz="0" w:space="0" w:color="auto"/>
            <w:right w:val="none" w:sz="0" w:space="0" w:color="auto"/>
          </w:divBdr>
        </w:div>
        <w:div w:id="176046857">
          <w:marLeft w:val="0"/>
          <w:marRight w:val="0"/>
          <w:marTop w:val="0"/>
          <w:marBottom w:val="101"/>
          <w:divBdr>
            <w:top w:val="none" w:sz="0" w:space="0" w:color="auto"/>
            <w:left w:val="none" w:sz="0" w:space="0" w:color="auto"/>
            <w:bottom w:val="none" w:sz="0" w:space="0" w:color="auto"/>
            <w:right w:val="none" w:sz="0" w:space="0" w:color="auto"/>
          </w:divBdr>
        </w:div>
        <w:div w:id="1468085415">
          <w:marLeft w:val="0"/>
          <w:marRight w:val="0"/>
          <w:marTop w:val="0"/>
          <w:marBottom w:val="101"/>
          <w:divBdr>
            <w:top w:val="none" w:sz="0" w:space="0" w:color="auto"/>
            <w:left w:val="none" w:sz="0" w:space="0" w:color="auto"/>
            <w:bottom w:val="none" w:sz="0" w:space="0" w:color="auto"/>
            <w:right w:val="none" w:sz="0" w:space="0" w:color="auto"/>
          </w:divBdr>
        </w:div>
        <w:div w:id="83495706">
          <w:marLeft w:val="0"/>
          <w:marRight w:val="0"/>
          <w:marTop w:val="0"/>
          <w:marBottom w:val="101"/>
          <w:divBdr>
            <w:top w:val="none" w:sz="0" w:space="0" w:color="auto"/>
            <w:left w:val="none" w:sz="0" w:space="0" w:color="auto"/>
            <w:bottom w:val="none" w:sz="0" w:space="0" w:color="auto"/>
            <w:right w:val="none" w:sz="0" w:space="0" w:color="auto"/>
          </w:divBdr>
        </w:div>
        <w:div w:id="1940526792">
          <w:marLeft w:val="0"/>
          <w:marRight w:val="0"/>
          <w:marTop w:val="0"/>
          <w:marBottom w:val="101"/>
          <w:divBdr>
            <w:top w:val="none" w:sz="0" w:space="0" w:color="auto"/>
            <w:left w:val="none" w:sz="0" w:space="0" w:color="auto"/>
            <w:bottom w:val="none" w:sz="0" w:space="0" w:color="auto"/>
            <w:right w:val="none" w:sz="0" w:space="0" w:color="auto"/>
          </w:divBdr>
        </w:div>
        <w:div w:id="377164578">
          <w:marLeft w:val="0"/>
          <w:marRight w:val="0"/>
          <w:marTop w:val="0"/>
          <w:marBottom w:val="101"/>
          <w:divBdr>
            <w:top w:val="none" w:sz="0" w:space="0" w:color="auto"/>
            <w:left w:val="none" w:sz="0" w:space="0" w:color="auto"/>
            <w:bottom w:val="none" w:sz="0" w:space="0" w:color="auto"/>
            <w:right w:val="none" w:sz="0" w:space="0" w:color="auto"/>
          </w:divBdr>
        </w:div>
        <w:div w:id="239415685">
          <w:marLeft w:val="0"/>
          <w:marRight w:val="0"/>
          <w:marTop w:val="0"/>
          <w:marBottom w:val="101"/>
          <w:divBdr>
            <w:top w:val="none" w:sz="0" w:space="0" w:color="auto"/>
            <w:left w:val="none" w:sz="0" w:space="0" w:color="auto"/>
            <w:bottom w:val="none" w:sz="0" w:space="0" w:color="auto"/>
            <w:right w:val="none" w:sz="0" w:space="0" w:color="auto"/>
          </w:divBdr>
        </w:div>
        <w:div w:id="1572234980">
          <w:marLeft w:val="0"/>
          <w:marRight w:val="0"/>
          <w:marTop w:val="0"/>
          <w:marBottom w:val="101"/>
          <w:divBdr>
            <w:top w:val="none" w:sz="0" w:space="0" w:color="auto"/>
            <w:left w:val="none" w:sz="0" w:space="0" w:color="auto"/>
            <w:bottom w:val="none" w:sz="0" w:space="0" w:color="auto"/>
            <w:right w:val="none" w:sz="0" w:space="0" w:color="auto"/>
          </w:divBdr>
        </w:div>
        <w:div w:id="1574317346">
          <w:marLeft w:val="0"/>
          <w:marRight w:val="0"/>
          <w:marTop w:val="0"/>
          <w:marBottom w:val="101"/>
          <w:divBdr>
            <w:top w:val="none" w:sz="0" w:space="0" w:color="auto"/>
            <w:left w:val="none" w:sz="0" w:space="0" w:color="auto"/>
            <w:bottom w:val="none" w:sz="0" w:space="0" w:color="auto"/>
            <w:right w:val="none" w:sz="0" w:space="0" w:color="auto"/>
          </w:divBdr>
        </w:div>
        <w:div w:id="2073001423">
          <w:marLeft w:val="0"/>
          <w:marRight w:val="0"/>
          <w:marTop w:val="0"/>
          <w:marBottom w:val="101"/>
          <w:divBdr>
            <w:top w:val="none" w:sz="0" w:space="0" w:color="auto"/>
            <w:left w:val="none" w:sz="0" w:space="0" w:color="auto"/>
            <w:bottom w:val="none" w:sz="0" w:space="0" w:color="auto"/>
            <w:right w:val="none" w:sz="0" w:space="0" w:color="auto"/>
          </w:divBdr>
        </w:div>
        <w:div w:id="614598870">
          <w:marLeft w:val="0"/>
          <w:marRight w:val="0"/>
          <w:marTop w:val="0"/>
          <w:marBottom w:val="101"/>
          <w:divBdr>
            <w:top w:val="none" w:sz="0" w:space="0" w:color="auto"/>
            <w:left w:val="none" w:sz="0" w:space="0" w:color="auto"/>
            <w:bottom w:val="none" w:sz="0" w:space="0" w:color="auto"/>
            <w:right w:val="none" w:sz="0" w:space="0" w:color="auto"/>
          </w:divBdr>
        </w:div>
        <w:div w:id="370808732">
          <w:marLeft w:val="0"/>
          <w:marRight w:val="0"/>
          <w:marTop w:val="0"/>
          <w:marBottom w:val="101"/>
          <w:divBdr>
            <w:top w:val="none" w:sz="0" w:space="0" w:color="auto"/>
            <w:left w:val="none" w:sz="0" w:space="0" w:color="auto"/>
            <w:bottom w:val="none" w:sz="0" w:space="0" w:color="auto"/>
            <w:right w:val="none" w:sz="0" w:space="0" w:color="auto"/>
          </w:divBdr>
        </w:div>
        <w:div w:id="1390302302">
          <w:marLeft w:val="864"/>
          <w:marRight w:val="0"/>
          <w:marTop w:val="0"/>
          <w:marBottom w:val="101"/>
          <w:divBdr>
            <w:top w:val="none" w:sz="0" w:space="0" w:color="auto"/>
            <w:left w:val="none" w:sz="0" w:space="0" w:color="auto"/>
            <w:bottom w:val="none" w:sz="0" w:space="0" w:color="auto"/>
            <w:right w:val="none" w:sz="0" w:space="0" w:color="auto"/>
          </w:divBdr>
        </w:div>
        <w:div w:id="1295061426">
          <w:marLeft w:val="864"/>
          <w:marRight w:val="0"/>
          <w:marTop w:val="0"/>
          <w:marBottom w:val="101"/>
          <w:divBdr>
            <w:top w:val="none" w:sz="0" w:space="0" w:color="auto"/>
            <w:left w:val="none" w:sz="0" w:space="0" w:color="auto"/>
            <w:bottom w:val="none" w:sz="0" w:space="0" w:color="auto"/>
            <w:right w:val="none" w:sz="0" w:space="0" w:color="auto"/>
          </w:divBdr>
        </w:div>
        <w:div w:id="1940064155">
          <w:marLeft w:val="864"/>
          <w:marRight w:val="0"/>
          <w:marTop w:val="0"/>
          <w:marBottom w:val="101"/>
          <w:divBdr>
            <w:top w:val="none" w:sz="0" w:space="0" w:color="auto"/>
            <w:left w:val="none" w:sz="0" w:space="0" w:color="auto"/>
            <w:bottom w:val="none" w:sz="0" w:space="0" w:color="auto"/>
            <w:right w:val="none" w:sz="0" w:space="0" w:color="auto"/>
          </w:divBdr>
        </w:div>
        <w:div w:id="1184050418">
          <w:marLeft w:val="864"/>
          <w:marRight w:val="0"/>
          <w:marTop w:val="0"/>
          <w:marBottom w:val="101"/>
          <w:divBdr>
            <w:top w:val="none" w:sz="0" w:space="0" w:color="auto"/>
            <w:left w:val="none" w:sz="0" w:space="0" w:color="auto"/>
            <w:bottom w:val="none" w:sz="0" w:space="0" w:color="auto"/>
            <w:right w:val="none" w:sz="0" w:space="0" w:color="auto"/>
          </w:divBdr>
        </w:div>
        <w:div w:id="1607228099">
          <w:marLeft w:val="864"/>
          <w:marRight w:val="0"/>
          <w:marTop w:val="0"/>
          <w:marBottom w:val="101"/>
          <w:divBdr>
            <w:top w:val="none" w:sz="0" w:space="0" w:color="auto"/>
            <w:left w:val="none" w:sz="0" w:space="0" w:color="auto"/>
            <w:bottom w:val="none" w:sz="0" w:space="0" w:color="auto"/>
            <w:right w:val="none" w:sz="0" w:space="0" w:color="auto"/>
          </w:divBdr>
        </w:div>
        <w:div w:id="27999614">
          <w:marLeft w:val="864"/>
          <w:marRight w:val="0"/>
          <w:marTop w:val="0"/>
          <w:marBottom w:val="101"/>
          <w:divBdr>
            <w:top w:val="none" w:sz="0" w:space="0" w:color="auto"/>
            <w:left w:val="none" w:sz="0" w:space="0" w:color="auto"/>
            <w:bottom w:val="none" w:sz="0" w:space="0" w:color="auto"/>
            <w:right w:val="none" w:sz="0" w:space="0" w:color="auto"/>
          </w:divBdr>
        </w:div>
        <w:div w:id="463888111">
          <w:marLeft w:val="0"/>
          <w:marRight w:val="0"/>
          <w:marTop w:val="0"/>
          <w:marBottom w:val="101"/>
          <w:divBdr>
            <w:top w:val="none" w:sz="0" w:space="0" w:color="auto"/>
            <w:left w:val="none" w:sz="0" w:space="0" w:color="auto"/>
            <w:bottom w:val="none" w:sz="0" w:space="0" w:color="auto"/>
            <w:right w:val="none" w:sz="0" w:space="0" w:color="auto"/>
          </w:divBdr>
        </w:div>
        <w:div w:id="135609407">
          <w:marLeft w:val="864"/>
          <w:marRight w:val="0"/>
          <w:marTop w:val="0"/>
          <w:marBottom w:val="101"/>
          <w:divBdr>
            <w:top w:val="none" w:sz="0" w:space="0" w:color="auto"/>
            <w:left w:val="none" w:sz="0" w:space="0" w:color="auto"/>
            <w:bottom w:val="none" w:sz="0" w:space="0" w:color="auto"/>
            <w:right w:val="none" w:sz="0" w:space="0" w:color="auto"/>
          </w:divBdr>
        </w:div>
        <w:div w:id="1750613442">
          <w:marLeft w:val="864"/>
          <w:marRight w:val="0"/>
          <w:marTop w:val="0"/>
          <w:marBottom w:val="101"/>
          <w:divBdr>
            <w:top w:val="none" w:sz="0" w:space="0" w:color="auto"/>
            <w:left w:val="none" w:sz="0" w:space="0" w:color="auto"/>
            <w:bottom w:val="none" w:sz="0" w:space="0" w:color="auto"/>
            <w:right w:val="none" w:sz="0" w:space="0" w:color="auto"/>
          </w:divBdr>
        </w:div>
        <w:div w:id="1377466475">
          <w:marLeft w:val="864"/>
          <w:marRight w:val="0"/>
          <w:marTop w:val="0"/>
          <w:marBottom w:val="101"/>
          <w:divBdr>
            <w:top w:val="none" w:sz="0" w:space="0" w:color="auto"/>
            <w:left w:val="none" w:sz="0" w:space="0" w:color="auto"/>
            <w:bottom w:val="none" w:sz="0" w:space="0" w:color="auto"/>
            <w:right w:val="none" w:sz="0" w:space="0" w:color="auto"/>
          </w:divBdr>
        </w:div>
        <w:div w:id="1149782613">
          <w:marLeft w:val="864"/>
          <w:marRight w:val="0"/>
          <w:marTop w:val="0"/>
          <w:marBottom w:val="101"/>
          <w:divBdr>
            <w:top w:val="none" w:sz="0" w:space="0" w:color="auto"/>
            <w:left w:val="none" w:sz="0" w:space="0" w:color="auto"/>
            <w:bottom w:val="none" w:sz="0" w:space="0" w:color="auto"/>
            <w:right w:val="none" w:sz="0" w:space="0" w:color="auto"/>
          </w:divBdr>
        </w:div>
        <w:div w:id="1119881655">
          <w:marLeft w:val="864"/>
          <w:marRight w:val="0"/>
          <w:marTop w:val="0"/>
          <w:marBottom w:val="101"/>
          <w:divBdr>
            <w:top w:val="none" w:sz="0" w:space="0" w:color="auto"/>
            <w:left w:val="none" w:sz="0" w:space="0" w:color="auto"/>
            <w:bottom w:val="none" w:sz="0" w:space="0" w:color="auto"/>
            <w:right w:val="none" w:sz="0" w:space="0" w:color="auto"/>
          </w:divBdr>
        </w:div>
        <w:div w:id="1174346349">
          <w:marLeft w:val="0"/>
          <w:marRight w:val="0"/>
          <w:marTop w:val="0"/>
          <w:marBottom w:val="86"/>
          <w:divBdr>
            <w:top w:val="none" w:sz="0" w:space="0" w:color="auto"/>
            <w:left w:val="none" w:sz="0" w:space="0" w:color="auto"/>
            <w:bottom w:val="none" w:sz="0" w:space="0" w:color="auto"/>
            <w:right w:val="none" w:sz="0" w:space="0" w:color="auto"/>
          </w:divBdr>
        </w:div>
        <w:div w:id="1700206936">
          <w:marLeft w:val="864"/>
          <w:marRight w:val="0"/>
          <w:marTop w:val="0"/>
          <w:marBottom w:val="86"/>
          <w:divBdr>
            <w:top w:val="none" w:sz="0" w:space="0" w:color="auto"/>
            <w:left w:val="none" w:sz="0" w:space="0" w:color="auto"/>
            <w:bottom w:val="none" w:sz="0" w:space="0" w:color="auto"/>
            <w:right w:val="none" w:sz="0" w:space="0" w:color="auto"/>
          </w:divBdr>
        </w:div>
        <w:div w:id="1277441889">
          <w:marLeft w:val="864"/>
          <w:marRight w:val="0"/>
          <w:marTop w:val="0"/>
          <w:marBottom w:val="86"/>
          <w:divBdr>
            <w:top w:val="none" w:sz="0" w:space="0" w:color="auto"/>
            <w:left w:val="none" w:sz="0" w:space="0" w:color="auto"/>
            <w:bottom w:val="none" w:sz="0" w:space="0" w:color="auto"/>
            <w:right w:val="none" w:sz="0" w:space="0" w:color="auto"/>
          </w:divBdr>
        </w:div>
        <w:div w:id="429736845">
          <w:marLeft w:val="864"/>
          <w:marRight w:val="0"/>
          <w:marTop w:val="0"/>
          <w:marBottom w:val="86"/>
          <w:divBdr>
            <w:top w:val="none" w:sz="0" w:space="0" w:color="auto"/>
            <w:left w:val="none" w:sz="0" w:space="0" w:color="auto"/>
            <w:bottom w:val="none" w:sz="0" w:space="0" w:color="auto"/>
            <w:right w:val="none" w:sz="0" w:space="0" w:color="auto"/>
          </w:divBdr>
        </w:div>
        <w:div w:id="32657105">
          <w:marLeft w:val="864"/>
          <w:marRight w:val="0"/>
          <w:marTop w:val="0"/>
          <w:marBottom w:val="86"/>
          <w:divBdr>
            <w:top w:val="none" w:sz="0" w:space="0" w:color="auto"/>
            <w:left w:val="none" w:sz="0" w:space="0" w:color="auto"/>
            <w:bottom w:val="none" w:sz="0" w:space="0" w:color="auto"/>
            <w:right w:val="none" w:sz="0" w:space="0" w:color="auto"/>
          </w:divBdr>
        </w:div>
        <w:div w:id="901601070">
          <w:marLeft w:val="864"/>
          <w:marRight w:val="0"/>
          <w:marTop w:val="0"/>
          <w:marBottom w:val="86"/>
          <w:divBdr>
            <w:top w:val="none" w:sz="0" w:space="0" w:color="auto"/>
            <w:left w:val="none" w:sz="0" w:space="0" w:color="auto"/>
            <w:bottom w:val="none" w:sz="0" w:space="0" w:color="auto"/>
            <w:right w:val="none" w:sz="0" w:space="0" w:color="auto"/>
          </w:divBdr>
        </w:div>
        <w:div w:id="709720404">
          <w:marLeft w:val="864"/>
          <w:marRight w:val="0"/>
          <w:marTop w:val="0"/>
          <w:marBottom w:val="86"/>
          <w:divBdr>
            <w:top w:val="none" w:sz="0" w:space="0" w:color="auto"/>
            <w:left w:val="none" w:sz="0" w:space="0" w:color="auto"/>
            <w:bottom w:val="none" w:sz="0" w:space="0" w:color="auto"/>
            <w:right w:val="none" w:sz="0" w:space="0" w:color="auto"/>
          </w:divBdr>
        </w:div>
        <w:div w:id="1148936041">
          <w:marLeft w:val="864"/>
          <w:marRight w:val="0"/>
          <w:marTop w:val="0"/>
          <w:marBottom w:val="86"/>
          <w:divBdr>
            <w:top w:val="none" w:sz="0" w:space="0" w:color="auto"/>
            <w:left w:val="none" w:sz="0" w:space="0" w:color="auto"/>
            <w:bottom w:val="none" w:sz="0" w:space="0" w:color="auto"/>
            <w:right w:val="none" w:sz="0" w:space="0" w:color="auto"/>
          </w:divBdr>
        </w:div>
        <w:div w:id="1626355075">
          <w:marLeft w:val="0"/>
          <w:marRight w:val="0"/>
          <w:marTop w:val="0"/>
          <w:marBottom w:val="86"/>
          <w:divBdr>
            <w:top w:val="none" w:sz="0" w:space="0" w:color="auto"/>
            <w:left w:val="none" w:sz="0" w:space="0" w:color="auto"/>
            <w:bottom w:val="none" w:sz="0" w:space="0" w:color="auto"/>
            <w:right w:val="none" w:sz="0" w:space="0" w:color="auto"/>
          </w:divBdr>
        </w:div>
        <w:div w:id="213471384">
          <w:marLeft w:val="0"/>
          <w:marRight w:val="0"/>
          <w:marTop w:val="0"/>
          <w:marBottom w:val="86"/>
          <w:divBdr>
            <w:top w:val="none" w:sz="0" w:space="0" w:color="auto"/>
            <w:left w:val="none" w:sz="0" w:space="0" w:color="auto"/>
            <w:bottom w:val="none" w:sz="0" w:space="0" w:color="auto"/>
            <w:right w:val="none" w:sz="0" w:space="0" w:color="auto"/>
          </w:divBdr>
        </w:div>
        <w:div w:id="1733769350">
          <w:marLeft w:val="0"/>
          <w:marRight w:val="0"/>
          <w:marTop w:val="0"/>
          <w:marBottom w:val="86"/>
          <w:divBdr>
            <w:top w:val="none" w:sz="0" w:space="0" w:color="auto"/>
            <w:left w:val="none" w:sz="0" w:space="0" w:color="auto"/>
            <w:bottom w:val="none" w:sz="0" w:space="0" w:color="auto"/>
            <w:right w:val="none" w:sz="0" w:space="0" w:color="auto"/>
          </w:divBdr>
        </w:div>
        <w:div w:id="1945114665">
          <w:marLeft w:val="0"/>
          <w:marRight w:val="0"/>
          <w:marTop w:val="0"/>
          <w:marBottom w:val="86"/>
          <w:divBdr>
            <w:top w:val="none" w:sz="0" w:space="0" w:color="auto"/>
            <w:left w:val="none" w:sz="0" w:space="0" w:color="auto"/>
            <w:bottom w:val="none" w:sz="0" w:space="0" w:color="auto"/>
            <w:right w:val="none" w:sz="0" w:space="0" w:color="auto"/>
          </w:divBdr>
        </w:div>
        <w:div w:id="1706755526">
          <w:marLeft w:val="0"/>
          <w:marRight w:val="0"/>
          <w:marTop w:val="0"/>
          <w:marBottom w:val="86"/>
          <w:divBdr>
            <w:top w:val="none" w:sz="0" w:space="0" w:color="auto"/>
            <w:left w:val="none" w:sz="0" w:space="0" w:color="auto"/>
            <w:bottom w:val="none" w:sz="0" w:space="0" w:color="auto"/>
            <w:right w:val="none" w:sz="0" w:space="0" w:color="auto"/>
          </w:divBdr>
        </w:div>
        <w:div w:id="2130783226">
          <w:marLeft w:val="0"/>
          <w:marRight w:val="0"/>
          <w:marTop w:val="0"/>
          <w:marBottom w:val="86"/>
          <w:divBdr>
            <w:top w:val="none" w:sz="0" w:space="0" w:color="auto"/>
            <w:left w:val="none" w:sz="0" w:space="0" w:color="auto"/>
            <w:bottom w:val="none" w:sz="0" w:space="0" w:color="auto"/>
            <w:right w:val="none" w:sz="0" w:space="0" w:color="auto"/>
          </w:divBdr>
        </w:div>
        <w:div w:id="760220313">
          <w:marLeft w:val="0"/>
          <w:marRight w:val="0"/>
          <w:marTop w:val="0"/>
          <w:marBottom w:val="101"/>
          <w:divBdr>
            <w:top w:val="none" w:sz="0" w:space="0" w:color="auto"/>
            <w:left w:val="none" w:sz="0" w:space="0" w:color="auto"/>
            <w:bottom w:val="none" w:sz="0" w:space="0" w:color="auto"/>
            <w:right w:val="none" w:sz="0" w:space="0" w:color="auto"/>
          </w:divBdr>
        </w:div>
        <w:div w:id="617419259">
          <w:marLeft w:val="0"/>
          <w:marRight w:val="0"/>
          <w:marTop w:val="0"/>
          <w:marBottom w:val="101"/>
          <w:divBdr>
            <w:top w:val="none" w:sz="0" w:space="0" w:color="auto"/>
            <w:left w:val="none" w:sz="0" w:space="0" w:color="auto"/>
            <w:bottom w:val="none" w:sz="0" w:space="0" w:color="auto"/>
            <w:right w:val="none" w:sz="0" w:space="0" w:color="auto"/>
          </w:divBdr>
        </w:div>
        <w:div w:id="1288897890">
          <w:marLeft w:val="0"/>
          <w:marRight w:val="0"/>
          <w:marTop w:val="0"/>
          <w:marBottom w:val="101"/>
          <w:divBdr>
            <w:top w:val="none" w:sz="0" w:space="0" w:color="auto"/>
            <w:left w:val="none" w:sz="0" w:space="0" w:color="auto"/>
            <w:bottom w:val="none" w:sz="0" w:space="0" w:color="auto"/>
            <w:right w:val="none" w:sz="0" w:space="0" w:color="auto"/>
          </w:divBdr>
        </w:div>
        <w:div w:id="278878981">
          <w:marLeft w:val="0"/>
          <w:marRight w:val="0"/>
          <w:marTop w:val="0"/>
          <w:marBottom w:val="101"/>
          <w:divBdr>
            <w:top w:val="none" w:sz="0" w:space="0" w:color="auto"/>
            <w:left w:val="none" w:sz="0" w:space="0" w:color="auto"/>
            <w:bottom w:val="none" w:sz="0" w:space="0" w:color="auto"/>
            <w:right w:val="none" w:sz="0" w:space="0" w:color="auto"/>
          </w:divBdr>
        </w:div>
        <w:div w:id="1650327912">
          <w:marLeft w:val="864"/>
          <w:marRight w:val="0"/>
          <w:marTop w:val="0"/>
          <w:marBottom w:val="101"/>
          <w:divBdr>
            <w:top w:val="none" w:sz="0" w:space="0" w:color="auto"/>
            <w:left w:val="none" w:sz="0" w:space="0" w:color="auto"/>
            <w:bottom w:val="none" w:sz="0" w:space="0" w:color="auto"/>
            <w:right w:val="none" w:sz="0" w:space="0" w:color="auto"/>
          </w:divBdr>
        </w:div>
        <w:div w:id="1790736027">
          <w:marLeft w:val="864"/>
          <w:marRight w:val="0"/>
          <w:marTop w:val="0"/>
          <w:marBottom w:val="101"/>
          <w:divBdr>
            <w:top w:val="none" w:sz="0" w:space="0" w:color="auto"/>
            <w:left w:val="none" w:sz="0" w:space="0" w:color="auto"/>
            <w:bottom w:val="none" w:sz="0" w:space="0" w:color="auto"/>
            <w:right w:val="none" w:sz="0" w:space="0" w:color="auto"/>
          </w:divBdr>
        </w:div>
        <w:div w:id="1115560969">
          <w:marLeft w:val="1296"/>
          <w:marRight w:val="0"/>
          <w:marTop w:val="0"/>
          <w:marBottom w:val="101"/>
          <w:divBdr>
            <w:top w:val="none" w:sz="0" w:space="0" w:color="auto"/>
            <w:left w:val="none" w:sz="0" w:space="0" w:color="auto"/>
            <w:bottom w:val="none" w:sz="0" w:space="0" w:color="auto"/>
            <w:right w:val="none" w:sz="0" w:space="0" w:color="auto"/>
          </w:divBdr>
        </w:div>
        <w:div w:id="418600152">
          <w:marLeft w:val="1296"/>
          <w:marRight w:val="0"/>
          <w:marTop w:val="0"/>
          <w:marBottom w:val="101"/>
          <w:divBdr>
            <w:top w:val="none" w:sz="0" w:space="0" w:color="auto"/>
            <w:left w:val="none" w:sz="0" w:space="0" w:color="auto"/>
            <w:bottom w:val="none" w:sz="0" w:space="0" w:color="auto"/>
            <w:right w:val="none" w:sz="0" w:space="0" w:color="auto"/>
          </w:divBdr>
        </w:div>
        <w:div w:id="365788982">
          <w:marLeft w:val="1296"/>
          <w:marRight w:val="0"/>
          <w:marTop w:val="0"/>
          <w:marBottom w:val="101"/>
          <w:divBdr>
            <w:top w:val="none" w:sz="0" w:space="0" w:color="auto"/>
            <w:left w:val="none" w:sz="0" w:space="0" w:color="auto"/>
            <w:bottom w:val="none" w:sz="0" w:space="0" w:color="auto"/>
            <w:right w:val="none" w:sz="0" w:space="0" w:color="auto"/>
          </w:divBdr>
        </w:div>
        <w:div w:id="1578898976">
          <w:marLeft w:val="1296"/>
          <w:marRight w:val="0"/>
          <w:marTop w:val="0"/>
          <w:marBottom w:val="101"/>
          <w:divBdr>
            <w:top w:val="none" w:sz="0" w:space="0" w:color="auto"/>
            <w:left w:val="none" w:sz="0" w:space="0" w:color="auto"/>
            <w:bottom w:val="none" w:sz="0" w:space="0" w:color="auto"/>
            <w:right w:val="none" w:sz="0" w:space="0" w:color="auto"/>
          </w:divBdr>
        </w:div>
        <w:div w:id="1555317192">
          <w:marLeft w:val="864"/>
          <w:marRight w:val="0"/>
          <w:marTop w:val="0"/>
          <w:marBottom w:val="101"/>
          <w:divBdr>
            <w:top w:val="none" w:sz="0" w:space="0" w:color="auto"/>
            <w:left w:val="none" w:sz="0" w:space="0" w:color="auto"/>
            <w:bottom w:val="none" w:sz="0" w:space="0" w:color="auto"/>
            <w:right w:val="none" w:sz="0" w:space="0" w:color="auto"/>
          </w:divBdr>
        </w:div>
        <w:div w:id="530535587">
          <w:marLeft w:val="864"/>
          <w:marRight w:val="0"/>
          <w:marTop w:val="0"/>
          <w:marBottom w:val="101"/>
          <w:divBdr>
            <w:top w:val="none" w:sz="0" w:space="0" w:color="auto"/>
            <w:left w:val="none" w:sz="0" w:space="0" w:color="auto"/>
            <w:bottom w:val="none" w:sz="0" w:space="0" w:color="auto"/>
            <w:right w:val="none" w:sz="0" w:space="0" w:color="auto"/>
          </w:divBdr>
        </w:div>
        <w:div w:id="479002756">
          <w:marLeft w:val="1296"/>
          <w:marRight w:val="0"/>
          <w:marTop w:val="0"/>
          <w:marBottom w:val="101"/>
          <w:divBdr>
            <w:top w:val="none" w:sz="0" w:space="0" w:color="auto"/>
            <w:left w:val="none" w:sz="0" w:space="0" w:color="auto"/>
            <w:bottom w:val="none" w:sz="0" w:space="0" w:color="auto"/>
            <w:right w:val="none" w:sz="0" w:space="0" w:color="auto"/>
          </w:divBdr>
        </w:div>
        <w:div w:id="1321689077">
          <w:marLeft w:val="1296"/>
          <w:marRight w:val="0"/>
          <w:marTop w:val="0"/>
          <w:marBottom w:val="101"/>
          <w:divBdr>
            <w:top w:val="none" w:sz="0" w:space="0" w:color="auto"/>
            <w:left w:val="none" w:sz="0" w:space="0" w:color="auto"/>
            <w:bottom w:val="none" w:sz="0" w:space="0" w:color="auto"/>
            <w:right w:val="none" w:sz="0" w:space="0" w:color="auto"/>
          </w:divBdr>
        </w:div>
        <w:div w:id="1365329733">
          <w:marLeft w:val="1296"/>
          <w:marRight w:val="0"/>
          <w:marTop w:val="0"/>
          <w:marBottom w:val="101"/>
          <w:divBdr>
            <w:top w:val="none" w:sz="0" w:space="0" w:color="auto"/>
            <w:left w:val="none" w:sz="0" w:space="0" w:color="auto"/>
            <w:bottom w:val="none" w:sz="0" w:space="0" w:color="auto"/>
            <w:right w:val="none" w:sz="0" w:space="0" w:color="auto"/>
          </w:divBdr>
        </w:div>
        <w:div w:id="1247883505">
          <w:marLeft w:val="1296"/>
          <w:marRight w:val="0"/>
          <w:marTop w:val="0"/>
          <w:marBottom w:val="101"/>
          <w:divBdr>
            <w:top w:val="none" w:sz="0" w:space="0" w:color="auto"/>
            <w:left w:val="none" w:sz="0" w:space="0" w:color="auto"/>
            <w:bottom w:val="none" w:sz="0" w:space="0" w:color="auto"/>
            <w:right w:val="none" w:sz="0" w:space="0" w:color="auto"/>
          </w:divBdr>
        </w:div>
        <w:div w:id="481578760">
          <w:marLeft w:val="1296"/>
          <w:marRight w:val="0"/>
          <w:marTop w:val="0"/>
          <w:marBottom w:val="101"/>
          <w:divBdr>
            <w:top w:val="none" w:sz="0" w:space="0" w:color="auto"/>
            <w:left w:val="none" w:sz="0" w:space="0" w:color="auto"/>
            <w:bottom w:val="none" w:sz="0" w:space="0" w:color="auto"/>
            <w:right w:val="none" w:sz="0" w:space="0" w:color="auto"/>
          </w:divBdr>
        </w:div>
        <w:div w:id="2059354903">
          <w:marLeft w:val="1296"/>
          <w:marRight w:val="0"/>
          <w:marTop w:val="0"/>
          <w:marBottom w:val="101"/>
          <w:divBdr>
            <w:top w:val="none" w:sz="0" w:space="0" w:color="auto"/>
            <w:left w:val="none" w:sz="0" w:space="0" w:color="auto"/>
            <w:bottom w:val="none" w:sz="0" w:space="0" w:color="auto"/>
            <w:right w:val="none" w:sz="0" w:space="0" w:color="auto"/>
          </w:divBdr>
        </w:div>
        <w:div w:id="1514957776">
          <w:marLeft w:val="1296"/>
          <w:marRight w:val="0"/>
          <w:marTop w:val="0"/>
          <w:marBottom w:val="101"/>
          <w:divBdr>
            <w:top w:val="none" w:sz="0" w:space="0" w:color="auto"/>
            <w:left w:val="none" w:sz="0" w:space="0" w:color="auto"/>
            <w:bottom w:val="none" w:sz="0" w:space="0" w:color="auto"/>
            <w:right w:val="none" w:sz="0" w:space="0" w:color="auto"/>
          </w:divBdr>
        </w:div>
        <w:div w:id="1163471657">
          <w:marLeft w:val="864"/>
          <w:marRight w:val="0"/>
          <w:marTop w:val="0"/>
          <w:marBottom w:val="101"/>
          <w:divBdr>
            <w:top w:val="none" w:sz="0" w:space="0" w:color="auto"/>
            <w:left w:val="none" w:sz="0" w:space="0" w:color="auto"/>
            <w:bottom w:val="none" w:sz="0" w:space="0" w:color="auto"/>
            <w:right w:val="none" w:sz="0" w:space="0" w:color="auto"/>
          </w:divBdr>
        </w:div>
        <w:div w:id="1298531065">
          <w:marLeft w:val="864"/>
          <w:marRight w:val="0"/>
          <w:marTop w:val="0"/>
          <w:marBottom w:val="101"/>
          <w:divBdr>
            <w:top w:val="none" w:sz="0" w:space="0" w:color="auto"/>
            <w:left w:val="none" w:sz="0" w:space="0" w:color="auto"/>
            <w:bottom w:val="none" w:sz="0" w:space="0" w:color="auto"/>
            <w:right w:val="none" w:sz="0" w:space="0" w:color="auto"/>
          </w:divBdr>
        </w:div>
        <w:div w:id="600380231">
          <w:marLeft w:val="864"/>
          <w:marRight w:val="0"/>
          <w:marTop w:val="0"/>
          <w:marBottom w:val="101"/>
          <w:divBdr>
            <w:top w:val="none" w:sz="0" w:space="0" w:color="auto"/>
            <w:left w:val="none" w:sz="0" w:space="0" w:color="auto"/>
            <w:bottom w:val="none" w:sz="0" w:space="0" w:color="auto"/>
            <w:right w:val="none" w:sz="0" w:space="0" w:color="auto"/>
          </w:divBdr>
        </w:div>
        <w:div w:id="546575585">
          <w:marLeft w:val="0"/>
          <w:marRight w:val="0"/>
          <w:marTop w:val="0"/>
          <w:marBottom w:val="101"/>
          <w:divBdr>
            <w:top w:val="none" w:sz="0" w:space="0" w:color="auto"/>
            <w:left w:val="none" w:sz="0" w:space="0" w:color="auto"/>
            <w:bottom w:val="none" w:sz="0" w:space="0" w:color="auto"/>
            <w:right w:val="none" w:sz="0" w:space="0" w:color="auto"/>
          </w:divBdr>
        </w:div>
        <w:div w:id="2061394507">
          <w:marLeft w:val="0"/>
          <w:marRight w:val="0"/>
          <w:marTop w:val="0"/>
          <w:marBottom w:val="101"/>
          <w:divBdr>
            <w:top w:val="none" w:sz="0" w:space="0" w:color="auto"/>
            <w:left w:val="none" w:sz="0" w:space="0" w:color="auto"/>
            <w:bottom w:val="none" w:sz="0" w:space="0" w:color="auto"/>
            <w:right w:val="none" w:sz="0" w:space="0" w:color="auto"/>
          </w:divBdr>
        </w:div>
        <w:div w:id="150487968">
          <w:marLeft w:val="0"/>
          <w:marRight w:val="0"/>
          <w:marTop w:val="0"/>
          <w:marBottom w:val="101"/>
          <w:divBdr>
            <w:top w:val="none" w:sz="0" w:space="0" w:color="auto"/>
            <w:left w:val="none" w:sz="0" w:space="0" w:color="auto"/>
            <w:bottom w:val="none" w:sz="0" w:space="0" w:color="auto"/>
            <w:right w:val="none" w:sz="0" w:space="0" w:color="auto"/>
          </w:divBdr>
        </w:div>
        <w:div w:id="2088073349">
          <w:marLeft w:val="0"/>
          <w:marRight w:val="0"/>
          <w:marTop w:val="0"/>
          <w:marBottom w:val="101"/>
          <w:divBdr>
            <w:top w:val="none" w:sz="0" w:space="0" w:color="auto"/>
            <w:left w:val="none" w:sz="0" w:space="0" w:color="auto"/>
            <w:bottom w:val="none" w:sz="0" w:space="0" w:color="auto"/>
            <w:right w:val="none" w:sz="0" w:space="0" w:color="auto"/>
          </w:divBdr>
        </w:div>
        <w:div w:id="966273959">
          <w:marLeft w:val="0"/>
          <w:marRight w:val="0"/>
          <w:marTop w:val="0"/>
          <w:marBottom w:val="101"/>
          <w:divBdr>
            <w:top w:val="none" w:sz="0" w:space="0" w:color="auto"/>
            <w:left w:val="none" w:sz="0" w:space="0" w:color="auto"/>
            <w:bottom w:val="none" w:sz="0" w:space="0" w:color="auto"/>
            <w:right w:val="none" w:sz="0" w:space="0" w:color="auto"/>
          </w:divBdr>
        </w:div>
        <w:div w:id="1132864316">
          <w:marLeft w:val="0"/>
          <w:marRight w:val="0"/>
          <w:marTop w:val="0"/>
          <w:marBottom w:val="101"/>
          <w:divBdr>
            <w:top w:val="none" w:sz="0" w:space="0" w:color="auto"/>
            <w:left w:val="none" w:sz="0" w:space="0" w:color="auto"/>
            <w:bottom w:val="none" w:sz="0" w:space="0" w:color="auto"/>
            <w:right w:val="none" w:sz="0" w:space="0" w:color="auto"/>
          </w:divBdr>
        </w:div>
        <w:div w:id="1462379927">
          <w:marLeft w:val="864"/>
          <w:marRight w:val="0"/>
          <w:marTop w:val="0"/>
          <w:marBottom w:val="101"/>
          <w:divBdr>
            <w:top w:val="none" w:sz="0" w:space="0" w:color="auto"/>
            <w:left w:val="none" w:sz="0" w:space="0" w:color="auto"/>
            <w:bottom w:val="none" w:sz="0" w:space="0" w:color="auto"/>
            <w:right w:val="none" w:sz="0" w:space="0" w:color="auto"/>
          </w:divBdr>
        </w:div>
        <w:div w:id="796097341">
          <w:marLeft w:val="864"/>
          <w:marRight w:val="0"/>
          <w:marTop w:val="0"/>
          <w:marBottom w:val="101"/>
          <w:divBdr>
            <w:top w:val="none" w:sz="0" w:space="0" w:color="auto"/>
            <w:left w:val="none" w:sz="0" w:space="0" w:color="auto"/>
            <w:bottom w:val="none" w:sz="0" w:space="0" w:color="auto"/>
            <w:right w:val="none" w:sz="0" w:space="0" w:color="auto"/>
          </w:divBdr>
        </w:div>
        <w:div w:id="236743069">
          <w:marLeft w:val="864"/>
          <w:marRight w:val="0"/>
          <w:marTop w:val="0"/>
          <w:marBottom w:val="101"/>
          <w:divBdr>
            <w:top w:val="none" w:sz="0" w:space="0" w:color="auto"/>
            <w:left w:val="none" w:sz="0" w:space="0" w:color="auto"/>
            <w:bottom w:val="none" w:sz="0" w:space="0" w:color="auto"/>
            <w:right w:val="none" w:sz="0" w:space="0" w:color="auto"/>
          </w:divBdr>
        </w:div>
        <w:div w:id="1335838769">
          <w:marLeft w:val="864"/>
          <w:marRight w:val="0"/>
          <w:marTop w:val="0"/>
          <w:marBottom w:val="101"/>
          <w:divBdr>
            <w:top w:val="none" w:sz="0" w:space="0" w:color="auto"/>
            <w:left w:val="none" w:sz="0" w:space="0" w:color="auto"/>
            <w:bottom w:val="none" w:sz="0" w:space="0" w:color="auto"/>
            <w:right w:val="none" w:sz="0" w:space="0" w:color="auto"/>
          </w:divBdr>
        </w:div>
        <w:div w:id="264771644">
          <w:marLeft w:val="864"/>
          <w:marRight w:val="0"/>
          <w:marTop w:val="0"/>
          <w:marBottom w:val="101"/>
          <w:divBdr>
            <w:top w:val="none" w:sz="0" w:space="0" w:color="auto"/>
            <w:left w:val="none" w:sz="0" w:space="0" w:color="auto"/>
            <w:bottom w:val="none" w:sz="0" w:space="0" w:color="auto"/>
            <w:right w:val="none" w:sz="0" w:space="0" w:color="auto"/>
          </w:divBdr>
        </w:div>
        <w:div w:id="1465805328">
          <w:marLeft w:val="864"/>
          <w:marRight w:val="0"/>
          <w:marTop w:val="0"/>
          <w:marBottom w:val="101"/>
          <w:divBdr>
            <w:top w:val="none" w:sz="0" w:space="0" w:color="auto"/>
            <w:left w:val="none" w:sz="0" w:space="0" w:color="auto"/>
            <w:bottom w:val="none" w:sz="0" w:space="0" w:color="auto"/>
            <w:right w:val="none" w:sz="0" w:space="0" w:color="auto"/>
          </w:divBdr>
        </w:div>
        <w:div w:id="181942539">
          <w:marLeft w:val="0"/>
          <w:marRight w:val="0"/>
          <w:marTop w:val="0"/>
          <w:marBottom w:val="101"/>
          <w:divBdr>
            <w:top w:val="none" w:sz="0" w:space="0" w:color="auto"/>
            <w:left w:val="none" w:sz="0" w:space="0" w:color="auto"/>
            <w:bottom w:val="none" w:sz="0" w:space="0" w:color="auto"/>
            <w:right w:val="none" w:sz="0" w:space="0" w:color="auto"/>
          </w:divBdr>
        </w:div>
        <w:div w:id="1627271476">
          <w:marLeft w:val="0"/>
          <w:marRight w:val="0"/>
          <w:marTop w:val="0"/>
          <w:marBottom w:val="101"/>
          <w:divBdr>
            <w:top w:val="none" w:sz="0" w:space="0" w:color="auto"/>
            <w:left w:val="none" w:sz="0" w:space="0" w:color="auto"/>
            <w:bottom w:val="none" w:sz="0" w:space="0" w:color="auto"/>
            <w:right w:val="none" w:sz="0" w:space="0" w:color="auto"/>
          </w:divBdr>
        </w:div>
        <w:div w:id="950161939">
          <w:marLeft w:val="864"/>
          <w:marRight w:val="0"/>
          <w:marTop w:val="0"/>
          <w:marBottom w:val="101"/>
          <w:divBdr>
            <w:top w:val="none" w:sz="0" w:space="0" w:color="auto"/>
            <w:left w:val="none" w:sz="0" w:space="0" w:color="auto"/>
            <w:bottom w:val="none" w:sz="0" w:space="0" w:color="auto"/>
            <w:right w:val="none" w:sz="0" w:space="0" w:color="auto"/>
          </w:divBdr>
        </w:div>
        <w:div w:id="1441681344">
          <w:marLeft w:val="864"/>
          <w:marRight w:val="0"/>
          <w:marTop w:val="0"/>
          <w:marBottom w:val="101"/>
          <w:divBdr>
            <w:top w:val="none" w:sz="0" w:space="0" w:color="auto"/>
            <w:left w:val="none" w:sz="0" w:space="0" w:color="auto"/>
            <w:bottom w:val="none" w:sz="0" w:space="0" w:color="auto"/>
            <w:right w:val="none" w:sz="0" w:space="0" w:color="auto"/>
          </w:divBdr>
        </w:div>
        <w:div w:id="475877268">
          <w:marLeft w:val="0"/>
          <w:marRight w:val="0"/>
          <w:marTop w:val="0"/>
          <w:marBottom w:val="101"/>
          <w:divBdr>
            <w:top w:val="none" w:sz="0" w:space="0" w:color="auto"/>
            <w:left w:val="none" w:sz="0" w:space="0" w:color="auto"/>
            <w:bottom w:val="none" w:sz="0" w:space="0" w:color="auto"/>
            <w:right w:val="none" w:sz="0" w:space="0" w:color="auto"/>
          </w:divBdr>
        </w:div>
        <w:div w:id="247007552">
          <w:marLeft w:val="0"/>
          <w:marRight w:val="0"/>
          <w:marTop w:val="0"/>
          <w:marBottom w:val="52"/>
          <w:divBdr>
            <w:top w:val="none" w:sz="0" w:space="0" w:color="auto"/>
            <w:left w:val="none" w:sz="0" w:space="0" w:color="auto"/>
            <w:bottom w:val="none" w:sz="0" w:space="0" w:color="auto"/>
            <w:right w:val="none" w:sz="0" w:space="0" w:color="auto"/>
          </w:divBdr>
        </w:div>
        <w:div w:id="1696542717">
          <w:marLeft w:val="0"/>
          <w:marRight w:val="0"/>
          <w:marTop w:val="0"/>
          <w:marBottom w:val="52"/>
          <w:divBdr>
            <w:top w:val="none" w:sz="0" w:space="0" w:color="auto"/>
            <w:left w:val="none" w:sz="0" w:space="0" w:color="auto"/>
            <w:bottom w:val="none" w:sz="0" w:space="0" w:color="auto"/>
            <w:right w:val="none" w:sz="0" w:space="0" w:color="auto"/>
          </w:divBdr>
        </w:div>
        <w:div w:id="48194854">
          <w:marLeft w:val="864"/>
          <w:marRight w:val="0"/>
          <w:marTop w:val="0"/>
          <w:marBottom w:val="52"/>
          <w:divBdr>
            <w:top w:val="none" w:sz="0" w:space="0" w:color="auto"/>
            <w:left w:val="none" w:sz="0" w:space="0" w:color="auto"/>
            <w:bottom w:val="none" w:sz="0" w:space="0" w:color="auto"/>
            <w:right w:val="none" w:sz="0" w:space="0" w:color="auto"/>
          </w:divBdr>
        </w:div>
        <w:div w:id="104348734">
          <w:marLeft w:val="0"/>
          <w:marRight w:val="0"/>
          <w:marTop w:val="0"/>
          <w:marBottom w:val="52"/>
          <w:divBdr>
            <w:top w:val="none" w:sz="0" w:space="0" w:color="auto"/>
            <w:left w:val="none" w:sz="0" w:space="0" w:color="auto"/>
            <w:bottom w:val="none" w:sz="0" w:space="0" w:color="auto"/>
            <w:right w:val="none" w:sz="0" w:space="0" w:color="auto"/>
          </w:divBdr>
        </w:div>
        <w:div w:id="866260101">
          <w:marLeft w:val="0"/>
          <w:marRight w:val="0"/>
          <w:marTop w:val="0"/>
          <w:marBottom w:val="52"/>
          <w:divBdr>
            <w:top w:val="none" w:sz="0" w:space="0" w:color="auto"/>
            <w:left w:val="none" w:sz="0" w:space="0" w:color="auto"/>
            <w:bottom w:val="none" w:sz="0" w:space="0" w:color="auto"/>
            <w:right w:val="none" w:sz="0" w:space="0" w:color="auto"/>
          </w:divBdr>
        </w:div>
        <w:div w:id="848106875">
          <w:marLeft w:val="0"/>
          <w:marRight w:val="0"/>
          <w:marTop w:val="0"/>
          <w:marBottom w:val="52"/>
          <w:divBdr>
            <w:top w:val="none" w:sz="0" w:space="0" w:color="auto"/>
            <w:left w:val="none" w:sz="0" w:space="0" w:color="auto"/>
            <w:bottom w:val="none" w:sz="0" w:space="0" w:color="auto"/>
            <w:right w:val="none" w:sz="0" w:space="0" w:color="auto"/>
          </w:divBdr>
        </w:div>
        <w:div w:id="360978607">
          <w:marLeft w:val="864"/>
          <w:marRight w:val="0"/>
          <w:marTop w:val="0"/>
          <w:marBottom w:val="52"/>
          <w:divBdr>
            <w:top w:val="none" w:sz="0" w:space="0" w:color="auto"/>
            <w:left w:val="none" w:sz="0" w:space="0" w:color="auto"/>
            <w:bottom w:val="none" w:sz="0" w:space="0" w:color="auto"/>
            <w:right w:val="none" w:sz="0" w:space="0" w:color="auto"/>
          </w:divBdr>
        </w:div>
        <w:div w:id="236939659">
          <w:marLeft w:val="0"/>
          <w:marRight w:val="0"/>
          <w:marTop w:val="0"/>
          <w:marBottom w:val="52"/>
          <w:divBdr>
            <w:top w:val="none" w:sz="0" w:space="0" w:color="auto"/>
            <w:left w:val="none" w:sz="0" w:space="0" w:color="auto"/>
            <w:bottom w:val="none" w:sz="0" w:space="0" w:color="auto"/>
            <w:right w:val="none" w:sz="0" w:space="0" w:color="auto"/>
          </w:divBdr>
        </w:div>
        <w:div w:id="467935651">
          <w:marLeft w:val="0"/>
          <w:marRight w:val="0"/>
          <w:marTop w:val="0"/>
          <w:marBottom w:val="52"/>
          <w:divBdr>
            <w:top w:val="none" w:sz="0" w:space="0" w:color="auto"/>
            <w:left w:val="none" w:sz="0" w:space="0" w:color="auto"/>
            <w:bottom w:val="none" w:sz="0" w:space="0" w:color="auto"/>
            <w:right w:val="none" w:sz="0" w:space="0" w:color="auto"/>
          </w:divBdr>
        </w:div>
        <w:div w:id="1861044877">
          <w:marLeft w:val="0"/>
          <w:marRight w:val="0"/>
          <w:marTop w:val="0"/>
          <w:marBottom w:val="52"/>
          <w:divBdr>
            <w:top w:val="none" w:sz="0" w:space="0" w:color="auto"/>
            <w:left w:val="none" w:sz="0" w:space="0" w:color="auto"/>
            <w:bottom w:val="none" w:sz="0" w:space="0" w:color="auto"/>
            <w:right w:val="none" w:sz="0" w:space="0" w:color="auto"/>
          </w:divBdr>
        </w:div>
        <w:div w:id="622078959">
          <w:marLeft w:val="864"/>
          <w:marRight w:val="0"/>
          <w:marTop w:val="0"/>
          <w:marBottom w:val="52"/>
          <w:divBdr>
            <w:top w:val="none" w:sz="0" w:space="0" w:color="auto"/>
            <w:left w:val="none" w:sz="0" w:space="0" w:color="auto"/>
            <w:bottom w:val="none" w:sz="0" w:space="0" w:color="auto"/>
            <w:right w:val="none" w:sz="0" w:space="0" w:color="auto"/>
          </w:divBdr>
        </w:div>
        <w:div w:id="157697439">
          <w:marLeft w:val="864"/>
          <w:marRight w:val="0"/>
          <w:marTop w:val="0"/>
          <w:marBottom w:val="52"/>
          <w:divBdr>
            <w:top w:val="none" w:sz="0" w:space="0" w:color="auto"/>
            <w:left w:val="none" w:sz="0" w:space="0" w:color="auto"/>
            <w:bottom w:val="none" w:sz="0" w:space="0" w:color="auto"/>
            <w:right w:val="none" w:sz="0" w:space="0" w:color="auto"/>
          </w:divBdr>
        </w:div>
        <w:div w:id="787124">
          <w:marLeft w:val="864"/>
          <w:marRight w:val="0"/>
          <w:marTop w:val="0"/>
          <w:marBottom w:val="52"/>
          <w:divBdr>
            <w:top w:val="none" w:sz="0" w:space="0" w:color="auto"/>
            <w:left w:val="none" w:sz="0" w:space="0" w:color="auto"/>
            <w:bottom w:val="none" w:sz="0" w:space="0" w:color="auto"/>
            <w:right w:val="none" w:sz="0" w:space="0" w:color="auto"/>
          </w:divBdr>
        </w:div>
        <w:div w:id="1203517722">
          <w:marLeft w:val="864"/>
          <w:marRight w:val="0"/>
          <w:marTop w:val="0"/>
          <w:marBottom w:val="52"/>
          <w:divBdr>
            <w:top w:val="none" w:sz="0" w:space="0" w:color="auto"/>
            <w:left w:val="none" w:sz="0" w:space="0" w:color="auto"/>
            <w:bottom w:val="none" w:sz="0" w:space="0" w:color="auto"/>
            <w:right w:val="none" w:sz="0" w:space="0" w:color="auto"/>
          </w:divBdr>
        </w:div>
        <w:div w:id="1030452045">
          <w:marLeft w:val="864"/>
          <w:marRight w:val="0"/>
          <w:marTop w:val="0"/>
          <w:marBottom w:val="52"/>
          <w:divBdr>
            <w:top w:val="none" w:sz="0" w:space="0" w:color="auto"/>
            <w:left w:val="none" w:sz="0" w:space="0" w:color="auto"/>
            <w:bottom w:val="none" w:sz="0" w:space="0" w:color="auto"/>
            <w:right w:val="none" w:sz="0" w:space="0" w:color="auto"/>
          </w:divBdr>
        </w:div>
        <w:div w:id="2097096782">
          <w:marLeft w:val="0"/>
          <w:marRight w:val="0"/>
          <w:marTop w:val="0"/>
          <w:marBottom w:val="52"/>
          <w:divBdr>
            <w:top w:val="none" w:sz="0" w:space="0" w:color="auto"/>
            <w:left w:val="none" w:sz="0" w:space="0" w:color="auto"/>
            <w:bottom w:val="none" w:sz="0" w:space="0" w:color="auto"/>
            <w:right w:val="none" w:sz="0" w:space="0" w:color="auto"/>
          </w:divBdr>
        </w:div>
        <w:div w:id="1033267697">
          <w:marLeft w:val="0"/>
          <w:marRight w:val="0"/>
          <w:marTop w:val="0"/>
          <w:marBottom w:val="52"/>
          <w:divBdr>
            <w:top w:val="none" w:sz="0" w:space="0" w:color="auto"/>
            <w:left w:val="none" w:sz="0" w:space="0" w:color="auto"/>
            <w:bottom w:val="none" w:sz="0" w:space="0" w:color="auto"/>
            <w:right w:val="none" w:sz="0" w:space="0" w:color="auto"/>
          </w:divBdr>
        </w:div>
        <w:div w:id="1853571023">
          <w:marLeft w:val="0"/>
          <w:marRight w:val="0"/>
          <w:marTop w:val="0"/>
          <w:marBottom w:val="52"/>
          <w:divBdr>
            <w:top w:val="none" w:sz="0" w:space="0" w:color="auto"/>
            <w:left w:val="none" w:sz="0" w:space="0" w:color="auto"/>
            <w:bottom w:val="none" w:sz="0" w:space="0" w:color="auto"/>
            <w:right w:val="none" w:sz="0" w:space="0" w:color="auto"/>
          </w:divBdr>
        </w:div>
        <w:div w:id="346908378">
          <w:marLeft w:val="0"/>
          <w:marRight w:val="0"/>
          <w:marTop w:val="0"/>
          <w:marBottom w:val="52"/>
          <w:divBdr>
            <w:top w:val="none" w:sz="0" w:space="0" w:color="auto"/>
            <w:left w:val="none" w:sz="0" w:space="0" w:color="auto"/>
            <w:bottom w:val="none" w:sz="0" w:space="0" w:color="auto"/>
            <w:right w:val="none" w:sz="0" w:space="0" w:color="auto"/>
          </w:divBdr>
        </w:div>
        <w:div w:id="1564676964">
          <w:marLeft w:val="0"/>
          <w:marRight w:val="0"/>
          <w:marTop w:val="0"/>
          <w:marBottom w:val="52"/>
          <w:divBdr>
            <w:top w:val="none" w:sz="0" w:space="0" w:color="auto"/>
            <w:left w:val="none" w:sz="0" w:space="0" w:color="auto"/>
            <w:bottom w:val="none" w:sz="0" w:space="0" w:color="auto"/>
            <w:right w:val="none" w:sz="0" w:space="0" w:color="auto"/>
          </w:divBdr>
        </w:div>
        <w:div w:id="1863474177">
          <w:marLeft w:val="0"/>
          <w:marRight w:val="0"/>
          <w:marTop w:val="0"/>
          <w:marBottom w:val="52"/>
          <w:divBdr>
            <w:top w:val="none" w:sz="0" w:space="0" w:color="auto"/>
            <w:left w:val="none" w:sz="0" w:space="0" w:color="auto"/>
            <w:bottom w:val="none" w:sz="0" w:space="0" w:color="auto"/>
            <w:right w:val="none" w:sz="0" w:space="0" w:color="auto"/>
          </w:divBdr>
        </w:div>
        <w:div w:id="836188444">
          <w:marLeft w:val="0"/>
          <w:marRight w:val="0"/>
          <w:marTop w:val="0"/>
          <w:marBottom w:val="52"/>
          <w:divBdr>
            <w:top w:val="none" w:sz="0" w:space="0" w:color="auto"/>
            <w:left w:val="none" w:sz="0" w:space="0" w:color="auto"/>
            <w:bottom w:val="none" w:sz="0" w:space="0" w:color="auto"/>
            <w:right w:val="none" w:sz="0" w:space="0" w:color="auto"/>
          </w:divBdr>
        </w:div>
        <w:div w:id="318846176">
          <w:marLeft w:val="0"/>
          <w:marRight w:val="0"/>
          <w:marTop w:val="0"/>
          <w:marBottom w:val="101"/>
          <w:divBdr>
            <w:top w:val="none" w:sz="0" w:space="0" w:color="auto"/>
            <w:left w:val="none" w:sz="0" w:space="0" w:color="auto"/>
            <w:bottom w:val="none" w:sz="0" w:space="0" w:color="auto"/>
            <w:right w:val="none" w:sz="0" w:space="0" w:color="auto"/>
          </w:divBdr>
        </w:div>
        <w:div w:id="2053845373">
          <w:marLeft w:val="0"/>
          <w:marRight w:val="0"/>
          <w:marTop w:val="0"/>
          <w:marBottom w:val="101"/>
          <w:divBdr>
            <w:top w:val="none" w:sz="0" w:space="0" w:color="auto"/>
            <w:left w:val="none" w:sz="0" w:space="0" w:color="auto"/>
            <w:bottom w:val="none" w:sz="0" w:space="0" w:color="auto"/>
            <w:right w:val="none" w:sz="0" w:space="0" w:color="auto"/>
          </w:divBdr>
        </w:div>
        <w:div w:id="717515407">
          <w:marLeft w:val="864"/>
          <w:marRight w:val="0"/>
          <w:marTop w:val="0"/>
          <w:marBottom w:val="101"/>
          <w:divBdr>
            <w:top w:val="none" w:sz="0" w:space="0" w:color="auto"/>
            <w:left w:val="none" w:sz="0" w:space="0" w:color="auto"/>
            <w:bottom w:val="none" w:sz="0" w:space="0" w:color="auto"/>
            <w:right w:val="none" w:sz="0" w:space="0" w:color="auto"/>
          </w:divBdr>
        </w:div>
        <w:div w:id="453720319">
          <w:marLeft w:val="864"/>
          <w:marRight w:val="0"/>
          <w:marTop w:val="0"/>
          <w:marBottom w:val="101"/>
          <w:divBdr>
            <w:top w:val="none" w:sz="0" w:space="0" w:color="auto"/>
            <w:left w:val="none" w:sz="0" w:space="0" w:color="auto"/>
            <w:bottom w:val="none" w:sz="0" w:space="0" w:color="auto"/>
            <w:right w:val="none" w:sz="0" w:space="0" w:color="auto"/>
          </w:divBdr>
        </w:div>
        <w:div w:id="929586235">
          <w:marLeft w:val="864"/>
          <w:marRight w:val="0"/>
          <w:marTop w:val="0"/>
          <w:marBottom w:val="101"/>
          <w:divBdr>
            <w:top w:val="none" w:sz="0" w:space="0" w:color="auto"/>
            <w:left w:val="none" w:sz="0" w:space="0" w:color="auto"/>
            <w:bottom w:val="none" w:sz="0" w:space="0" w:color="auto"/>
            <w:right w:val="none" w:sz="0" w:space="0" w:color="auto"/>
          </w:divBdr>
        </w:div>
        <w:div w:id="1417677599">
          <w:marLeft w:val="864"/>
          <w:marRight w:val="0"/>
          <w:marTop w:val="0"/>
          <w:marBottom w:val="101"/>
          <w:divBdr>
            <w:top w:val="none" w:sz="0" w:space="0" w:color="auto"/>
            <w:left w:val="none" w:sz="0" w:space="0" w:color="auto"/>
            <w:bottom w:val="none" w:sz="0" w:space="0" w:color="auto"/>
            <w:right w:val="none" w:sz="0" w:space="0" w:color="auto"/>
          </w:divBdr>
        </w:div>
        <w:div w:id="571046676">
          <w:marLeft w:val="864"/>
          <w:marRight w:val="0"/>
          <w:marTop w:val="0"/>
          <w:marBottom w:val="101"/>
          <w:divBdr>
            <w:top w:val="none" w:sz="0" w:space="0" w:color="auto"/>
            <w:left w:val="none" w:sz="0" w:space="0" w:color="auto"/>
            <w:bottom w:val="none" w:sz="0" w:space="0" w:color="auto"/>
            <w:right w:val="none" w:sz="0" w:space="0" w:color="auto"/>
          </w:divBdr>
        </w:div>
        <w:div w:id="1509296201">
          <w:marLeft w:val="0"/>
          <w:marRight w:val="0"/>
          <w:marTop w:val="101"/>
          <w:marBottom w:val="101"/>
          <w:divBdr>
            <w:top w:val="none" w:sz="0" w:space="0" w:color="auto"/>
            <w:left w:val="none" w:sz="0" w:space="0" w:color="auto"/>
            <w:bottom w:val="none" w:sz="0" w:space="0" w:color="auto"/>
            <w:right w:val="none" w:sz="0" w:space="0" w:color="auto"/>
          </w:divBdr>
        </w:div>
        <w:div w:id="1777167442">
          <w:marLeft w:val="0"/>
          <w:marRight w:val="0"/>
          <w:marTop w:val="0"/>
          <w:marBottom w:val="101"/>
          <w:divBdr>
            <w:top w:val="none" w:sz="0" w:space="0" w:color="auto"/>
            <w:left w:val="none" w:sz="0" w:space="0" w:color="auto"/>
            <w:bottom w:val="none" w:sz="0" w:space="0" w:color="auto"/>
            <w:right w:val="none" w:sz="0" w:space="0" w:color="auto"/>
          </w:divBdr>
        </w:div>
        <w:div w:id="977567157">
          <w:marLeft w:val="0"/>
          <w:marRight w:val="0"/>
          <w:marTop w:val="0"/>
          <w:marBottom w:val="101"/>
          <w:divBdr>
            <w:top w:val="none" w:sz="0" w:space="0" w:color="auto"/>
            <w:left w:val="none" w:sz="0" w:space="0" w:color="auto"/>
            <w:bottom w:val="none" w:sz="0" w:space="0" w:color="auto"/>
            <w:right w:val="none" w:sz="0" w:space="0" w:color="auto"/>
          </w:divBdr>
        </w:div>
        <w:div w:id="1113784794">
          <w:marLeft w:val="864"/>
          <w:marRight w:val="0"/>
          <w:marTop w:val="0"/>
          <w:marBottom w:val="101"/>
          <w:divBdr>
            <w:top w:val="none" w:sz="0" w:space="0" w:color="auto"/>
            <w:left w:val="none" w:sz="0" w:space="0" w:color="auto"/>
            <w:bottom w:val="none" w:sz="0" w:space="0" w:color="auto"/>
            <w:right w:val="none" w:sz="0" w:space="0" w:color="auto"/>
          </w:divBdr>
        </w:div>
        <w:div w:id="201140726">
          <w:marLeft w:val="1296"/>
          <w:marRight w:val="0"/>
          <w:marTop w:val="0"/>
          <w:marBottom w:val="101"/>
          <w:divBdr>
            <w:top w:val="none" w:sz="0" w:space="0" w:color="auto"/>
            <w:left w:val="none" w:sz="0" w:space="0" w:color="auto"/>
            <w:bottom w:val="none" w:sz="0" w:space="0" w:color="auto"/>
            <w:right w:val="none" w:sz="0" w:space="0" w:color="auto"/>
          </w:divBdr>
        </w:div>
        <w:div w:id="1312637298">
          <w:marLeft w:val="1296"/>
          <w:marRight w:val="0"/>
          <w:marTop w:val="0"/>
          <w:marBottom w:val="101"/>
          <w:divBdr>
            <w:top w:val="none" w:sz="0" w:space="0" w:color="auto"/>
            <w:left w:val="none" w:sz="0" w:space="0" w:color="auto"/>
            <w:bottom w:val="none" w:sz="0" w:space="0" w:color="auto"/>
            <w:right w:val="none" w:sz="0" w:space="0" w:color="auto"/>
          </w:divBdr>
        </w:div>
        <w:div w:id="1287472301">
          <w:marLeft w:val="1296"/>
          <w:marRight w:val="0"/>
          <w:marTop w:val="0"/>
          <w:marBottom w:val="101"/>
          <w:divBdr>
            <w:top w:val="none" w:sz="0" w:space="0" w:color="auto"/>
            <w:left w:val="none" w:sz="0" w:space="0" w:color="auto"/>
            <w:bottom w:val="none" w:sz="0" w:space="0" w:color="auto"/>
            <w:right w:val="none" w:sz="0" w:space="0" w:color="auto"/>
          </w:divBdr>
        </w:div>
        <w:div w:id="921333256">
          <w:marLeft w:val="1296"/>
          <w:marRight w:val="0"/>
          <w:marTop w:val="0"/>
          <w:marBottom w:val="101"/>
          <w:divBdr>
            <w:top w:val="none" w:sz="0" w:space="0" w:color="auto"/>
            <w:left w:val="none" w:sz="0" w:space="0" w:color="auto"/>
            <w:bottom w:val="none" w:sz="0" w:space="0" w:color="auto"/>
            <w:right w:val="none" w:sz="0" w:space="0" w:color="auto"/>
          </w:divBdr>
        </w:div>
        <w:div w:id="1133325760">
          <w:marLeft w:val="1296"/>
          <w:marRight w:val="0"/>
          <w:marTop w:val="0"/>
          <w:marBottom w:val="101"/>
          <w:divBdr>
            <w:top w:val="none" w:sz="0" w:space="0" w:color="auto"/>
            <w:left w:val="none" w:sz="0" w:space="0" w:color="auto"/>
            <w:bottom w:val="none" w:sz="0" w:space="0" w:color="auto"/>
            <w:right w:val="none" w:sz="0" w:space="0" w:color="auto"/>
          </w:divBdr>
        </w:div>
        <w:div w:id="1162889152">
          <w:marLeft w:val="1296"/>
          <w:marRight w:val="0"/>
          <w:marTop w:val="0"/>
          <w:marBottom w:val="101"/>
          <w:divBdr>
            <w:top w:val="none" w:sz="0" w:space="0" w:color="auto"/>
            <w:left w:val="none" w:sz="0" w:space="0" w:color="auto"/>
            <w:bottom w:val="none" w:sz="0" w:space="0" w:color="auto"/>
            <w:right w:val="none" w:sz="0" w:space="0" w:color="auto"/>
          </w:divBdr>
        </w:div>
        <w:div w:id="639118703">
          <w:marLeft w:val="1296"/>
          <w:marRight w:val="0"/>
          <w:marTop w:val="0"/>
          <w:marBottom w:val="101"/>
          <w:divBdr>
            <w:top w:val="none" w:sz="0" w:space="0" w:color="auto"/>
            <w:left w:val="none" w:sz="0" w:space="0" w:color="auto"/>
            <w:bottom w:val="none" w:sz="0" w:space="0" w:color="auto"/>
            <w:right w:val="none" w:sz="0" w:space="0" w:color="auto"/>
          </w:divBdr>
        </w:div>
        <w:div w:id="505679835">
          <w:marLeft w:val="1728"/>
          <w:marRight w:val="0"/>
          <w:marTop w:val="0"/>
          <w:marBottom w:val="101"/>
          <w:divBdr>
            <w:top w:val="none" w:sz="0" w:space="0" w:color="auto"/>
            <w:left w:val="none" w:sz="0" w:space="0" w:color="auto"/>
            <w:bottom w:val="none" w:sz="0" w:space="0" w:color="auto"/>
            <w:right w:val="none" w:sz="0" w:space="0" w:color="auto"/>
          </w:divBdr>
        </w:div>
        <w:div w:id="1656684585">
          <w:marLeft w:val="2160"/>
          <w:marRight w:val="0"/>
          <w:marTop w:val="0"/>
          <w:marBottom w:val="101"/>
          <w:divBdr>
            <w:top w:val="none" w:sz="0" w:space="0" w:color="auto"/>
            <w:left w:val="none" w:sz="0" w:space="0" w:color="auto"/>
            <w:bottom w:val="none" w:sz="0" w:space="0" w:color="auto"/>
            <w:right w:val="none" w:sz="0" w:space="0" w:color="auto"/>
          </w:divBdr>
        </w:div>
        <w:div w:id="459227427">
          <w:marLeft w:val="2160"/>
          <w:marRight w:val="0"/>
          <w:marTop w:val="0"/>
          <w:marBottom w:val="101"/>
          <w:divBdr>
            <w:top w:val="none" w:sz="0" w:space="0" w:color="auto"/>
            <w:left w:val="none" w:sz="0" w:space="0" w:color="auto"/>
            <w:bottom w:val="none" w:sz="0" w:space="0" w:color="auto"/>
            <w:right w:val="none" w:sz="0" w:space="0" w:color="auto"/>
          </w:divBdr>
        </w:div>
        <w:div w:id="2015918811">
          <w:marLeft w:val="2160"/>
          <w:marRight w:val="0"/>
          <w:marTop w:val="0"/>
          <w:marBottom w:val="101"/>
          <w:divBdr>
            <w:top w:val="none" w:sz="0" w:space="0" w:color="auto"/>
            <w:left w:val="none" w:sz="0" w:space="0" w:color="auto"/>
            <w:bottom w:val="none" w:sz="0" w:space="0" w:color="auto"/>
            <w:right w:val="none" w:sz="0" w:space="0" w:color="auto"/>
          </w:divBdr>
        </w:div>
        <w:div w:id="1524589332">
          <w:marLeft w:val="1728"/>
          <w:marRight w:val="0"/>
          <w:marTop w:val="0"/>
          <w:marBottom w:val="101"/>
          <w:divBdr>
            <w:top w:val="none" w:sz="0" w:space="0" w:color="auto"/>
            <w:left w:val="none" w:sz="0" w:space="0" w:color="auto"/>
            <w:bottom w:val="none" w:sz="0" w:space="0" w:color="auto"/>
            <w:right w:val="none" w:sz="0" w:space="0" w:color="auto"/>
          </w:divBdr>
        </w:div>
        <w:div w:id="677734606">
          <w:marLeft w:val="1296"/>
          <w:marRight w:val="0"/>
          <w:marTop w:val="0"/>
          <w:marBottom w:val="101"/>
          <w:divBdr>
            <w:top w:val="none" w:sz="0" w:space="0" w:color="auto"/>
            <w:left w:val="none" w:sz="0" w:space="0" w:color="auto"/>
            <w:bottom w:val="none" w:sz="0" w:space="0" w:color="auto"/>
            <w:right w:val="none" w:sz="0" w:space="0" w:color="auto"/>
          </w:divBdr>
        </w:div>
        <w:div w:id="1414277387">
          <w:marLeft w:val="1296"/>
          <w:marRight w:val="0"/>
          <w:marTop w:val="0"/>
          <w:marBottom w:val="101"/>
          <w:divBdr>
            <w:top w:val="none" w:sz="0" w:space="0" w:color="auto"/>
            <w:left w:val="none" w:sz="0" w:space="0" w:color="auto"/>
            <w:bottom w:val="none" w:sz="0" w:space="0" w:color="auto"/>
            <w:right w:val="none" w:sz="0" w:space="0" w:color="auto"/>
          </w:divBdr>
        </w:div>
        <w:div w:id="409893128">
          <w:marLeft w:val="1296"/>
          <w:marRight w:val="0"/>
          <w:marTop w:val="0"/>
          <w:marBottom w:val="101"/>
          <w:divBdr>
            <w:top w:val="none" w:sz="0" w:space="0" w:color="auto"/>
            <w:left w:val="none" w:sz="0" w:space="0" w:color="auto"/>
            <w:bottom w:val="none" w:sz="0" w:space="0" w:color="auto"/>
            <w:right w:val="none" w:sz="0" w:space="0" w:color="auto"/>
          </w:divBdr>
        </w:div>
        <w:div w:id="1552573045">
          <w:marLeft w:val="1296"/>
          <w:marRight w:val="0"/>
          <w:marTop w:val="0"/>
          <w:marBottom w:val="101"/>
          <w:divBdr>
            <w:top w:val="none" w:sz="0" w:space="0" w:color="auto"/>
            <w:left w:val="none" w:sz="0" w:space="0" w:color="auto"/>
            <w:bottom w:val="none" w:sz="0" w:space="0" w:color="auto"/>
            <w:right w:val="none" w:sz="0" w:space="0" w:color="auto"/>
          </w:divBdr>
        </w:div>
        <w:div w:id="973288142">
          <w:marLeft w:val="1296"/>
          <w:marRight w:val="0"/>
          <w:marTop w:val="0"/>
          <w:marBottom w:val="101"/>
          <w:divBdr>
            <w:top w:val="none" w:sz="0" w:space="0" w:color="auto"/>
            <w:left w:val="none" w:sz="0" w:space="0" w:color="auto"/>
            <w:bottom w:val="none" w:sz="0" w:space="0" w:color="auto"/>
            <w:right w:val="none" w:sz="0" w:space="0" w:color="auto"/>
          </w:divBdr>
        </w:div>
        <w:div w:id="522209093">
          <w:marLeft w:val="1296"/>
          <w:marRight w:val="0"/>
          <w:marTop w:val="0"/>
          <w:marBottom w:val="101"/>
          <w:divBdr>
            <w:top w:val="none" w:sz="0" w:space="0" w:color="auto"/>
            <w:left w:val="none" w:sz="0" w:space="0" w:color="auto"/>
            <w:bottom w:val="none" w:sz="0" w:space="0" w:color="auto"/>
            <w:right w:val="none" w:sz="0" w:space="0" w:color="auto"/>
          </w:divBdr>
        </w:div>
        <w:div w:id="796753899">
          <w:marLeft w:val="1296"/>
          <w:marRight w:val="0"/>
          <w:marTop w:val="0"/>
          <w:marBottom w:val="101"/>
          <w:divBdr>
            <w:top w:val="none" w:sz="0" w:space="0" w:color="auto"/>
            <w:left w:val="none" w:sz="0" w:space="0" w:color="auto"/>
            <w:bottom w:val="none" w:sz="0" w:space="0" w:color="auto"/>
            <w:right w:val="none" w:sz="0" w:space="0" w:color="auto"/>
          </w:divBdr>
        </w:div>
        <w:div w:id="289171202">
          <w:marLeft w:val="1296"/>
          <w:marRight w:val="0"/>
          <w:marTop w:val="0"/>
          <w:marBottom w:val="101"/>
          <w:divBdr>
            <w:top w:val="none" w:sz="0" w:space="0" w:color="auto"/>
            <w:left w:val="none" w:sz="0" w:space="0" w:color="auto"/>
            <w:bottom w:val="none" w:sz="0" w:space="0" w:color="auto"/>
            <w:right w:val="none" w:sz="0" w:space="0" w:color="auto"/>
          </w:divBdr>
        </w:div>
        <w:div w:id="1330401322">
          <w:marLeft w:val="1296"/>
          <w:marRight w:val="0"/>
          <w:marTop w:val="0"/>
          <w:marBottom w:val="101"/>
          <w:divBdr>
            <w:top w:val="none" w:sz="0" w:space="0" w:color="auto"/>
            <w:left w:val="none" w:sz="0" w:space="0" w:color="auto"/>
            <w:bottom w:val="none" w:sz="0" w:space="0" w:color="auto"/>
            <w:right w:val="none" w:sz="0" w:space="0" w:color="auto"/>
          </w:divBdr>
        </w:div>
        <w:div w:id="1809322867">
          <w:marLeft w:val="1296"/>
          <w:marRight w:val="0"/>
          <w:marTop w:val="0"/>
          <w:marBottom w:val="101"/>
          <w:divBdr>
            <w:top w:val="none" w:sz="0" w:space="0" w:color="auto"/>
            <w:left w:val="none" w:sz="0" w:space="0" w:color="auto"/>
            <w:bottom w:val="none" w:sz="0" w:space="0" w:color="auto"/>
            <w:right w:val="none" w:sz="0" w:space="0" w:color="auto"/>
          </w:divBdr>
        </w:div>
        <w:div w:id="572666758">
          <w:marLeft w:val="1296"/>
          <w:marRight w:val="0"/>
          <w:marTop w:val="0"/>
          <w:marBottom w:val="101"/>
          <w:divBdr>
            <w:top w:val="none" w:sz="0" w:space="0" w:color="auto"/>
            <w:left w:val="none" w:sz="0" w:space="0" w:color="auto"/>
            <w:bottom w:val="none" w:sz="0" w:space="0" w:color="auto"/>
            <w:right w:val="none" w:sz="0" w:space="0" w:color="auto"/>
          </w:divBdr>
        </w:div>
        <w:div w:id="1049840345">
          <w:marLeft w:val="1296"/>
          <w:marRight w:val="0"/>
          <w:marTop w:val="0"/>
          <w:marBottom w:val="101"/>
          <w:divBdr>
            <w:top w:val="none" w:sz="0" w:space="0" w:color="auto"/>
            <w:left w:val="none" w:sz="0" w:space="0" w:color="auto"/>
            <w:bottom w:val="none" w:sz="0" w:space="0" w:color="auto"/>
            <w:right w:val="none" w:sz="0" w:space="0" w:color="auto"/>
          </w:divBdr>
        </w:div>
        <w:div w:id="42411511">
          <w:marLeft w:val="1296"/>
          <w:marRight w:val="0"/>
          <w:marTop w:val="0"/>
          <w:marBottom w:val="101"/>
          <w:divBdr>
            <w:top w:val="none" w:sz="0" w:space="0" w:color="auto"/>
            <w:left w:val="none" w:sz="0" w:space="0" w:color="auto"/>
            <w:bottom w:val="none" w:sz="0" w:space="0" w:color="auto"/>
            <w:right w:val="none" w:sz="0" w:space="0" w:color="auto"/>
          </w:divBdr>
        </w:div>
        <w:div w:id="1987271764">
          <w:marLeft w:val="1296"/>
          <w:marRight w:val="0"/>
          <w:marTop w:val="0"/>
          <w:marBottom w:val="101"/>
          <w:divBdr>
            <w:top w:val="none" w:sz="0" w:space="0" w:color="auto"/>
            <w:left w:val="none" w:sz="0" w:space="0" w:color="auto"/>
            <w:bottom w:val="none" w:sz="0" w:space="0" w:color="auto"/>
            <w:right w:val="none" w:sz="0" w:space="0" w:color="auto"/>
          </w:divBdr>
        </w:div>
        <w:div w:id="660306115">
          <w:marLeft w:val="0"/>
          <w:marRight w:val="0"/>
          <w:marTop w:val="0"/>
          <w:marBottom w:val="101"/>
          <w:divBdr>
            <w:top w:val="none" w:sz="0" w:space="0" w:color="auto"/>
            <w:left w:val="none" w:sz="0" w:space="0" w:color="auto"/>
            <w:bottom w:val="none" w:sz="0" w:space="0" w:color="auto"/>
            <w:right w:val="none" w:sz="0" w:space="0" w:color="auto"/>
          </w:divBdr>
        </w:div>
        <w:div w:id="25832930">
          <w:marLeft w:val="0"/>
          <w:marRight w:val="0"/>
          <w:marTop w:val="0"/>
          <w:marBottom w:val="86"/>
          <w:divBdr>
            <w:top w:val="none" w:sz="0" w:space="0" w:color="auto"/>
            <w:left w:val="none" w:sz="0" w:space="0" w:color="auto"/>
            <w:bottom w:val="none" w:sz="0" w:space="0" w:color="auto"/>
            <w:right w:val="none" w:sz="0" w:space="0" w:color="auto"/>
          </w:divBdr>
        </w:div>
        <w:div w:id="1089154389">
          <w:marLeft w:val="864"/>
          <w:marRight w:val="0"/>
          <w:marTop w:val="0"/>
          <w:marBottom w:val="86"/>
          <w:divBdr>
            <w:top w:val="none" w:sz="0" w:space="0" w:color="auto"/>
            <w:left w:val="none" w:sz="0" w:space="0" w:color="auto"/>
            <w:bottom w:val="none" w:sz="0" w:space="0" w:color="auto"/>
            <w:right w:val="none" w:sz="0" w:space="0" w:color="auto"/>
          </w:divBdr>
        </w:div>
        <w:div w:id="443424344">
          <w:marLeft w:val="864"/>
          <w:marRight w:val="0"/>
          <w:marTop w:val="0"/>
          <w:marBottom w:val="86"/>
          <w:divBdr>
            <w:top w:val="none" w:sz="0" w:space="0" w:color="auto"/>
            <w:left w:val="none" w:sz="0" w:space="0" w:color="auto"/>
            <w:bottom w:val="none" w:sz="0" w:space="0" w:color="auto"/>
            <w:right w:val="none" w:sz="0" w:space="0" w:color="auto"/>
          </w:divBdr>
        </w:div>
        <w:div w:id="507795938">
          <w:marLeft w:val="864"/>
          <w:marRight w:val="0"/>
          <w:marTop w:val="0"/>
          <w:marBottom w:val="86"/>
          <w:divBdr>
            <w:top w:val="none" w:sz="0" w:space="0" w:color="auto"/>
            <w:left w:val="none" w:sz="0" w:space="0" w:color="auto"/>
            <w:bottom w:val="none" w:sz="0" w:space="0" w:color="auto"/>
            <w:right w:val="none" w:sz="0" w:space="0" w:color="auto"/>
          </w:divBdr>
        </w:div>
        <w:div w:id="1430811141">
          <w:marLeft w:val="0"/>
          <w:marRight w:val="0"/>
          <w:marTop w:val="0"/>
          <w:marBottom w:val="86"/>
          <w:divBdr>
            <w:top w:val="none" w:sz="0" w:space="0" w:color="auto"/>
            <w:left w:val="none" w:sz="0" w:space="0" w:color="auto"/>
            <w:bottom w:val="none" w:sz="0" w:space="0" w:color="auto"/>
            <w:right w:val="none" w:sz="0" w:space="0" w:color="auto"/>
          </w:divBdr>
        </w:div>
        <w:div w:id="1364670843">
          <w:marLeft w:val="0"/>
          <w:marRight w:val="0"/>
          <w:marTop w:val="0"/>
          <w:marBottom w:val="86"/>
          <w:divBdr>
            <w:top w:val="none" w:sz="0" w:space="0" w:color="auto"/>
            <w:left w:val="none" w:sz="0" w:space="0" w:color="auto"/>
            <w:bottom w:val="none" w:sz="0" w:space="0" w:color="auto"/>
            <w:right w:val="none" w:sz="0" w:space="0" w:color="auto"/>
          </w:divBdr>
        </w:div>
        <w:div w:id="1112364513">
          <w:marLeft w:val="0"/>
          <w:marRight w:val="0"/>
          <w:marTop w:val="0"/>
          <w:marBottom w:val="86"/>
          <w:divBdr>
            <w:top w:val="none" w:sz="0" w:space="0" w:color="auto"/>
            <w:left w:val="none" w:sz="0" w:space="0" w:color="auto"/>
            <w:bottom w:val="none" w:sz="0" w:space="0" w:color="auto"/>
            <w:right w:val="none" w:sz="0" w:space="0" w:color="auto"/>
          </w:divBdr>
        </w:div>
        <w:div w:id="1149516737">
          <w:marLeft w:val="0"/>
          <w:marRight w:val="0"/>
          <w:marTop w:val="0"/>
          <w:marBottom w:val="86"/>
          <w:divBdr>
            <w:top w:val="none" w:sz="0" w:space="0" w:color="auto"/>
            <w:left w:val="none" w:sz="0" w:space="0" w:color="auto"/>
            <w:bottom w:val="none" w:sz="0" w:space="0" w:color="auto"/>
            <w:right w:val="none" w:sz="0" w:space="0" w:color="auto"/>
          </w:divBdr>
        </w:div>
        <w:div w:id="2061243507">
          <w:marLeft w:val="0"/>
          <w:marRight w:val="0"/>
          <w:marTop w:val="0"/>
          <w:marBottom w:val="86"/>
          <w:divBdr>
            <w:top w:val="none" w:sz="0" w:space="0" w:color="auto"/>
            <w:left w:val="none" w:sz="0" w:space="0" w:color="auto"/>
            <w:bottom w:val="none" w:sz="0" w:space="0" w:color="auto"/>
            <w:right w:val="none" w:sz="0" w:space="0" w:color="auto"/>
          </w:divBdr>
        </w:div>
        <w:div w:id="99688172">
          <w:marLeft w:val="0"/>
          <w:marRight w:val="0"/>
          <w:marTop w:val="0"/>
          <w:marBottom w:val="86"/>
          <w:divBdr>
            <w:top w:val="none" w:sz="0" w:space="0" w:color="auto"/>
            <w:left w:val="none" w:sz="0" w:space="0" w:color="auto"/>
            <w:bottom w:val="none" w:sz="0" w:space="0" w:color="auto"/>
            <w:right w:val="none" w:sz="0" w:space="0" w:color="auto"/>
          </w:divBdr>
        </w:div>
        <w:div w:id="1461846573">
          <w:marLeft w:val="0"/>
          <w:marRight w:val="0"/>
          <w:marTop w:val="0"/>
          <w:marBottom w:val="86"/>
          <w:divBdr>
            <w:top w:val="none" w:sz="0" w:space="0" w:color="auto"/>
            <w:left w:val="none" w:sz="0" w:space="0" w:color="auto"/>
            <w:bottom w:val="none" w:sz="0" w:space="0" w:color="auto"/>
            <w:right w:val="none" w:sz="0" w:space="0" w:color="auto"/>
          </w:divBdr>
        </w:div>
        <w:div w:id="9070013">
          <w:marLeft w:val="0"/>
          <w:marRight w:val="0"/>
          <w:marTop w:val="0"/>
          <w:marBottom w:val="86"/>
          <w:divBdr>
            <w:top w:val="none" w:sz="0" w:space="0" w:color="auto"/>
            <w:left w:val="none" w:sz="0" w:space="0" w:color="auto"/>
            <w:bottom w:val="none" w:sz="0" w:space="0" w:color="auto"/>
            <w:right w:val="none" w:sz="0" w:space="0" w:color="auto"/>
          </w:divBdr>
        </w:div>
        <w:div w:id="633368065">
          <w:marLeft w:val="0"/>
          <w:marRight w:val="0"/>
          <w:marTop w:val="0"/>
          <w:marBottom w:val="86"/>
          <w:divBdr>
            <w:top w:val="none" w:sz="0" w:space="0" w:color="auto"/>
            <w:left w:val="none" w:sz="0" w:space="0" w:color="auto"/>
            <w:bottom w:val="none" w:sz="0" w:space="0" w:color="auto"/>
            <w:right w:val="none" w:sz="0" w:space="0" w:color="auto"/>
          </w:divBdr>
        </w:div>
        <w:div w:id="930239424">
          <w:marLeft w:val="0"/>
          <w:marRight w:val="0"/>
          <w:marTop w:val="0"/>
          <w:marBottom w:val="86"/>
          <w:divBdr>
            <w:top w:val="none" w:sz="0" w:space="0" w:color="auto"/>
            <w:left w:val="none" w:sz="0" w:space="0" w:color="auto"/>
            <w:bottom w:val="none" w:sz="0" w:space="0" w:color="auto"/>
            <w:right w:val="none" w:sz="0" w:space="0" w:color="auto"/>
          </w:divBdr>
        </w:div>
        <w:div w:id="287053609">
          <w:marLeft w:val="864"/>
          <w:marRight w:val="0"/>
          <w:marTop w:val="0"/>
          <w:marBottom w:val="86"/>
          <w:divBdr>
            <w:top w:val="none" w:sz="0" w:space="0" w:color="auto"/>
            <w:left w:val="none" w:sz="0" w:space="0" w:color="auto"/>
            <w:bottom w:val="none" w:sz="0" w:space="0" w:color="auto"/>
            <w:right w:val="none" w:sz="0" w:space="0" w:color="auto"/>
          </w:divBdr>
        </w:div>
        <w:div w:id="219827986">
          <w:marLeft w:val="1296"/>
          <w:marRight w:val="0"/>
          <w:marTop w:val="0"/>
          <w:marBottom w:val="86"/>
          <w:divBdr>
            <w:top w:val="none" w:sz="0" w:space="0" w:color="auto"/>
            <w:left w:val="none" w:sz="0" w:space="0" w:color="auto"/>
            <w:bottom w:val="none" w:sz="0" w:space="0" w:color="auto"/>
            <w:right w:val="none" w:sz="0" w:space="0" w:color="auto"/>
          </w:divBdr>
        </w:div>
        <w:div w:id="1960799221">
          <w:marLeft w:val="1296"/>
          <w:marRight w:val="0"/>
          <w:marTop w:val="0"/>
          <w:marBottom w:val="86"/>
          <w:divBdr>
            <w:top w:val="none" w:sz="0" w:space="0" w:color="auto"/>
            <w:left w:val="none" w:sz="0" w:space="0" w:color="auto"/>
            <w:bottom w:val="none" w:sz="0" w:space="0" w:color="auto"/>
            <w:right w:val="none" w:sz="0" w:space="0" w:color="auto"/>
          </w:divBdr>
        </w:div>
        <w:div w:id="1150633588">
          <w:marLeft w:val="1296"/>
          <w:marRight w:val="0"/>
          <w:marTop w:val="0"/>
          <w:marBottom w:val="86"/>
          <w:divBdr>
            <w:top w:val="none" w:sz="0" w:space="0" w:color="auto"/>
            <w:left w:val="none" w:sz="0" w:space="0" w:color="auto"/>
            <w:bottom w:val="none" w:sz="0" w:space="0" w:color="auto"/>
            <w:right w:val="none" w:sz="0" w:space="0" w:color="auto"/>
          </w:divBdr>
        </w:div>
        <w:div w:id="1975673912">
          <w:marLeft w:val="1296"/>
          <w:marRight w:val="0"/>
          <w:marTop w:val="0"/>
          <w:marBottom w:val="86"/>
          <w:divBdr>
            <w:top w:val="none" w:sz="0" w:space="0" w:color="auto"/>
            <w:left w:val="none" w:sz="0" w:space="0" w:color="auto"/>
            <w:bottom w:val="none" w:sz="0" w:space="0" w:color="auto"/>
            <w:right w:val="none" w:sz="0" w:space="0" w:color="auto"/>
          </w:divBdr>
        </w:div>
        <w:div w:id="1402219326">
          <w:marLeft w:val="864"/>
          <w:marRight w:val="0"/>
          <w:marTop w:val="0"/>
          <w:marBottom w:val="86"/>
          <w:divBdr>
            <w:top w:val="none" w:sz="0" w:space="0" w:color="auto"/>
            <w:left w:val="none" w:sz="0" w:space="0" w:color="auto"/>
            <w:bottom w:val="none" w:sz="0" w:space="0" w:color="auto"/>
            <w:right w:val="none" w:sz="0" w:space="0" w:color="auto"/>
          </w:divBdr>
        </w:div>
        <w:div w:id="120154576">
          <w:marLeft w:val="864"/>
          <w:marRight w:val="0"/>
          <w:marTop w:val="0"/>
          <w:marBottom w:val="86"/>
          <w:divBdr>
            <w:top w:val="none" w:sz="0" w:space="0" w:color="auto"/>
            <w:left w:val="none" w:sz="0" w:space="0" w:color="auto"/>
            <w:bottom w:val="none" w:sz="0" w:space="0" w:color="auto"/>
            <w:right w:val="none" w:sz="0" w:space="0" w:color="auto"/>
          </w:divBdr>
        </w:div>
        <w:div w:id="53892998">
          <w:marLeft w:val="0"/>
          <w:marRight w:val="0"/>
          <w:marTop w:val="0"/>
          <w:marBottom w:val="86"/>
          <w:divBdr>
            <w:top w:val="none" w:sz="0" w:space="0" w:color="auto"/>
            <w:left w:val="none" w:sz="0" w:space="0" w:color="auto"/>
            <w:bottom w:val="none" w:sz="0" w:space="0" w:color="auto"/>
            <w:right w:val="none" w:sz="0" w:space="0" w:color="auto"/>
          </w:divBdr>
        </w:div>
        <w:div w:id="1254895845">
          <w:marLeft w:val="864"/>
          <w:marRight w:val="0"/>
          <w:marTop w:val="0"/>
          <w:marBottom w:val="86"/>
          <w:divBdr>
            <w:top w:val="none" w:sz="0" w:space="0" w:color="auto"/>
            <w:left w:val="none" w:sz="0" w:space="0" w:color="auto"/>
            <w:bottom w:val="none" w:sz="0" w:space="0" w:color="auto"/>
            <w:right w:val="none" w:sz="0" w:space="0" w:color="auto"/>
          </w:divBdr>
        </w:div>
        <w:div w:id="1768305243">
          <w:marLeft w:val="864"/>
          <w:marRight w:val="0"/>
          <w:marTop w:val="0"/>
          <w:marBottom w:val="86"/>
          <w:divBdr>
            <w:top w:val="none" w:sz="0" w:space="0" w:color="auto"/>
            <w:left w:val="none" w:sz="0" w:space="0" w:color="auto"/>
            <w:bottom w:val="none" w:sz="0" w:space="0" w:color="auto"/>
            <w:right w:val="none" w:sz="0" w:space="0" w:color="auto"/>
          </w:divBdr>
        </w:div>
        <w:div w:id="1733581664">
          <w:marLeft w:val="0"/>
          <w:marRight w:val="0"/>
          <w:marTop w:val="0"/>
          <w:marBottom w:val="86"/>
          <w:divBdr>
            <w:top w:val="none" w:sz="0" w:space="0" w:color="auto"/>
            <w:left w:val="none" w:sz="0" w:space="0" w:color="auto"/>
            <w:bottom w:val="none" w:sz="0" w:space="0" w:color="auto"/>
            <w:right w:val="none" w:sz="0" w:space="0" w:color="auto"/>
          </w:divBdr>
        </w:div>
        <w:div w:id="288360587">
          <w:marLeft w:val="0"/>
          <w:marRight w:val="0"/>
          <w:marTop w:val="0"/>
          <w:marBottom w:val="86"/>
          <w:divBdr>
            <w:top w:val="none" w:sz="0" w:space="0" w:color="auto"/>
            <w:left w:val="none" w:sz="0" w:space="0" w:color="auto"/>
            <w:bottom w:val="none" w:sz="0" w:space="0" w:color="auto"/>
            <w:right w:val="none" w:sz="0" w:space="0" w:color="auto"/>
          </w:divBdr>
        </w:div>
        <w:div w:id="1307662905">
          <w:marLeft w:val="864"/>
          <w:marRight w:val="0"/>
          <w:marTop w:val="0"/>
          <w:marBottom w:val="86"/>
          <w:divBdr>
            <w:top w:val="none" w:sz="0" w:space="0" w:color="auto"/>
            <w:left w:val="none" w:sz="0" w:space="0" w:color="auto"/>
            <w:bottom w:val="none" w:sz="0" w:space="0" w:color="auto"/>
            <w:right w:val="none" w:sz="0" w:space="0" w:color="auto"/>
          </w:divBdr>
        </w:div>
        <w:div w:id="1879470172">
          <w:marLeft w:val="1296"/>
          <w:marRight w:val="0"/>
          <w:marTop w:val="0"/>
          <w:marBottom w:val="101"/>
          <w:divBdr>
            <w:top w:val="none" w:sz="0" w:space="0" w:color="auto"/>
            <w:left w:val="none" w:sz="0" w:space="0" w:color="auto"/>
            <w:bottom w:val="none" w:sz="0" w:space="0" w:color="auto"/>
            <w:right w:val="none" w:sz="0" w:space="0" w:color="auto"/>
          </w:divBdr>
        </w:div>
        <w:div w:id="513809314">
          <w:marLeft w:val="1296"/>
          <w:marRight w:val="0"/>
          <w:marTop w:val="0"/>
          <w:marBottom w:val="101"/>
          <w:divBdr>
            <w:top w:val="none" w:sz="0" w:space="0" w:color="auto"/>
            <w:left w:val="none" w:sz="0" w:space="0" w:color="auto"/>
            <w:bottom w:val="none" w:sz="0" w:space="0" w:color="auto"/>
            <w:right w:val="none" w:sz="0" w:space="0" w:color="auto"/>
          </w:divBdr>
        </w:div>
        <w:div w:id="364184512">
          <w:marLeft w:val="1296"/>
          <w:marRight w:val="0"/>
          <w:marTop w:val="0"/>
          <w:marBottom w:val="80"/>
          <w:divBdr>
            <w:top w:val="none" w:sz="0" w:space="0" w:color="auto"/>
            <w:left w:val="none" w:sz="0" w:space="0" w:color="auto"/>
            <w:bottom w:val="none" w:sz="0" w:space="0" w:color="auto"/>
            <w:right w:val="none" w:sz="0" w:space="0" w:color="auto"/>
          </w:divBdr>
        </w:div>
        <w:div w:id="1572347281">
          <w:marLeft w:val="1296"/>
          <w:marRight w:val="0"/>
          <w:marTop w:val="0"/>
          <w:marBottom w:val="80"/>
          <w:divBdr>
            <w:top w:val="none" w:sz="0" w:space="0" w:color="auto"/>
            <w:left w:val="none" w:sz="0" w:space="0" w:color="auto"/>
            <w:bottom w:val="none" w:sz="0" w:space="0" w:color="auto"/>
            <w:right w:val="none" w:sz="0" w:space="0" w:color="auto"/>
          </w:divBdr>
        </w:div>
        <w:div w:id="1729953899">
          <w:marLeft w:val="1296"/>
          <w:marRight w:val="0"/>
          <w:marTop w:val="0"/>
          <w:marBottom w:val="80"/>
          <w:divBdr>
            <w:top w:val="none" w:sz="0" w:space="0" w:color="auto"/>
            <w:left w:val="none" w:sz="0" w:space="0" w:color="auto"/>
            <w:bottom w:val="none" w:sz="0" w:space="0" w:color="auto"/>
            <w:right w:val="none" w:sz="0" w:space="0" w:color="auto"/>
          </w:divBdr>
        </w:div>
        <w:div w:id="2109035326">
          <w:marLeft w:val="0"/>
          <w:marRight w:val="0"/>
          <w:marTop w:val="0"/>
          <w:marBottom w:val="80"/>
          <w:divBdr>
            <w:top w:val="none" w:sz="0" w:space="0" w:color="auto"/>
            <w:left w:val="none" w:sz="0" w:space="0" w:color="auto"/>
            <w:bottom w:val="none" w:sz="0" w:space="0" w:color="auto"/>
            <w:right w:val="none" w:sz="0" w:space="0" w:color="auto"/>
          </w:divBdr>
        </w:div>
        <w:div w:id="382019378">
          <w:marLeft w:val="0"/>
          <w:marRight w:val="0"/>
          <w:marTop w:val="0"/>
          <w:marBottom w:val="80"/>
          <w:divBdr>
            <w:top w:val="none" w:sz="0" w:space="0" w:color="auto"/>
            <w:left w:val="none" w:sz="0" w:space="0" w:color="auto"/>
            <w:bottom w:val="none" w:sz="0" w:space="0" w:color="auto"/>
            <w:right w:val="none" w:sz="0" w:space="0" w:color="auto"/>
          </w:divBdr>
        </w:div>
        <w:div w:id="744884063">
          <w:marLeft w:val="0"/>
          <w:marRight w:val="0"/>
          <w:marTop w:val="0"/>
          <w:marBottom w:val="80"/>
          <w:divBdr>
            <w:top w:val="none" w:sz="0" w:space="0" w:color="auto"/>
            <w:left w:val="none" w:sz="0" w:space="0" w:color="auto"/>
            <w:bottom w:val="none" w:sz="0" w:space="0" w:color="auto"/>
            <w:right w:val="none" w:sz="0" w:space="0" w:color="auto"/>
          </w:divBdr>
        </w:div>
        <w:div w:id="1646932533">
          <w:marLeft w:val="0"/>
          <w:marRight w:val="0"/>
          <w:marTop w:val="0"/>
          <w:marBottom w:val="80"/>
          <w:divBdr>
            <w:top w:val="none" w:sz="0" w:space="0" w:color="auto"/>
            <w:left w:val="none" w:sz="0" w:space="0" w:color="auto"/>
            <w:bottom w:val="none" w:sz="0" w:space="0" w:color="auto"/>
            <w:right w:val="none" w:sz="0" w:space="0" w:color="auto"/>
          </w:divBdr>
        </w:div>
        <w:div w:id="859201669">
          <w:marLeft w:val="0"/>
          <w:marRight w:val="0"/>
          <w:marTop w:val="0"/>
          <w:marBottom w:val="80"/>
          <w:divBdr>
            <w:top w:val="none" w:sz="0" w:space="0" w:color="auto"/>
            <w:left w:val="none" w:sz="0" w:space="0" w:color="auto"/>
            <w:bottom w:val="none" w:sz="0" w:space="0" w:color="auto"/>
            <w:right w:val="none" w:sz="0" w:space="0" w:color="auto"/>
          </w:divBdr>
        </w:div>
        <w:div w:id="1834105267">
          <w:marLeft w:val="0"/>
          <w:marRight w:val="0"/>
          <w:marTop w:val="0"/>
          <w:marBottom w:val="80"/>
          <w:divBdr>
            <w:top w:val="none" w:sz="0" w:space="0" w:color="auto"/>
            <w:left w:val="none" w:sz="0" w:space="0" w:color="auto"/>
            <w:bottom w:val="none" w:sz="0" w:space="0" w:color="auto"/>
            <w:right w:val="none" w:sz="0" w:space="0" w:color="auto"/>
          </w:divBdr>
        </w:div>
        <w:div w:id="725223098">
          <w:marLeft w:val="0"/>
          <w:marRight w:val="0"/>
          <w:marTop w:val="0"/>
          <w:marBottom w:val="80"/>
          <w:divBdr>
            <w:top w:val="none" w:sz="0" w:space="0" w:color="auto"/>
            <w:left w:val="none" w:sz="0" w:space="0" w:color="auto"/>
            <w:bottom w:val="none" w:sz="0" w:space="0" w:color="auto"/>
            <w:right w:val="none" w:sz="0" w:space="0" w:color="auto"/>
          </w:divBdr>
        </w:div>
        <w:div w:id="324095792">
          <w:marLeft w:val="0"/>
          <w:marRight w:val="0"/>
          <w:marTop w:val="0"/>
          <w:marBottom w:val="80"/>
          <w:divBdr>
            <w:top w:val="none" w:sz="0" w:space="0" w:color="auto"/>
            <w:left w:val="none" w:sz="0" w:space="0" w:color="auto"/>
            <w:bottom w:val="none" w:sz="0" w:space="0" w:color="auto"/>
            <w:right w:val="none" w:sz="0" w:space="0" w:color="auto"/>
          </w:divBdr>
        </w:div>
        <w:div w:id="354843320">
          <w:marLeft w:val="0"/>
          <w:marRight w:val="0"/>
          <w:marTop w:val="0"/>
          <w:marBottom w:val="80"/>
          <w:divBdr>
            <w:top w:val="none" w:sz="0" w:space="0" w:color="auto"/>
            <w:left w:val="none" w:sz="0" w:space="0" w:color="auto"/>
            <w:bottom w:val="none" w:sz="0" w:space="0" w:color="auto"/>
            <w:right w:val="none" w:sz="0" w:space="0" w:color="auto"/>
          </w:divBdr>
        </w:div>
        <w:div w:id="249242543">
          <w:marLeft w:val="0"/>
          <w:marRight w:val="0"/>
          <w:marTop w:val="0"/>
          <w:marBottom w:val="80"/>
          <w:divBdr>
            <w:top w:val="none" w:sz="0" w:space="0" w:color="auto"/>
            <w:left w:val="none" w:sz="0" w:space="0" w:color="auto"/>
            <w:bottom w:val="none" w:sz="0" w:space="0" w:color="auto"/>
            <w:right w:val="none" w:sz="0" w:space="0" w:color="auto"/>
          </w:divBdr>
        </w:div>
        <w:div w:id="1900432795">
          <w:marLeft w:val="0"/>
          <w:marRight w:val="0"/>
          <w:marTop w:val="0"/>
          <w:marBottom w:val="80"/>
          <w:divBdr>
            <w:top w:val="none" w:sz="0" w:space="0" w:color="auto"/>
            <w:left w:val="none" w:sz="0" w:space="0" w:color="auto"/>
            <w:bottom w:val="none" w:sz="0" w:space="0" w:color="auto"/>
            <w:right w:val="none" w:sz="0" w:space="0" w:color="auto"/>
          </w:divBdr>
        </w:div>
        <w:div w:id="1473593011">
          <w:marLeft w:val="0"/>
          <w:marRight w:val="0"/>
          <w:marTop w:val="0"/>
          <w:marBottom w:val="80"/>
          <w:divBdr>
            <w:top w:val="none" w:sz="0" w:space="0" w:color="auto"/>
            <w:left w:val="none" w:sz="0" w:space="0" w:color="auto"/>
            <w:bottom w:val="none" w:sz="0" w:space="0" w:color="auto"/>
            <w:right w:val="none" w:sz="0" w:space="0" w:color="auto"/>
          </w:divBdr>
        </w:div>
        <w:div w:id="2113043990">
          <w:marLeft w:val="0"/>
          <w:marRight w:val="0"/>
          <w:marTop w:val="0"/>
          <w:marBottom w:val="80"/>
          <w:divBdr>
            <w:top w:val="none" w:sz="0" w:space="0" w:color="auto"/>
            <w:left w:val="none" w:sz="0" w:space="0" w:color="auto"/>
            <w:bottom w:val="none" w:sz="0" w:space="0" w:color="auto"/>
            <w:right w:val="none" w:sz="0" w:space="0" w:color="auto"/>
          </w:divBdr>
        </w:div>
        <w:div w:id="1118449514">
          <w:marLeft w:val="0"/>
          <w:marRight w:val="0"/>
          <w:marTop w:val="0"/>
          <w:marBottom w:val="80"/>
          <w:divBdr>
            <w:top w:val="none" w:sz="0" w:space="0" w:color="auto"/>
            <w:left w:val="none" w:sz="0" w:space="0" w:color="auto"/>
            <w:bottom w:val="none" w:sz="0" w:space="0" w:color="auto"/>
            <w:right w:val="none" w:sz="0" w:space="0" w:color="auto"/>
          </w:divBdr>
        </w:div>
        <w:div w:id="124739825">
          <w:marLeft w:val="0"/>
          <w:marRight w:val="0"/>
          <w:marTop w:val="0"/>
          <w:marBottom w:val="80"/>
          <w:divBdr>
            <w:top w:val="none" w:sz="0" w:space="0" w:color="auto"/>
            <w:left w:val="none" w:sz="0" w:space="0" w:color="auto"/>
            <w:bottom w:val="none" w:sz="0" w:space="0" w:color="auto"/>
            <w:right w:val="none" w:sz="0" w:space="0" w:color="auto"/>
          </w:divBdr>
        </w:div>
        <w:div w:id="771557574">
          <w:marLeft w:val="0"/>
          <w:marRight w:val="0"/>
          <w:marTop w:val="0"/>
          <w:marBottom w:val="80"/>
          <w:divBdr>
            <w:top w:val="none" w:sz="0" w:space="0" w:color="auto"/>
            <w:left w:val="none" w:sz="0" w:space="0" w:color="auto"/>
            <w:bottom w:val="none" w:sz="0" w:space="0" w:color="auto"/>
            <w:right w:val="none" w:sz="0" w:space="0" w:color="auto"/>
          </w:divBdr>
        </w:div>
        <w:div w:id="619149663">
          <w:marLeft w:val="0"/>
          <w:marRight w:val="0"/>
          <w:marTop w:val="0"/>
          <w:marBottom w:val="80"/>
          <w:divBdr>
            <w:top w:val="none" w:sz="0" w:space="0" w:color="auto"/>
            <w:left w:val="none" w:sz="0" w:space="0" w:color="auto"/>
            <w:bottom w:val="none" w:sz="0" w:space="0" w:color="auto"/>
            <w:right w:val="none" w:sz="0" w:space="0" w:color="auto"/>
          </w:divBdr>
        </w:div>
        <w:div w:id="1482698051">
          <w:marLeft w:val="0"/>
          <w:marRight w:val="0"/>
          <w:marTop w:val="0"/>
          <w:marBottom w:val="80"/>
          <w:divBdr>
            <w:top w:val="none" w:sz="0" w:space="0" w:color="auto"/>
            <w:left w:val="none" w:sz="0" w:space="0" w:color="auto"/>
            <w:bottom w:val="none" w:sz="0" w:space="0" w:color="auto"/>
            <w:right w:val="none" w:sz="0" w:space="0" w:color="auto"/>
          </w:divBdr>
        </w:div>
        <w:div w:id="29885516">
          <w:marLeft w:val="0"/>
          <w:marRight w:val="0"/>
          <w:marTop w:val="0"/>
          <w:marBottom w:val="80"/>
          <w:divBdr>
            <w:top w:val="none" w:sz="0" w:space="0" w:color="auto"/>
            <w:left w:val="none" w:sz="0" w:space="0" w:color="auto"/>
            <w:bottom w:val="none" w:sz="0" w:space="0" w:color="auto"/>
            <w:right w:val="none" w:sz="0" w:space="0" w:color="auto"/>
          </w:divBdr>
        </w:div>
        <w:div w:id="1725759978">
          <w:marLeft w:val="0"/>
          <w:marRight w:val="0"/>
          <w:marTop w:val="0"/>
          <w:marBottom w:val="80"/>
          <w:divBdr>
            <w:top w:val="none" w:sz="0" w:space="0" w:color="auto"/>
            <w:left w:val="none" w:sz="0" w:space="0" w:color="auto"/>
            <w:bottom w:val="none" w:sz="0" w:space="0" w:color="auto"/>
            <w:right w:val="none" w:sz="0" w:space="0" w:color="auto"/>
          </w:divBdr>
        </w:div>
        <w:div w:id="1944192359">
          <w:marLeft w:val="0"/>
          <w:marRight w:val="0"/>
          <w:marTop w:val="0"/>
          <w:marBottom w:val="101"/>
          <w:divBdr>
            <w:top w:val="none" w:sz="0" w:space="0" w:color="auto"/>
            <w:left w:val="none" w:sz="0" w:space="0" w:color="auto"/>
            <w:bottom w:val="none" w:sz="0" w:space="0" w:color="auto"/>
            <w:right w:val="none" w:sz="0" w:space="0" w:color="auto"/>
          </w:divBdr>
        </w:div>
        <w:div w:id="1127744857">
          <w:marLeft w:val="0"/>
          <w:marRight w:val="0"/>
          <w:marTop w:val="0"/>
          <w:marBottom w:val="101"/>
          <w:divBdr>
            <w:top w:val="none" w:sz="0" w:space="0" w:color="auto"/>
            <w:left w:val="none" w:sz="0" w:space="0" w:color="auto"/>
            <w:bottom w:val="none" w:sz="0" w:space="0" w:color="auto"/>
            <w:right w:val="none" w:sz="0" w:space="0" w:color="auto"/>
          </w:divBdr>
        </w:div>
        <w:div w:id="1100375242">
          <w:marLeft w:val="0"/>
          <w:marRight w:val="0"/>
          <w:marTop w:val="0"/>
          <w:marBottom w:val="86"/>
          <w:divBdr>
            <w:top w:val="none" w:sz="0" w:space="0" w:color="auto"/>
            <w:left w:val="none" w:sz="0" w:space="0" w:color="auto"/>
            <w:bottom w:val="none" w:sz="0" w:space="0" w:color="auto"/>
            <w:right w:val="none" w:sz="0" w:space="0" w:color="auto"/>
          </w:divBdr>
        </w:div>
        <w:div w:id="1333526917">
          <w:marLeft w:val="0"/>
          <w:marRight w:val="0"/>
          <w:marTop w:val="0"/>
          <w:marBottom w:val="86"/>
          <w:divBdr>
            <w:top w:val="none" w:sz="0" w:space="0" w:color="auto"/>
            <w:left w:val="none" w:sz="0" w:space="0" w:color="auto"/>
            <w:bottom w:val="none" w:sz="0" w:space="0" w:color="auto"/>
            <w:right w:val="none" w:sz="0" w:space="0" w:color="auto"/>
          </w:divBdr>
        </w:div>
        <w:div w:id="1541438217">
          <w:marLeft w:val="0"/>
          <w:marRight w:val="0"/>
          <w:marTop w:val="0"/>
          <w:marBottom w:val="86"/>
          <w:divBdr>
            <w:top w:val="none" w:sz="0" w:space="0" w:color="auto"/>
            <w:left w:val="none" w:sz="0" w:space="0" w:color="auto"/>
            <w:bottom w:val="none" w:sz="0" w:space="0" w:color="auto"/>
            <w:right w:val="none" w:sz="0" w:space="0" w:color="auto"/>
          </w:divBdr>
        </w:div>
        <w:div w:id="930045824">
          <w:marLeft w:val="0"/>
          <w:marRight w:val="0"/>
          <w:marTop w:val="0"/>
          <w:marBottom w:val="86"/>
          <w:divBdr>
            <w:top w:val="none" w:sz="0" w:space="0" w:color="auto"/>
            <w:left w:val="none" w:sz="0" w:space="0" w:color="auto"/>
            <w:bottom w:val="none" w:sz="0" w:space="0" w:color="auto"/>
            <w:right w:val="none" w:sz="0" w:space="0" w:color="auto"/>
          </w:divBdr>
        </w:div>
        <w:div w:id="1334263596">
          <w:marLeft w:val="0"/>
          <w:marRight w:val="0"/>
          <w:marTop w:val="0"/>
          <w:marBottom w:val="86"/>
          <w:divBdr>
            <w:top w:val="none" w:sz="0" w:space="0" w:color="auto"/>
            <w:left w:val="none" w:sz="0" w:space="0" w:color="auto"/>
            <w:bottom w:val="none" w:sz="0" w:space="0" w:color="auto"/>
            <w:right w:val="none" w:sz="0" w:space="0" w:color="auto"/>
          </w:divBdr>
        </w:div>
        <w:div w:id="431709443">
          <w:marLeft w:val="0"/>
          <w:marRight w:val="0"/>
          <w:marTop w:val="0"/>
          <w:marBottom w:val="86"/>
          <w:divBdr>
            <w:top w:val="none" w:sz="0" w:space="0" w:color="auto"/>
            <w:left w:val="none" w:sz="0" w:space="0" w:color="auto"/>
            <w:bottom w:val="none" w:sz="0" w:space="0" w:color="auto"/>
            <w:right w:val="none" w:sz="0" w:space="0" w:color="auto"/>
          </w:divBdr>
        </w:div>
        <w:div w:id="1423604731">
          <w:marLeft w:val="0"/>
          <w:marRight w:val="0"/>
          <w:marTop w:val="0"/>
          <w:marBottom w:val="86"/>
          <w:divBdr>
            <w:top w:val="none" w:sz="0" w:space="0" w:color="auto"/>
            <w:left w:val="none" w:sz="0" w:space="0" w:color="auto"/>
            <w:bottom w:val="none" w:sz="0" w:space="0" w:color="auto"/>
            <w:right w:val="none" w:sz="0" w:space="0" w:color="auto"/>
          </w:divBdr>
        </w:div>
        <w:div w:id="2010938786">
          <w:marLeft w:val="0"/>
          <w:marRight w:val="0"/>
          <w:marTop w:val="0"/>
          <w:marBottom w:val="86"/>
          <w:divBdr>
            <w:top w:val="none" w:sz="0" w:space="0" w:color="auto"/>
            <w:left w:val="none" w:sz="0" w:space="0" w:color="auto"/>
            <w:bottom w:val="none" w:sz="0" w:space="0" w:color="auto"/>
            <w:right w:val="none" w:sz="0" w:space="0" w:color="auto"/>
          </w:divBdr>
        </w:div>
        <w:div w:id="1261451962">
          <w:marLeft w:val="864"/>
          <w:marRight w:val="0"/>
          <w:marTop w:val="0"/>
          <w:marBottom w:val="86"/>
          <w:divBdr>
            <w:top w:val="none" w:sz="0" w:space="0" w:color="auto"/>
            <w:left w:val="none" w:sz="0" w:space="0" w:color="auto"/>
            <w:bottom w:val="none" w:sz="0" w:space="0" w:color="auto"/>
            <w:right w:val="none" w:sz="0" w:space="0" w:color="auto"/>
          </w:divBdr>
        </w:div>
        <w:div w:id="2031104155">
          <w:marLeft w:val="0"/>
          <w:marRight w:val="0"/>
          <w:marTop w:val="0"/>
          <w:marBottom w:val="86"/>
          <w:divBdr>
            <w:top w:val="none" w:sz="0" w:space="0" w:color="auto"/>
            <w:left w:val="none" w:sz="0" w:space="0" w:color="auto"/>
            <w:bottom w:val="none" w:sz="0" w:space="0" w:color="auto"/>
            <w:right w:val="none" w:sz="0" w:space="0" w:color="auto"/>
          </w:divBdr>
        </w:div>
        <w:div w:id="1262449764">
          <w:marLeft w:val="864"/>
          <w:marRight w:val="0"/>
          <w:marTop w:val="0"/>
          <w:marBottom w:val="86"/>
          <w:divBdr>
            <w:top w:val="none" w:sz="0" w:space="0" w:color="auto"/>
            <w:left w:val="none" w:sz="0" w:space="0" w:color="auto"/>
            <w:bottom w:val="none" w:sz="0" w:space="0" w:color="auto"/>
            <w:right w:val="none" w:sz="0" w:space="0" w:color="auto"/>
          </w:divBdr>
        </w:div>
        <w:div w:id="1268346325">
          <w:marLeft w:val="864"/>
          <w:marRight w:val="0"/>
          <w:marTop w:val="0"/>
          <w:marBottom w:val="86"/>
          <w:divBdr>
            <w:top w:val="none" w:sz="0" w:space="0" w:color="auto"/>
            <w:left w:val="none" w:sz="0" w:space="0" w:color="auto"/>
            <w:bottom w:val="none" w:sz="0" w:space="0" w:color="auto"/>
            <w:right w:val="none" w:sz="0" w:space="0" w:color="auto"/>
          </w:divBdr>
        </w:div>
        <w:div w:id="567156009">
          <w:marLeft w:val="864"/>
          <w:marRight w:val="0"/>
          <w:marTop w:val="0"/>
          <w:marBottom w:val="86"/>
          <w:divBdr>
            <w:top w:val="none" w:sz="0" w:space="0" w:color="auto"/>
            <w:left w:val="none" w:sz="0" w:space="0" w:color="auto"/>
            <w:bottom w:val="none" w:sz="0" w:space="0" w:color="auto"/>
            <w:right w:val="none" w:sz="0" w:space="0" w:color="auto"/>
          </w:divBdr>
        </w:div>
        <w:div w:id="1295477187">
          <w:marLeft w:val="0"/>
          <w:marRight w:val="0"/>
          <w:marTop w:val="0"/>
          <w:marBottom w:val="86"/>
          <w:divBdr>
            <w:top w:val="none" w:sz="0" w:space="0" w:color="auto"/>
            <w:left w:val="none" w:sz="0" w:space="0" w:color="auto"/>
            <w:bottom w:val="none" w:sz="0" w:space="0" w:color="auto"/>
            <w:right w:val="none" w:sz="0" w:space="0" w:color="auto"/>
          </w:divBdr>
        </w:div>
        <w:div w:id="2129423273">
          <w:marLeft w:val="0"/>
          <w:marRight w:val="0"/>
          <w:marTop w:val="0"/>
          <w:marBottom w:val="86"/>
          <w:divBdr>
            <w:top w:val="none" w:sz="0" w:space="0" w:color="auto"/>
            <w:left w:val="none" w:sz="0" w:space="0" w:color="auto"/>
            <w:bottom w:val="none" w:sz="0" w:space="0" w:color="auto"/>
            <w:right w:val="none" w:sz="0" w:space="0" w:color="auto"/>
          </w:divBdr>
        </w:div>
        <w:div w:id="1641691976">
          <w:marLeft w:val="0"/>
          <w:marRight w:val="0"/>
          <w:marTop w:val="0"/>
          <w:marBottom w:val="86"/>
          <w:divBdr>
            <w:top w:val="none" w:sz="0" w:space="0" w:color="auto"/>
            <w:left w:val="none" w:sz="0" w:space="0" w:color="auto"/>
            <w:bottom w:val="none" w:sz="0" w:space="0" w:color="auto"/>
            <w:right w:val="none" w:sz="0" w:space="0" w:color="auto"/>
          </w:divBdr>
        </w:div>
        <w:div w:id="1407920214">
          <w:marLeft w:val="864"/>
          <w:marRight w:val="0"/>
          <w:marTop w:val="0"/>
          <w:marBottom w:val="86"/>
          <w:divBdr>
            <w:top w:val="none" w:sz="0" w:space="0" w:color="auto"/>
            <w:left w:val="none" w:sz="0" w:space="0" w:color="auto"/>
            <w:bottom w:val="none" w:sz="0" w:space="0" w:color="auto"/>
            <w:right w:val="none" w:sz="0" w:space="0" w:color="auto"/>
          </w:divBdr>
        </w:div>
        <w:div w:id="9571346">
          <w:marLeft w:val="864"/>
          <w:marRight w:val="0"/>
          <w:marTop w:val="0"/>
          <w:marBottom w:val="86"/>
          <w:divBdr>
            <w:top w:val="none" w:sz="0" w:space="0" w:color="auto"/>
            <w:left w:val="none" w:sz="0" w:space="0" w:color="auto"/>
            <w:bottom w:val="none" w:sz="0" w:space="0" w:color="auto"/>
            <w:right w:val="none" w:sz="0" w:space="0" w:color="auto"/>
          </w:divBdr>
        </w:div>
        <w:div w:id="602566499">
          <w:marLeft w:val="864"/>
          <w:marRight w:val="0"/>
          <w:marTop w:val="0"/>
          <w:marBottom w:val="101"/>
          <w:divBdr>
            <w:top w:val="none" w:sz="0" w:space="0" w:color="auto"/>
            <w:left w:val="none" w:sz="0" w:space="0" w:color="auto"/>
            <w:bottom w:val="none" w:sz="0" w:space="0" w:color="auto"/>
            <w:right w:val="none" w:sz="0" w:space="0" w:color="auto"/>
          </w:divBdr>
        </w:div>
        <w:div w:id="1205019127">
          <w:marLeft w:val="864"/>
          <w:marRight w:val="0"/>
          <w:marTop w:val="0"/>
          <w:marBottom w:val="76"/>
          <w:divBdr>
            <w:top w:val="none" w:sz="0" w:space="0" w:color="auto"/>
            <w:left w:val="none" w:sz="0" w:space="0" w:color="auto"/>
            <w:bottom w:val="none" w:sz="0" w:space="0" w:color="auto"/>
            <w:right w:val="none" w:sz="0" w:space="0" w:color="auto"/>
          </w:divBdr>
        </w:div>
        <w:div w:id="72628289">
          <w:marLeft w:val="864"/>
          <w:marRight w:val="0"/>
          <w:marTop w:val="0"/>
          <w:marBottom w:val="76"/>
          <w:divBdr>
            <w:top w:val="none" w:sz="0" w:space="0" w:color="auto"/>
            <w:left w:val="none" w:sz="0" w:space="0" w:color="auto"/>
            <w:bottom w:val="none" w:sz="0" w:space="0" w:color="auto"/>
            <w:right w:val="none" w:sz="0" w:space="0" w:color="auto"/>
          </w:divBdr>
        </w:div>
        <w:div w:id="509485499">
          <w:marLeft w:val="0"/>
          <w:marRight w:val="0"/>
          <w:marTop w:val="101"/>
          <w:marBottom w:val="76"/>
          <w:divBdr>
            <w:top w:val="none" w:sz="0" w:space="0" w:color="auto"/>
            <w:left w:val="none" w:sz="0" w:space="0" w:color="auto"/>
            <w:bottom w:val="none" w:sz="0" w:space="0" w:color="auto"/>
            <w:right w:val="none" w:sz="0" w:space="0" w:color="auto"/>
          </w:divBdr>
        </w:div>
        <w:div w:id="69424912">
          <w:marLeft w:val="0"/>
          <w:marRight w:val="0"/>
          <w:marTop w:val="0"/>
          <w:marBottom w:val="76"/>
          <w:divBdr>
            <w:top w:val="none" w:sz="0" w:space="0" w:color="auto"/>
            <w:left w:val="none" w:sz="0" w:space="0" w:color="auto"/>
            <w:bottom w:val="none" w:sz="0" w:space="0" w:color="auto"/>
            <w:right w:val="none" w:sz="0" w:space="0" w:color="auto"/>
          </w:divBdr>
        </w:div>
        <w:div w:id="776750225">
          <w:marLeft w:val="0"/>
          <w:marRight w:val="0"/>
          <w:marTop w:val="0"/>
          <w:marBottom w:val="76"/>
          <w:divBdr>
            <w:top w:val="none" w:sz="0" w:space="0" w:color="auto"/>
            <w:left w:val="none" w:sz="0" w:space="0" w:color="auto"/>
            <w:bottom w:val="none" w:sz="0" w:space="0" w:color="auto"/>
            <w:right w:val="none" w:sz="0" w:space="0" w:color="auto"/>
          </w:divBdr>
        </w:div>
        <w:div w:id="195582758">
          <w:marLeft w:val="0"/>
          <w:marRight w:val="0"/>
          <w:marTop w:val="0"/>
          <w:marBottom w:val="76"/>
          <w:divBdr>
            <w:top w:val="none" w:sz="0" w:space="0" w:color="auto"/>
            <w:left w:val="none" w:sz="0" w:space="0" w:color="auto"/>
            <w:bottom w:val="none" w:sz="0" w:space="0" w:color="auto"/>
            <w:right w:val="none" w:sz="0" w:space="0" w:color="auto"/>
          </w:divBdr>
        </w:div>
        <w:div w:id="1504588822">
          <w:marLeft w:val="0"/>
          <w:marRight w:val="0"/>
          <w:marTop w:val="0"/>
          <w:marBottom w:val="76"/>
          <w:divBdr>
            <w:top w:val="none" w:sz="0" w:space="0" w:color="auto"/>
            <w:left w:val="none" w:sz="0" w:space="0" w:color="auto"/>
            <w:bottom w:val="none" w:sz="0" w:space="0" w:color="auto"/>
            <w:right w:val="none" w:sz="0" w:space="0" w:color="auto"/>
          </w:divBdr>
        </w:div>
        <w:div w:id="886144252">
          <w:marLeft w:val="0"/>
          <w:marRight w:val="0"/>
          <w:marTop w:val="0"/>
          <w:marBottom w:val="76"/>
          <w:divBdr>
            <w:top w:val="none" w:sz="0" w:space="0" w:color="auto"/>
            <w:left w:val="none" w:sz="0" w:space="0" w:color="auto"/>
            <w:bottom w:val="none" w:sz="0" w:space="0" w:color="auto"/>
            <w:right w:val="none" w:sz="0" w:space="0" w:color="auto"/>
          </w:divBdr>
        </w:div>
        <w:div w:id="233780868">
          <w:marLeft w:val="0"/>
          <w:marRight w:val="0"/>
          <w:marTop w:val="0"/>
          <w:marBottom w:val="76"/>
          <w:divBdr>
            <w:top w:val="none" w:sz="0" w:space="0" w:color="auto"/>
            <w:left w:val="none" w:sz="0" w:space="0" w:color="auto"/>
            <w:bottom w:val="none" w:sz="0" w:space="0" w:color="auto"/>
            <w:right w:val="none" w:sz="0" w:space="0" w:color="auto"/>
          </w:divBdr>
        </w:div>
        <w:div w:id="1901137305">
          <w:marLeft w:val="0"/>
          <w:marRight w:val="0"/>
          <w:marTop w:val="0"/>
          <w:marBottom w:val="76"/>
          <w:divBdr>
            <w:top w:val="none" w:sz="0" w:space="0" w:color="auto"/>
            <w:left w:val="none" w:sz="0" w:space="0" w:color="auto"/>
            <w:bottom w:val="none" w:sz="0" w:space="0" w:color="auto"/>
            <w:right w:val="none" w:sz="0" w:space="0" w:color="auto"/>
          </w:divBdr>
        </w:div>
        <w:div w:id="1011177540">
          <w:marLeft w:val="0"/>
          <w:marRight w:val="0"/>
          <w:marTop w:val="0"/>
          <w:marBottom w:val="101"/>
          <w:divBdr>
            <w:top w:val="none" w:sz="0" w:space="0" w:color="auto"/>
            <w:left w:val="none" w:sz="0" w:space="0" w:color="auto"/>
            <w:bottom w:val="none" w:sz="0" w:space="0" w:color="auto"/>
            <w:right w:val="none" w:sz="0" w:space="0" w:color="auto"/>
          </w:divBdr>
        </w:div>
        <w:div w:id="1444300202">
          <w:marLeft w:val="0"/>
          <w:marRight w:val="0"/>
          <w:marTop w:val="0"/>
          <w:marBottom w:val="101"/>
          <w:divBdr>
            <w:top w:val="none" w:sz="0" w:space="0" w:color="auto"/>
            <w:left w:val="none" w:sz="0" w:space="0" w:color="auto"/>
            <w:bottom w:val="none" w:sz="0" w:space="0" w:color="auto"/>
            <w:right w:val="none" w:sz="0" w:space="0" w:color="auto"/>
          </w:divBdr>
        </w:div>
        <w:div w:id="665977027">
          <w:marLeft w:val="0"/>
          <w:marRight w:val="0"/>
          <w:marTop w:val="0"/>
          <w:marBottom w:val="101"/>
          <w:divBdr>
            <w:top w:val="none" w:sz="0" w:space="0" w:color="auto"/>
            <w:left w:val="none" w:sz="0" w:space="0" w:color="auto"/>
            <w:bottom w:val="none" w:sz="0" w:space="0" w:color="auto"/>
            <w:right w:val="none" w:sz="0" w:space="0" w:color="auto"/>
          </w:divBdr>
        </w:div>
        <w:div w:id="812257348">
          <w:marLeft w:val="0"/>
          <w:marRight w:val="0"/>
          <w:marTop w:val="0"/>
          <w:marBottom w:val="101"/>
          <w:divBdr>
            <w:top w:val="none" w:sz="0" w:space="0" w:color="auto"/>
            <w:left w:val="none" w:sz="0" w:space="0" w:color="auto"/>
            <w:bottom w:val="none" w:sz="0" w:space="0" w:color="auto"/>
            <w:right w:val="none" w:sz="0" w:space="0" w:color="auto"/>
          </w:divBdr>
        </w:div>
        <w:div w:id="491943730">
          <w:marLeft w:val="0"/>
          <w:marRight w:val="0"/>
          <w:marTop w:val="0"/>
          <w:marBottom w:val="101"/>
          <w:divBdr>
            <w:top w:val="none" w:sz="0" w:space="0" w:color="auto"/>
            <w:left w:val="none" w:sz="0" w:space="0" w:color="auto"/>
            <w:bottom w:val="none" w:sz="0" w:space="0" w:color="auto"/>
            <w:right w:val="none" w:sz="0" w:space="0" w:color="auto"/>
          </w:divBdr>
        </w:div>
        <w:div w:id="1818455649">
          <w:marLeft w:val="0"/>
          <w:marRight w:val="0"/>
          <w:marTop w:val="0"/>
          <w:marBottom w:val="101"/>
          <w:divBdr>
            <w:top w:val="none" w:sz="0" w:space="0" w:color="auto"/>
            <w:left w:val="none" w:sz="0" w:space="0" w:color="auto"/>
            <w:bottom w:val="none" w:sz="0" w:space="0" w:color="auto"/>
            <w:right w:val="none" w:sz="0" w:space="0" w:color="auto"/>
          </w:divBdr>
        </w:div>
        <w:div w:id="457769087">
          <w:marLeft w:val="0"/>
          <w:marRight w:val="0"/>
          <w:marTop w:val="0"/>
          <w:marBottom w:val="101"/>
          <w:divBdr>
            <w:top w:val="none" w:sz="0" w:space="0" w:color="auto"/>
            <w:left w:val="none" w:sz="0" w:space="0" w:color="auto"/>
            <w:bottom w:val="none" w:sz="0" w:space="0" w:color="auto"/>
            <w:right w:val="none" w:sz="0" w:space="0" w:color="auto"/>
          </w:divBdr>
        </w:div>
        <w:div w:id="447509122">
          <w:marLeft w:val="0"/>
          <w:marRight w:val="0"/>
          <w:marTop w:val="0"/>
          <w:marBottom w:val="101"/>
          <w:divBdr>
            <w:top w:val="none" w:sz="0" w:space="0" w:color="auto"/>
            <w:left w:val="none" w:sz="0" w:space="0" w:color="auto"/>
            <w:bottom w:val="none" w:sz="0" w:space="0" w:color="auto"/>
            <w:right w:val="none" w:sz="0" w:space="0" w:color="auto"/>
          </w:divBdr>
        </w:div>
        <w:div w:id="13772092">
          <w:marLeft w:val="0"/>
          <w:marRight w:val="0"/>
          <w:marTop w:val="0"/>
          <w:marBottom w:val="101"/>
          <w:divBdr>
            <w:top w:val="none" w:sz="0" w:space="0" w:color="auto"/>
            <w:left w:val="none" w:sz="0" w:space="0" w:color="auto"/>
            <w:bottom w:val="none" w:sz="0" w:space="0" w:color="auto"/>
            <w:right w:val="none" w:sz="0" w:space="0" w:color="auto"/>
          </w:divBdr>
        </w:div>
        <w:div w:id="218051801">
          <w:marLeft w:val="0"/>
          <w:marRight w:val="0"/>
          <w:marTop w:val="0"/>
          <w:marBottom w:val="101"/>
          <w:divBdr>
            <w:top w:val="none" w:sz="0" w:space="0" w:color="auto"/>
            <w:left w:val="none" w:sz="0" w:space="0" w:color="auto"/>
            <w:bottom w:val="none" w:sz="0" w:space="0" w:color="auto"/>
            <w:right w:val="none" w:sz="0" w:space="0" w:color="auto"/>
          </w:divBdr>
        </w:div>
        <w:div w:id="263616115">
          <w:marLeft w:val="0"/>
          <w:marRight w:val="0"/>
          <w:marTop w:val="0"/>
          <w:marBottom w:val="101"/>
          <w:divBdr>
            <w:top w:val="none" w:sz="0" w:space="0" w:color="auto"/>
            <w:left w:val="none" w:sz="0" w:space="0" w:color="auto"/>
            <w:bottom w:val="none" w:sz="0" w:space="0" w:color="auto"/>
            <w:right w:val="none" w:sz="0" w:space="0" w:color="auto"/>
          </w:divBdr>
        </w:div>
        <w:div w:id="1333023342">
          <w:marLeft w:val="0"/>
          <w:marRight w:val="0"/>
          <w:marTop w:val="0"/>
          <w:marBottom w:val="101"/>
          <w:divBdr>
            <w:top w:val="none" w:sz="0" w:space="0" w:color="auto"/>
            <w:left w:val="none" w:sz="0" w:space="0" w:color="auto"/>
            <w:bottom w:val="none" w:sz="0" w:space="0" w:color="auto"/>
            <w:right w:val="none" w:sz="0" w:space="0" w:color="auto"/>
          </w:divBdr>
        </w:div>
        <w:div w:id="1547790893">
          <w:marLeft w:val="0"/>
          <w:marRight w:val="0"/>
          <w:marTop w:val="0"/>
          <w:marBottom w:val="101"/>
          <w:divBdr>
            <w:top w:val="none" w:sz="0" w:space="0" w:color="auto"/>
            <w:left w:val="none" w:sz="0" w:space="0" w:color="auto"/>
            <w:bottom w:val="none" w:sz="0" w:space="0" w:color="auto"/>
            <w:right w:val="none" w:sz="0" w:space="0" w:color="auto"/>
          </w:divBdr>
        </w:div>
        <w:div w:id="1734429775">
          <w:marLeft w:val="0"/>
          <w:marRight w:val="0"/>
          <w:marTop w:val="0"/>
          <w:marBottom w:val="101"/>
          <w:divBdr>
            <w:top w:val="none" w:sz="0" w:space="0" w:color="auto"/>
            <w:left w:val="none" w:sz="0" w:space="0" w:color="auto"/>
            <w:bottom w:val="none" w:sz="0" w:space="0" w:color="auto"/>
            <w:right w:val="none" w:sz="0" w:space="0" w:color="auto"/>
          </w:divBdr>
        </w:div>
        <w:div w:id="304626739">
          <w:marLeft w:val="0"/>
          <w:marRight w:val="0"/>
          <w:marTop w:val="0"/>
          <w:marBottom w:val="101"/>
          <w:divBdr>
            <w:top w:val="none" w:sz="0" w:space="0" w:color="auto"/>
            <w:left w:val="none" w:sz="0" w:space="0" w:color="auto"/>
            <w:bottom w:val="none" w:sz="0" w:space="0" w:color="auto"/>
            <w:right w:val="none" w:sz="0" w:space="0" w:color="auto"/>
          </w:divBdr>
        </w:div>
        <w:div w:id="327831088">
          <w:marLeft w:val="864"/>
          <w:marRight w:val="0"/>
          <w:marTop w:val="0"/>
          <w:marBottom w:val="101"/>
          <w:divBdr>
            <w:top w:val="none" w:sz="0" w:space="0" w:color="auto"/>
            <w:left w:val="none" w:sz="0" w:space="0" w:color="auto"/>
            <w:bottom w:val="none" w:sz="0" w:space="0" w:color="auto"/>
            <w:right w:val="none" w:sz="0" w:space="0" w:color="auto"/>
          </w:divBdr>
        </w:div>
        <w:div w:id="616910125">
          <w:marLeft w:val="0"/>
          <w:marRight w:val="0"/>
          <w:marTop w:val="0"/>
          <w:marBottom w:val="101"/>
          <w:divBdr>
            <w:top w:val="none" w:sz="0" w:space="0" w:color="auto"/>
            <w:left w:val="none" w:sz="0" w:space="0" w:color="auto"/>
            <w:bottom w:val="none" w:sz="0" w:space="0" w:color="auto"/>
            <w:right w:val="none" w:sz="0" w:space="0" w:color="auto"/>
          </w:divBdr>
        </w:div>
        <w:div w:id="1158230201">
          <w:marLeft w:val="0"/>
          <w:marRight w:val="0"/>
          <w:marTop w:val="0"/>
          <w:marBottom w:val="101"/>
          <w:divBdr>
            <w:top w:val="none" w:sz="0" w:space="0" w:color="auto"/>
            <w:left w:val="none" w:sz="0" w:space="0" w:color="auto"/>
            <w:bottom w:val="none" w:sz="0" w:space="0" w:color="auto"/>
            <w:right w:val="none" w:sz="0" w:space="0" w:color="auto"/>
          </w:divBdr>
        </w:div>
        <w:div w:id="1251425373">
          <w:marLeft w:val="0"/>
          <w:marRight w:val="0"/>
          <w:marTop w:val="0"/>
          <w:marBottom w:val="101"/>
          <w:divBdr>
            <w:top w:val="none" w:sz="0" w:space="0" w:color="auto"/>
            <w:left w:val="none" w:sz="0" w:space="0" w:color="auto"/>
            <w:bottom w:val="none" w:sz="0" w:space="0" w:color="auto"/>
            <w:right w:val="none" w:sz="0" w:space="0" w:color="auto"/>
          </w:divBdr>
        </w:div>
        <w:div w:id="1475633813">
          <w:marLeft w:val="0"/>
          <w:marRight w:val="0"/>
          <w:marTop w:val="0"/>
          <w:marBottom w:val="101"/>
          <w:divBdr>
            <w:top w:val="none" w:sz="0" w:space="0" w:color="auto"/>
            <w:left w:val="none" w:sz="0" w:space="0" w:color="auto"/>
            <w:bottom w:val="none" w:sz="0" w:space="0" w:color="auto"/>
            <w:right w:val="none" w:sz="0" w:space="0" w:color="auto"/>
          </w:divBdr>
        </w:div>
        <w:div w:id="217322650">
          <w:marLeft w:val="0"/>
          <w:marRight w:val="0"/>
          <w:marTop w:val="0"/>
          <w:marBottom w:val="101"/>
          <w:divBdr>
            <w:top w:val="none" w:sz="0" w:space="0" w:color="auto"/>
            <w:left w:val="none" w:sz="0" w:space="0" w:color="auto"/>
            <w:bottom w:val="none" w:sz="0" w:space="0" w:color="auto"/>
            <w:right w:val="none" w:sz="0" w:space="0" w:color="auto"/>
          </w:divBdr>
        </w:div>
        <w:div w:id="1829831172">
          <w:marLeft w:val="0"/>
          <w:marRight w:val="0"/>
          <w:marTop w:val="0"/>
          <w:marBottom w:val="101"/>
          <w:divBdr>
            <w:top w:val="none" w:sz="0" w:space="0" w:color="auto"/>
            <w:left w:val="none" w:sz="0" w:space="0" w:color="auto"/>
            <w:bottom w:val="none" w:sz="0" w:space="0" w:color="auto"/>
            <w:right w:val="none" w:sz="0" w:space="0" w:color="auto"/>
          </w:divBdr>
        </w:div>
        <w:div w:id="1589342604">
          <w:marLeft w:val="0"/>
          <w:marRight w:val="0"/>
          <w:marTop w:val="0"/>
          <w:marBottom w:val="101"/>
          <w:divBdr>
            <w:top w:val="none" w:sz="0" w:space="0" w:color="auto"/>
            <w:left w:val="none" w:sz="0" w:space="0" w:color="auto"/>
            <w:bottom w:val="none" w:sz="0" w:space="0" w:color="auto"/>
            <w:right w:val="none" w:sz="0" w:space="0" w:color="auto"/>
          </w:divBdr>
        </w:div>
        <w:div w:id="1079253554">
          <w:marLeft w:val="864"/>
          <w:marRight w:val="0"/>
          <w:marTop w:val="0"/>
          <w:marBottom w:val="101"/>
          <w:divBdr>
            <w:top w:val="none" w:sz="0" w:space="0" w:color="auto"/>
            <w:left w:val="none" w:sz="0" w:space="0" w:color="auto"/>
            <w:bottom w:val="none" w:sz="0" w:space="0" w:color="auto"/>
            <w:right w:val="none" w:sz="0" w:space="0" w:color="auto"/>
          </w:divBdr>
        </w:div>
        <w:div w:id="309939975">
          <w:marLeft w:val="864"/>
          <w:marRight w:val="0"/>
          <w:marTop w:val="0"/>
          <w:marBottom w:val="101"/>
          <w:divBdr>
            <w:top w:val="none" w:sz="0" w:space="0" w:color="auto"/>
            <w:left w:val="none" w:sz="0" w:space="0" w:color="auto"/>
            <w:bottom w:val="none" w:sz="0" w:space="0" w:color="auto"/>
            <w:right w:val="none" w:sz="0" w:space="0" w:color="auto"/>
          </w:divBdr>
        </w:div>
        <w:div w:id="1505584767">
          <w:marLeft w:val="864"/>
          <w:marRight w:val="0"/>
          <w:marTop w:val="0"/>
          <w:marBottom w:val="86"/>
          <w:divBdr>
            <w:top w:val="none" w:sz="0" w:space="0" w:color="auto"/>
            <w:left w:val="none" w:sz="0" w:space="0" w:color="auto"/>
            <w:bottom w:val="none" w:sz="0" w:space="0" w:color="auto"/>
            <w:right w:val="none" w:sz="0" w:space="0" w:color="auto"/>
          </w:divBdr>
        </w:div>
        <w:div w:id="1063866971">
          <w:marLeft w:val="864"/>
          <w:marRight w:val="0"/>
          <w:marTop w:val="0"/>
          <w:marBottom w:val="86"/>
          <w:divBdr>
            <w:top w:val="none" w:sz="0" w:space="0" w:color="auto"/>
            <w:left w:val="none" w:sz="0" w:space="0" w:color="auto"/>
            <w:bottom w:val="none" w:sz="0" w:space="0" w:color="auto"/>
            <w:right w:val="none" w:sz="0" w:space="0" w:color="auto"/>
          </w:divBdr>
        </w:div>
        <w:div w:id="330304175">
          <w:marLeft w:val="864"/>
          <w:marRight w:val="0"/>
          <w:marTop w:val="0"/>
          <w:marBottom w:val="86"/>
          <w:divBdr>
            <w:top w:val="none" w:sz="0" w:space="0" w:color="auto"/>
            <w:left w:val="none" w:sz="0" w:space="0" w:color="auto"/>
            <w:bottom w:val="none" w:sz="0" w:space="0" w:color="auto"/>
            <w:right w:val="none" w:sz="0" w:space="0" w:color="auto"/>
          </w:divBdr>
        </w:div>
        <w:div w:id="1865826368">
          <w:marLeft w:val="864"/>
          <w:marRight w:val="0"/>
          <w:marTop w:val="0"/>
          <w:marBottom w:val="86"/>
          <w:divBdr>
            <w:top w:val="none" w:sz="0" w:space="0" w:color="auto"/>
            <w:left w:val="none" w:sz="0" w:space="0" w:color="auto"/>
            <w:bottom w:val="none" w:sz="0" w:space="0" w:color="auto"/>
            <w:right w:val="none" w:sz="0" w:space="0" w:color="auto"/>
          </w:divBdr>
        </w:div>
        <w:div w:id="1622420035">
          <w:marLeft w:val="864"/>
          <w:marRight w:val="0"/>
          <w:marTop w:val="0"/>
          <w:marBottom w:val="86"/>
          <w:divBdr>
            <w:top w:val="none" w:sz="0" w:space="0" w:color="auto"/>
            <w:left w:val="none" w:sz="0" w:space="0" w:color="auto"/>
            <w:bottom w:val="none" w:sz="0" w:space="0" w:color="auto"/>
            <w:right w:val="none" w:sz="0" w:space="0" w:color="auto"/>
          </w:divBdr>
        </w:div>
        <w:div w:id="1766924876">
          <w:marLeft w:val="864"/>
          <w:marRight w:val="0"/>
          <w:marTop w:val="0"/>
          <w:marBottom w:val="86"/>
          <w:divBdr>
            <w:top w:val="none" w:sz="0" w:space="0" w:color="auto"/>
            <w:left w:val="none" w:sz="0" w:space="0" w:color="auto"/>
            <w:bottom w:val="none" w:sz="0" w:space="0" w:color="auto"/>
            <w:right w:val="none" w:sz="0" w:space="0" w:color="auto"/>
          </w:divBdr>
        </w:div>
        <w:div w:id="1404330486">
          <w:marLeft w:val="864"/>
          <w:marRight w:val="0"/>
          <w:marTop w:val="0"/>
          <w:marBottom w:val="86"/>
          <w:divBdr>
            <w:top w:val="none" w:sz="0" w:space="0" w:color="auto"/>
            <w:left w:val="none" w:sz="0" w:space="0" w:color="auto"/>
            <w:bottom w:val="none" w:sz="0" w:space="0" w:color="auto"/>
            <w:right w:val="none" w:sz="0" w:space="0" w:color="auto"/>
          </w:divBdr>
        </w:div>
        <w:div w:id="843325327">
          <w:marLeft w:val="864"/>
          <w:marRight w:val="0"/>
          <w:marTop w:val="0"/>
          <w:marBottom w:val="86"/>
          <w:divBdr>
            <w:top w:val="none" w:sz="0" w:space="0" w:color="auto"/>
            <w:left w:val="none" w:sz="0" w:space="0" w:color="auto"/>
            <w:bottom w:val="none" w:sz="0" w:space="0" w:color="auto"/>
            <w:right w:val="none" w:sz="0" w:space="0" w:color="auto"/>
          </w:divBdr>
        </w:div>
        <w:div w:id="1345978471">
          <w:marLeft w:val="864"/>
          <w:marRight w:val="0"/>
          <w:marTop w:val="0"/>
          <w:marBottom w:val="86"/>
          <w:divBdr>
            <w:top w:val="none" w:sz="0" w:space="0" w:color="auto"/>
            <w:left w:val="none" w:sz="0" w:space="0" w:color="auto"/>
            <w:bottom w:val="none" w:sz="0" w:space="0" w:color="auto"/>
            <w:right w:val="none" w:sz="0" w:space="0" w:color="auto"/>
          </w:divBdr>
        </w:div>
        <w:div w:id="2132287940">
          <w:marLeft w:val="0"/>
          <w:marRight w:val="0"/>
          <w:marTop w:val="0"/>
          <w:marBottom w:val="86"/>
          <w:divBdr>
            <w:top w:val="none" w:sz="0" w:space="0" w:color="auto"/>
            <w:left w:val="none" w:sz="0" w:space="0" w:color="auto"/>
            <w:bottom w:val="none" w:sz="0" w:space="0" w:color="auto"/>
            <w:right w:val="none" w:sz="0" w:space="0" w:color="auto"/>
          </w:divBdr>
        </w:div>
        <w:div w:id="1574120227">
          <w:marLeft w:val="0"/>
          <w:marRight w:val="0"/>
          <w:marTop w:val="0"/>
          <w:marBottom w:val="86"/>
          <w:divBdr>
            <w:top w:val="none" w:sz="0" w:space="0" w:color="auto"/>
            <w:left w:val="none" w:sz="0" w:space="0" w:color="auto"/>
            <w:bottom w:val="none" w:sz="0" w:space="0" w:color="auto"/>
            <w:right w:val="none" w:sz="0" w:space="0" w:color="auto"/>
          </w:divBdr>
        </w:div>
        <w:div w:id="1880125007">
          <w:marLeft w:val="0"/>
          <w:marRight w:val="0"/>
          <w:marTop w:val="0"/>
          <w:marBottom w:val="86"/>
          <w:divBdr>
            <w:top w:val="none" w:sz="0" w:space="0" w:color="auto"/>
            <w:left w:val="none" w:sz="0" w:space="0" w:color="auto"/>
            <w:bottom w:val="none" w:sz="0" w:space="0" w:color="auto"/>
            <w:right w:val="none" w:sz="0" w:space="0" w:color="auto"/>
          </w:divBdr>
        </w:div>
        <w:div w:id="1654331432">
          <w:marLeft w:val="0"/>
          <w:marRight w:val="0"/>
          <w:marTop w:val="0"/>
          <w:marBottom w:val="86"/>
          <w:divBdr>
            <w:top w:val="none" w:sz="0" w:space="0" w:color="auto"/>
            <w:left w:val="none" w:sz="0" w:space="0" w:color="auto"/>
            <w:bottom w:val="none" w:sz="0" w:space="0" w:color="auto"/>
            <w:right w:val="none" w:sz="0" w:space="0" w:color="auto"/>
          </w:divBdr>
        </w:div>
        <w:div w:id="1313022077">
          <w:marLeft w:val="0"/>
          <w:marRight w:val="0"/>
          <w:marTop w:val="0"/>
          <w:marBottom w:val="86"/>
          <w:divBdr>
            <w:top w:val="none" w:sz="0" w:space="0" w:color="auto"/>
            <w:left w:val="none" w:sz="0" w:space="0" w:color="auto"/>
            <w:bottom w:val="none" w:sz="0" w:space="0" w:color="auto"/>
            <w:right w:val="none" w:sz="0" w:space="0" w:color="auto"/>
          </w:divBdr>
        </w:div>
        <w:div w:id="2093432430">
          <w:marLeft w:val="0"/>
          <w:marRight w:val="0"/>
          <w:marTop w:val="0"/>
          <w:marBottom w:val="101"/>
          <w:divBdr>
            <w:top w:val="none" w:sz="0" w:space="0" w:color="auto"/>
            <w:left w:val="none" w:sz="0" w:space="0" w:color="auto"/>
            <w:bottom w:val="none" w:sz="0" w:space="0" w:color="auto"/>
            <w:right w:val="none" w:sz="0" w:space="0" w:color="auto"/>
          </w:divBdr>
        </w:div>
        <w:div w:id="773209920">
          <w:marLeft w:val="0"/>
          <w:marRight w:val="0"/>
          <w:marTop w:val="0"/>
          <w:marBottom w:val="101"/>
          <w:divBdr>
            <w:top w:val="none" w:sz="0" w:space="0" w:color="auto"/>
            <w:left w:val="none" w:sz="0" w:space="0" w:color="auto"/>
            <w:bottom w:val="none" w:sz="0" w:space="0" w:color="auto"/>
            <w:right w:val="none" w:sz="0" w:space="0" w:color="auto"/>
          </w:divBdr>
        </w:div>
        <w:div w:id="517160238">
          <w:marLeft w:val="0"/>
          <w:marRight w:val="0"/>
          <w:marTop w:val="0"/>
          <w:marBottom w:val="101"/>
          <w:divBdr>
            <w:top w:val="none" w:sz="0" w:space="0" w:color="auto"/>
            <w:left w:val="none" w:sz="0" w:space="0" w:color="auto"/>
            <w:bottom w:val="none" w:sz="0" w:space="0" w:color="auto"/>
            <w:right w:val="none" w:sz="0" w:space="0" w:color="auto"/>
          </w:divBdr>
        </w:div>
        <w:div w:id="400759941">
          <w:marLeft w:val="0"/>
          <w:marRight w:val="0"/>
          <w:marTop w:val="0"/>
          <w:marBottom w:val="101"/>
          <w:divBdr>
            <w:top w:val="none" w:sz="0" w:space="0" w:color="auto"/>
            <w:left w:val="none" w:sz="0" w:space="0" w:color="auto"/>
            <w:bottom w:val="none" w:sz="0" w:space="0" w:color="auto"/>
            <w:right w:val="none" w:sz="0" w:space="0" w:color="auto"/>
          </w:divBdr>
        </w:div>
        <w:div w:id="498155024">
          <w:marLeft w:val="0"/>
          <w:marRight w:val="0"/>
          <w:marTop w:val="0"/>
          <w:marBottom w:val="101"/>
          <w:divBdr>
            <w:top w:val="none" w:sz="0" w:space="0" w:color="auto"/>
            <w:left w:val="none" w:sz="0" w:space="0" w:color="auto"/>
            <w:bottom w:val="none" w:sz="0" w:space="0" w:color="auto"/>
            <w:right w:val="none" w:sz="0" w:space="0" w:color="auto"/>
          </w:divBdr>
        </w:div>
        <w:div w:id="2091190845">
          <w:marLeft w:val="0"/>
          <w:marRight w:val="0"/>
          <w:marTop w:val="0"/>
          <w:marBottom w:val="101"/>
          <w:divBdr>
            <w:top w:val="none" w:sz="0" w:space="0" w:color="auto"/>
            <w:left w:val="none" w:sz="0" w:space="0" w:color="auto"/>
            <w:bottom w:val="none" w:sz="0" w:space="0" w:color="auto"/>
            <w:right w:val="none" w:sz="0" w:space="0" w:color="auto"/>
          </w:divBdr>
        </w:div>
        <w:div w:id="1283996257">
          <w:marLeft w:val="0"/>
          <w:marRight w:val="0"/>
          <w:marTop w:val="0"/>
          <w:marBottom w:val="101"/>
          <w:divBdr>
            <w:top w:val="none" w:sz="0" w:space="0" w:color="auto"/>
            <w:left w:val="none" w:sz="0" w:space="0" w:color="auto"/>
            <w:bottom w:val="none" w:sz="0" w:space="0" w:color="auto"/>
            <w:right w:val="none" w:sz="0" w:space="0" w:color="auto"/>
          </w:divBdr>
        </w:div>
        <w:div w:id="592857673">
          <w:marLeft w:val="0"/>
          <w:marRight w:val="0"/>
          <w:marTop w:val="0"/>
          <w:marBottom w:val="101"/>
          <w:divBdr>
            <w:top w:val="none" w:sz="0" w:space="0" w:color="auto"/>
            <w:left w:val="none" w:sz="0" w:space="0" w:color="auto"/>
            <w:bottom w:val="none" w:sz="0" w:space="0" w:color="auto"/>
            <w:right w:val="none" w:sz="0" w:space="0" w:color="auto"/>
          </w:divBdr>
        </w:div>
        <w:div w:id="1804543126">
          <w:marLeft w:val="0"/>
          <w:marRight w:val="0"/>
          <w:marTop w:val="0"/>
          <w:marBottom w:val="101"/>
          <w:divBdr>
            <w:top w:val="none" w:sz="0" w:space="0" w:color="auto"/>
            <w:left w:val="none" w:sz="0" w:space="0" w:color="auto"/>
            <w:bottom w:val="none" w:sz="0" w:space="0" w:color="auto"/>
            <w:right w:val="none" w:sz="0" w:space="0" w:color="auto"/>
          </w:divBdr>
        </w:div>
        <w:div w:id="873660743">
          <w:marLeft w:val="0"/>
          <w:marRight w:val="0"/>
          <w:marTop w:val="0"/>
          <w:marBottom w:val="101"/>
          <w:divBdr>
            <w:top w:val="none" w:sz="0" w:space="0" w:color="auto"/>
            <w:left w:val="none" w:sz="0" w:space="0" w:color="auto"/>
            <w:bottom w:val="none" w:sz="0" w:space="0" w:color="auto"/>
            <w:right w:val="none" w:sz="0" w:space="0" w:color="auto"/>
          </w:divBdr>
        </w:div>
        <w:div w:id="126245694">
          <w:marLeft w:val="0"/>
          <w:marRight w:val="0"/>
          <w:marTop w:val="0"/>
          <w:marBottom w:val="101"/>
          <w:divBdr>
            <w:top w:val="none" w:sz="0" w:space="0" w:color="auto"/>
            <w:left w:val="none" w:sz="0" w:space="0" w:color="auto"/>
            <w:bottom w:val="none" w:sz="0" w:space="0" w:color="auto"/>
            <w:right w:val="none" w:sz="0" w:space="0" w:color="auto"/>
          </w:divBdr>
        </w:div>
        <w:div w:id="147943017">
          <w:marLeft w:val="0"/>
          <w:marRight w:val="0"/>
          <w:marTop w:val="0"/>
          <w:marBottom w:val="101"/>
          <w:divBdr>
            <w:top w:val="none" w:sz="0" w:space="0" w:color="auto"/>
            <w:left w:val="none" w:sz="0" w:space="0" w:color="auto"/>
            <w:bottom w:val="none" w:sz="0" w:space="0" w:color="auto"/>
            <w:right w:val="none" w:sz="0" w:space="0" w:color="auto"/>
          </w:divBdr>
        </w:div>
        <w:div w:id="1406758039">
          <w:marLeft w:val="0"/>
          <w:marRight w:val="0"/>
          <w:marTop w:val="0"/>
          <w:marBottom w:val="101"/>
          <w:divBdr>
            <w:top w:val="none" w:sz="0" w:space="0" w:color="auto"/>
            <w:left w:val="none" w:sz="0" w:space="0" w:color="auto"/>
            <w:bottom w:val="none" w:sz="0" w:space="0" w:color="auto"/>
            <w:right w:val="none" w:sz="0" w:space="0" w:color="auto"/>
          </w:divBdr>
        </w:div>
        <w:div w:id="55127750">
          <w:marLeft w:val="864"/>
          <w:marRight w:val="0"/>
          <w:marTop w:val="0"/>
          <w:marBottom w:val="101"/>
          <w:divBdr>
            <w:top w:val="none" w:sz="0" w:space="0" w:color="auto"/>
            <w:left w:val="none" w:sz="0" w:space="0" w:color="auto"/>
            <w:bottom w:val="none" w:sz="0" w:space="0" w:color="auto"/>
            <w:right w:val="none" w:sz="0" w:space="0" w:color="auto"/>
          </w:divBdr>
        </w:div>
        <w:div w:id="23020579">
          <w:marLeft w:val="864"/>
          <w:marRight w:val="0"/>
          <w:marTop w:val="0"/>
          <w:marBottom w:val="101"/>
          <w:divBdr>
            <w:top w:val="none" w:sz="0" w:space="0" w:color="auto"/>
            <w:left w:val="none" w:sz="0" w:space="0" w:color="auto"/>
            <w:bottom w:val="none" w:sz="0" w:space="0" w:color="auto"/>
            <w:right w:val="none" w:sz="0" w:space="0" w:color="auto"/>
          </w:divBdr>
        </w:div>
        <w:div w:id="2126339762">
          <w:marLeft w:val="864"/>
          <w:marRight w:val="0"/>
          <w:marTop w:val="0"/>
          <w:marBottom w:val="101"/>
          <w:divBdr>
            <w:top w:val="none" w:sz="0" w:space="0" w:color="auto"/>
            <w:left w:val="none" w:sz="0" w:space="0" w:color="auto"/>
            <w:bottom w:val="none" w:sz="0" w:space="0" w:color="auto"/>
            <w:right w:val="none" w:sz="0" w:space="0" w:color="auto"/>
          </w:divBdr>
        </w:div>
        <w:div w:id="1922834640">
          <w:marLeft w:val="864"/>
          <w:marRight w:val="0"/>
          <w:marTop w:val="0"/>
          <w:marBottom w:val="101"/>
          <w:divBdr>
            <w:top w:val="none" w:sz="0" w:space="0" w:color="auto"/>
            <w:left w:val="none" w:sz="0" w:space="0" w:color="auto"/>
            <w:bottom w:val="none" w:sz="0" w:space="0" w:color="auto"/>
            <w:right w:val="none" w:sz="0" w:space="0" w:color="auto"/>
          </w:divBdr>
        </w:div>
        <w:div w:id="1581402814">
          <w:marLeft w:val="864"/>
          <w:marRight w:val="0"/>
          <w:marTop w:val="0"/>
          <w:marBottom w:val="101"/>
          <w:divBdr>
            <w:top w:val="none" w:sz="0" w:space="0" w:color="auto"/>
            <w:left w:val="none" w:sz="0" w:space="0" w:color="auto"/>
            <w:bottom w:val="none" w:sz="0" w:space="0" w:color="auto"/>
            <w:right w:val="none" w:sz="0" w:space="0" w:color="auto"/>
          </w:divBdr>
        </w:div>
        <w:div w:id="1865091195">
          <w:marLeft w:val="1296"/>
          <w:marRight w:val="0"/>
          <w:marTop w:val="0"/>
          <w:marBottom w:val="68"/>
          <w:divBdr>
            <w:top w:val="none" w:sz="0" w:space="0" w:color="auto"/>
            <w:left w:val="none" w:sz="0" w:space="0" w:color="auto"/>
            <w:bottom w:val="none" w:sz="0" w:space="0" w:color="auto"/>
            <w:right w:val="none" w:sz="0" w:space="0" w:color="auto"/>
          </w:divBdr>
        </w:div>
        <w:div w:id="1320306578">
          <w:marLeft w:val="1296"/>
          <w:marRight w:val="0"/>
          <w:marTop w:val="0"/>
          <w:marBottom w:val="68"/>
          <w:divBdr>
            <w:top w:val="none" w:sz="0" w:space="0" w:color="auto"/>
            <w:left w:val="none" w:sz="0" w:space="0" w:color="auto"/>
            <w:bottom w:val="none" w:sz="0" w:space="0" w:color="auto"/>
            <w:right w:val="none" w:sz="0" w:space="0" w:color="auto"/>
          </w:divBdr>
        </w:div>
        <w:div w:id="1455054533">
          <w:marLeft w:val="1296"/>
          <w:marRight w:val="0"/>
          <w:marTop w:val="0"/>
          <w:marBottom w:val="68"/>
          <w:divBdr>
            <w:top w:val="none" w:sz="0" w:space="0" w:color="auto"/>
            <w:left w:val="none" w:sz="0" w:space="0" w:color="auto"/>
            <w:bottom w:val="none" w:sz="0" w:space="0" w:color="auto"/>
            <w:right w:val="none" w:sz="0" w:space="0" w:color="auto"/>
          </w:divBdr>
        </w:div>
        <w:div w:id="1176505319">
          <w:marLeft w:val="1296"/>
          <w:marRight w:val="0"/>
          <w:marTop w:val="0"/>
          <w:marBottom w:val="68"/>
          <w:divBdr>
            <w:top w:val="none" w:sz="0" w:space="0" w:color="auto"/>
            <w:left w:val="none" w:sz="0" w:space="0" w:color="auto"/>
            <w:bottom w:val="none" w:sz="0" w:space="0" w:color="auto"/>
            <w:right w:val="none" w:sz="0" w:space="0" w:color="auto"/>
          </w:divBdr>
        </w:div>
        <w:div w:id="683899542">
          <w:marLeft w:val="1296"/>
          <w:marRight w:val="0"/>
          <w:marTop w:val="0"/>
          <w:marBottom w:val="68"/>
          <w:divBdr>
            <w:top w:val="none" w:sz="0" w:space="0" w:color="auto"/>
            <w:left w:val="none" w:sz="0" w:space="0" w:color="auto"/>
            <w:bottom w:val="none" w:sz="0" w:space="0" w:color="auto"/>
            <w:right w:val="none" w:sz="0" w:space="0" w:color="auto"/>
          </w:divBdr>
        </w:div>
        <w:div w:id="1918324023">
          <w:marLeft w:val="1296"/>
          <w:marRight w:val="0"/>
          <w:marTop w:val="0"/>
          <w:marBottom w:val="68"/>
          <w:divBdr>
            <w:top w:val="none" w:sz="0" w:space="0" w:color="auto"/>
            <w:left w:val="none" w:sz="0" w:space="0" w:color="auto"/>
            <w:bottom w:val="none" w:sz="0" w:space="0" w:color="auto"/>
            <w:right w:val="none" w:sz="0" w:space="0" w:color="auto"/>
          </w:divBdr>
        </w:div>
        <w:div w:id="1149370428">
          <w:marLeft w:val="1296"/>
          <w:marRight w:val="0"/>
          <w:marTop w:val="0"/>
          <w:marBottom w:val="68"/>
          <w:divBdr>
            <w:top w:val="none" w:sz="0" w:space="0" w:color="auto"/>
            <w:left w:val="none" w:sz="0" w:space="0" w:color="auto"/>
            <w:bottom w:val="none" w:sz="0" w:space="0" w:color="auto"/>
            <w:right w:val="none" w:sz="0" w:space="0" w:color="auto"/>
          </w:divBdr>
        </w:div>
        <w:div w:id="1972975043">
          <w:marLeft w:val="1296"/>
          <w:marRight w:val="0"/>
          <w:marTop w:val="0"/>
          <w:marBottom w:val="68"/>
          <w:divBdr>
            <w:top w:val="none" w:sz="0" w:space="0" w:color="auto"/>
            <w:left w:val="none" w:sz="0" w:space="0" w:color="auto"/>
            <w:bottom w:val="none" w:sz="0" w:space="0" w:color="auto"/>
            <w:right w:val="none" w:sz="0" w:space="0" w:color="auto"/>
          </w:divBdr>
        </w:div>
        <w:div w:id="517275821">
          <w:marLeft w:val="1296"/>
          <w:marRight w:val="0"/>
          <w:marTop w:val="0"/>
          <w:marBottom w:val="68"/>
          <w:divBdr>
            <w:top w:val="none" w:sz="0" w:space="0" w:color="auto"/>
            <w:left w:val="none" w:sz="0" w:space="0" w:color="auto"/>
            <w:bottom w:val="none" w:sz="0" w:space="0" w:color="auto"/>
            <w:right w:val="none" w:sz="0" w:space="0" w:color="auto"/>
          </w:divBdr>
        </w:div>
        <w:div w:id="1664697650">
          <w:marLeft w:val="864"/>
          <w:marRight w:val="0"/>
          <w:marTop w:val="0"/>
          <w:marBottom w:val="68"/>
          <w:divBdr>
            <w:top w:val="none" w:sz="0" w:space="0" w:color="auto"/>
            <w:left w:val="none" w:sz="0" w:space="0" w:color="auto"/>
            <w:bottom w:val="none" w:sz="0" w:space="0" w:color="auto"/>
            <w:right w:val="none" w:sz="0" w:space="0" w:color="auto"/>
          </w:divBdr>
        </w:div>
        <w:div w:id="652638880">
          <w:marLeft w:val="864"/>
          <w:marRight w:val="0"/>
          <w:marTop w:val="0"/>
          <w:marBottom w:val="68"/>
          <w:divBdr>
            <w:top w:val="none" w:sz="0" w:space="0" w:color="auto"/>
            <w:left w:val="none" w:sz="0" w:space="0" w:color="auto"/>
            <w:bottom w:val="none" w:sz="0" w:space="0" w:color="auto"/>
            <w:right w:val="none" w:sz="0" w:space="0" w:color="auto"/>
          </w:divBdr>
        </w:div>
        <w:div w:id="1851480058">
          <w:marLeft w:val="864"/>
          <w:marRight w:val="0"/>
          <w:marTop w:val="0"/>
          <w:marBottom w:val="68"/>
          <w:divBdr>
            <w:top w:val="none" w:sz="0" w:space="0" w:color="auto"/>
            <w:left w:val="none" w:sz="0" w:space="0" w:color="auto"/>
            <w:bottom w:val="none" w:sz="0" w:space="0" w:color="auto"/>
            <w:right w:val="none" w:sz="0" w:space="0" w:color="auto"/>
          </w:divBdr>
        </w:div>
        <w:div w:id="588930166">
          <w:marLeft w:val="0"/>
          <w:marRight w:val="0"/>
          <w:marTop w:val="0"/>
          <w:marBottom w:val="68"/>
          <w:divBdr>
            <w:top w:val="none" w:sz="0" w:space="0" w:color="auto"/>
            <w:left w:val="none" w:sz="0" w:space="0" w:color="auto"/>
            <w:bottom w:val="none" w:sz="0" w:space="0" w:color="auto"/>
            <w:right w:val="none" w:sz="0" w:space="0" w:color="auto"/>
          </w:divBdr>
        </w:div>
        <w:div w:id="1010109573">
          <w:marLeft w:val="864"/>
          <w:marRight w:val="0"/>
          <w:marTop w:val="0"/>
          <w:marBottom w:val="68"/>
          <w:divBdr>
            <w:top w:val="none" w:sz="0" w:space="0" w:color="auto"/>
            <w:left w:val="none" w:sz="0" w:space="0" w:color="auto"/>
            <w:bottom w:val="none" w:sz="0" w:space="0" w:color="auto"/>
            <w:right w:val="none" w:sz="0" w:space="0" w:color="auto"/>
          </w:divBdr>
        </w:div>
        <w:div w:id="1482648102">
          <w:marLeft w:val="864"/>
          <w:marRight w:val="0"/>
          <w:marTop w:val="0"/>
          <w:marBottom w:val="68"/>
          <w:divBdr>
            <w:top w:val="none" w:sz="0" w:space="0" w:color="auto"/>
            <w:left w:val="none" w:sz="0" w:space="0" w:color="auto"/>
            <w:bottom w:val="none" w:sz="0" w:space="0" w:color="auto"/>
            <w:right w:val="none" w:sz="0" w:space="0" w:color="auto"/>
          </w:divBdr>
        </w:div>
        <w:div w:id="1839735645">
          <w:marLeft w:val="0"/>
          <w:marRight w:val="0"/>
          <w:marTop w:val="0"/>
          <w:marBottom w:val="68"/>
          <w:divBdr>
            <w:top w:val="none" w:sz="0" w:space="0" w:color="auto"/>
            <w:left w:val="none" w:sz="0" w:space="0" w:color="auto"/>
            <w:bottom w:val="none" w:sz="0" w:space="0" w:color="auto"/>
            <w:right w:val="none" w:sz="0" w:space="0" w:color="auto"/>
          </w:divBdr>
        </w:div>
        <w:div w:id="1045108288">
          <w:marLeft w:val="0"/>
          <w:marRight w:val="0"/>
          <w:marTop w:val="0"/>
          <w:marBottom w:val="68"/>
          <w:divBdr>
            <w:top w:val="none" w:sz="0" w:space="0" w:color="auto"/>
            <w:left w:val="none" w:sz="0" w:space="0" w:color="auto"/>
            <w:bottom w:val="none" w:sz="0" w:space="0" w:color="auto"/>
            <w:right w:val="none" w:sz="0" w:space="0" w:color="auto"/>
          </w:divBdr>
        </w:div>
        <w:div w:id="857499049">
          <w:marLeft w:val="864"/>
          <w:marRight w:val="0"/>
          <w:marTop w:val="0"/>
          <w:marBottom w:val="68"/>
          <w:divBdr>
            <w:top w:val="none" w:sz="0" w:space="0" w:color="auto"/>
            <w:left w:val="none" w:sz="0" w:space="0" w:color="auto"/>
            <w:bottom w:val="none" w:sz="0" w:space="0" w:color="auto"/>
            <w:right w:val="none" w:sz="0" w:space="0" w:color="auto"/>
          </w:divBdr>
        </w:div>
        <w:div w:id="583994670">
          <w:marLeft w:val="1296"/>
          <w:marRight w:val="0"/>
          <w:marTop w:val="0"/>
          <w:marBottom w:val="68"/>
          <w:divBdr>
            <w:top w:val="none" w:sz="0" w:space="0" w:color="auto"/>
            <w:left w:val="none" w:sz="0" w:space="0" w:color="auto"/>
            <w:bottom w:val="none" w:sz="0" w:space="0" w:color="auto"/>
            <w:right w:val="none" w:sz="0" w:space="0" w:color="auto"/>
          </w:divBdr>
        </w:div>
        <w:div w:id="745879364">
          <w:marLeft w:val="1296"/>
          <w:marRight w:val="0"/>
          <w:marTop w:val="0"/>
          <w:marBottom w:val="68"/>
          <w:divBdr>
            <w:top w:val="none" w:sz="0" w:space="0" w:color="auto"/>
            <w:left w:val="none" w:sz="0" w:space="0" w:color="auto"/>
            <w:bottom w:val="none" w:sz="0" w:space="0" w:color="auto"/>
            <w:right w:val="none" w:sz="0" w:space="0" w:color="auto"/>
          </w:divBdr>
        </w:div>
        <w:div w:id="1303729585">
          <w:marLeft w:val="1728"/>
          <w:marRight w:val="0"/>
          <w:marTop w:val="0"/>
          <w:marBottom w:val="68"/>
          <w:divBdr>
            <w:top w:val="none" w:sz="0" w:space="0" w:color="auto"/>
            <w:left w:val="none" w:sz="0" w:space="0" w:color="auto"/>
            <w:bottom w:val="none" w:sz="0" w:space="0" w:color="auto"/>
            <w:right w:val="none" w:sz="0" w:space="0" w:color="auto"/>
          </w:divBdr>
        </w:div>
        <w:div w:id="243220524">
          <w:marLeft w:val="1728"/>
          <w:marRight w:val="0"/>
          <w:marTop w:val="0"/>
          <w:marBottom w:val="68"/>
          <w:divBdr>
            <w:top w:val="none" w:sz="0" w:space="0" w:color="auto"/>
            <w:left w:val="none" w:sz="0" w:space="0" w:color="auto"/>
            <w:bottom w:val="none" w:sz="0" w:space="0" w:color="auto"/>
            <w:right w:val="none" w:sz="0" w:space="0" w:color="auto"/>
          </w:divBdr>
        </w:div>
        <w:div w:id="58676172">
          <w:marLeft w:val="1296"/>
          <w:marRight w:val="0"/>
          <w:marTop w:val="0"/>
          <w:marBottom w:val="101"/>
          <w:divBdr>
            <w:top w:val="none" w:sz="0" w:space="0" w:color="auto"/>
            <w:left w:val="none" w:sz="0" w:space="0" w:color="auto"/>
            <w:bottom w:val="none" w:sz="0" w:space="0" w:color="auto"/>
            <w:right w:val="none" w:sz="0" w:space="0" w:color="auto"/>
          </w:divBdr>
        </w:div>
        <w:div w:id="1486822648">
          <w:marLeft w:val="1296"/>
          <w:marRight w:val="0"/>
          <w:marTop w:val="0"/>
          <w:marBottom w:val="101"/>
          <w:divBdr>
            <w:top w:val="none" w:sz="0" w:space="0" w:color="auto"/>
            <w:left w:val="none" w:sz="0" w:space="0" w:color="auto"/>
            <w:bottom w:val="none" w:sz="0" w:space="0" w:color="auto"/>
            <w:right w:val="none" w:sz="0" w:space="0" w:color="auto"/>
          </w:divBdr>
        </w:div>
        <w:div w:id="1795053107">
          <w:marLeft w:val="1296"/>
          <w:marRight w:val="0"/>
          <w:marTop w:val="0"/>
          <w:marBottom w:val="101"/>
          <w:divBdr>
            <w:top w:val="none" w:sz="0" w:space="0" w:color="auto"/>
            <w:left w:val="none" w:sz="0" w:space="0" w:color="auto"/>
            <w:bottom w:val="none" w:sz="0" w:space="0" w:color="auto"/>
            <w:right w:val="none" w:sz="0" w:space="0" w:color="auto"/>
          </w:divBdr>
        </w:div>
        <w:div w:id="1924337222">
          <w:marLeft w:val="1296"/>
          <w:marRight w:val="0"/>
          <w:marTop w:val="0"/>
          <w:marBottom w:val="101"/>
          <w:divBdr>
            <w:top w:val="none" w:sz="0" w:space="0" w:color="auto"/>
            <w:left w:val="none" w:sz="0" w:space="0" w:color="auto"/>
            <w:bottom w:val="none" w:sz="0" w:space="0" w:color="auto"/>
            <w:right w:val="none" w:sz="0" w:space="0" w:color="auto"/>
          </w:divBdr>
        </w:div>
        <w:div w:id="825822189">
          <w:marLeft w:val="1296"/>
          <w:marRight w:val="0"/>
          <w:marTop w:val="0"/>
          <w:marBottom w:val="101"/>
          <w:divBdr>
            <w:top w:val="none" w:sz="0" w:space="0" w:color="auto"/>
            <w:left w:val="none" w:sz="0" w:space="0" w:color="auto"/>
            <w:bottom w:val="none" w:sz="0" w:space="0" w:color="auto"/>
            <w:right w:val="none" w:sz="0" w:space="0" w:color="auto"/>
          </w:divBdr>
        </w:div>
        <w:div w:id="75827455">
          <w:marLeft w:val="1296"/>
          <w:marRight w:val="0"/>
          <w:marTop w:val="0"/>
          <w:marBottom w:val="101"/>
          <w:divBdr>
            <w:top w:val="none" w:sz="0" w:space="0" w:color="auto"/>
            <w:left w:val="none" w:sz="0" w:space="0" w:color="auto"/>
            <w:bottom w:val="none" w:sz="0" w:space="0" w:color="auto"/>
            <w:right w:val="none" w:sz="0" w:space="0" w:color="auto"/>
          </w:divBdr>
        </w:div>
        <w:div w:id="707146070">
          <w:marLeft w:val="864"/>
          <w:marRight w:val="0"/>
          <w:marTop w:val="0"/>
          <w:marBottom w:val="101"/>
          <w:divBdr>
            <w:top w:val="none" w:sz="0" w:space="0" w:color="auto"/>
            <w:left w:val="none" w:sz="0" w:space="0" w:color="auto"/>
            <w:bottom w:val="none" w:sz="0" w:space="0" w:color="auto"/>
            <w:right w:val="none" w:sz="0" w:space="0" w:color="auto"/>
          </w:divBdr>
        </w:div>
        <w:div w:id="1308819737">
          <w:marLeft w:val="864"/>
          <w:marRight w:val="0"/>
          <w:marTop w:val="0"/>
          <w:marBottom w:val="101"/>
          <w:divBdr>
            <w:top w:val="none" w:sz="0" w:space="0" w:color="auto"/>
            <w:left w:val="none" w:sz="0" w:space="0" w:color="auto"/>
            <w:bottom w:val="none" w:sz="0" w:space="0" w:color="auto"/>
            <w:right w:val="none" w:sz="0" w:space="0" w:color="auto"/>
          </w:divBdr>
        </w:div>
        <w:div w:id="775248074">
          <w:marLeft w:val="864"/>
          <w:marRight w:val="0"/>
          <w:marTop w:val="0"/>
          <w:marBottom w:val="101"/>
          <w:divBdr>
            <w:top w:val="none" w:sz="0" w:space="0" w:color="auto"/>
            <w:left w:val="none" w:sz="0" w:space="0" w:color="auto"/>
            <w:bottom w:val="none" w:sz="0" w:space="0" w:color="auto"/>
            <w:right w:val="none" w:sz="0" w:space="0" w:color="auto"/>
          </w:divBdr>
        </w:div>
        <w:div w:id="1484003774">
          <w:marLeft w:val="864"/>
          <w:marRight w:val="0"/>
          <w:marTop w:val="0"/>
          <w:marBottom w:val="101"/>
          <w:divBdr>
            <w:top w:val="none" w:sz="0" w:space="0" w:color="auto"/>
            <w:left w:val="none" w:sz="0" w:space="0" w:color="auto"/>
            <w:bottom w:val="none" w:sz="0" w:space="0" w:color="auto"/>
            <w:right w:val="none" w:sz="0" w:space="0" w:color="auto"/>
          </w:divBdr>
        </w:div>
        <w:div w:id="625432317">
          <w:marLeft w:val="1296"/>
          <w:marRight w:val="0"/>
          <w:marTop w:val="0"/>
          <w:marBottom w:val="101"/>
          <w:divBdr>
            <w:top w:val="none" w:sz="0" w:space="0" w:color="auto"/>
            <w:left w:val="none" w:sz="0" w:space="0" w:color="auto"/>
            <w:bottom w:val="none" w:sz="0" w:space="0" w:color="auto"/>
            <w:right w:val="none" w:sz="0" w:space="0" w:color="auto"/>
          </w:divBdr>
        </w:div>
        <w:div w:id="1135686174">
          <w:marLeft w:val="1296"/>
          <w:marRight w:val="0"/>
          <w:marTop w:val="0"/>
          <w:marBottom w:val="101"/>
          <w:divBdr>
            <w:top w:val="none" w:sz="0" w:space="0" w:color="auto"/>
            <w:left w:val="none" w:sz="0" w:space="0" w:color="auto"/>
            <w:bottom w:val="none" w:sz="0" w:space="0" w:color="auto"/>
            <w:right w:val="none" w:sz="0" w:space="0" w:color="auto"/>
          </w:divBdr>
        </w:div>
        <w:div w:id="820006742">
          <w:marLeft w:val="1296"/>
          <w:marRight w:val="0"/>
          <w:marTop w:val="0"/>
          <w:marBottom w:val="101"/>
          <w:divBdr>
            <w:top w:val="none" w:sz="0" w:space="0" w:color="auto"/>
            <w:left w:val="none" w:sz="0" w:space="0" w:color="auto"/>
            <w:bottom w:val="none" w:sz="0" w:space="0" w:color="auto"/>
            <w:right w:val="none" w:sz="0" w:space="0" w:color="auto"/>
          </w:divBdr>
        </w:div>
        <w:div w:id="1057046576">
          <w:marLeft w:val="1296"/>
          <w:marRight w:val="0"/>
          <w:marTop w:val="0"/>
          <w:marBottom w:val="101"/>
          <w:divBdr>
            <w:top w:val="none" w:sz="0" w:space="0" w:color="auto"/>
            <w:left w:val="none" w:sz="0" w:space="0" w:color="auto"/>
            <w:bottom w:val="none" w:sz="0" w:space="0" w:color="auto"/>
            <w:right w:val="none" w:sz="0" w:space="0" w:color="auto"/>
          </w:divBdr>
        </w:div>
        <w:div w:id="125703841">
          <w:marLeft w:val="1296"/>
          <w:marRight w:val="0"/>
          <w:marTop w:val="0"/>
          <w:marBottom w:val="101"/>
          <w:divBdr>
            <w:top w:val="none" w:sz="0" w:space="0" w:color="auto"/>
            <w:left w:val="none" w:sz="0" w:space="0" w:color="auto"/>
            <w:bottom w:val="none" w:sz="0" w:space="0" w:color="auto"/>
            <w:right w:val="none" w:sz="0" w:space="0" w:color="auto"/>
          </w:divBdr>
        </w:div>
        <w:div w:id="961962565">
          <w:marLeft w:val="1296"/>
          <w:marRight w:val="0"/>
          <w:marTop w:val="0"/>
          <w:marBottom w:val="101"/>
          <w:divBdr>
            <w:top w:val="none" w:sz="0" w:space="0" w:color="auto"/>
            <w:left w:val="none" w:sz="0" w:space="0" w:color="auto"/>
            <w:bottom w:val="none" w:sz="0" w:space="0" w:color="auto"/>
            <w:right w:val="none" w:sz="0" w:space="0" w:color="auto"/>
          </w:divBdr>
        </w:div>
        <w:div w:id="525754397">
          <w:marLeft w:val="1296"/>
          <w:marRight w:val="0"/>
          <w:marTop w:val="0"/>
          <w:marBottom w:val="101"/>
          <w:divBdr>
            <w:top w:val="none" w:sz="0" w:space="0" w:color="auto"/>
            <w:left w:val="none" w:sz="0" w:space="0" w:color="auto"/>
            <w:bottom w:val="none" w:sz="0" w:space="0" w:color="auto"/>
            <w:right w:val="none" w:sz="0" w:space="0" w:color="auto"/>
          </w:divBdr>
        </w:div>
        <w:div w:id="1614171844">
          <w:marLeft w:val="1296"/>
          <w:marRight w:val="0"/>
          <w:marTop w:val="0"/>
          <w:marBottom w:val="101"/>
          <w:divBdr>
            <w:top w:val="none" w:sz="0" w:space="0" w:color="auto"/>
            <w:left w:val="none" w:sz="0" w:space="0" w:color="auto"/>
            <w:bottom w:val="none" w:sz="0" w:space="0" w:color="auto"/>
            <w:right w:val="none" w:sz="0" w:space="0" w:color="auto"/>
          </w:divBdr>
        </w:div>
        <w:div w:id="1502235036">
          <w:marLeft w:val="1296"/>
          <w:marRight w:val="0"/>
          <w:marTop w:val="0"/>
          <w:marBottom w:val="101"/>
          <w:divBdr>
            <w:top w:val="none" w:sz="0" w:space="0" w:color="auto"/>
            <w:left w:val="none" w:sz="0" w:space="0" w:color="auto"/>
            <w:bottom w:val="none" w:sz="0" w:space="0" w:color="auto"/>
            <w:right w:val="none" w:sz="0" w:space="0" w:color="auto"/>
          </w:divBdr>
        </w:div>
        <w:div w:id="313417767">
          <w:marLeft w:val="1296"/>
          <w:marRight w:val="0"/>
          <w:marTop w:val="0"/>
          <w:marBottom w:val="101"/>
          <w:divBdr>
            <w:top w:val="none" w:sz="0" w:space="0" w:color="auto"/>
            <w:left w:val="none" w:sz="0" w:space="0" w:color="auto"/>
            <w:bottom w:val="none" w:sz="0" w:space="0" w:color="auto"/>
            <w:right w:val="none" w:sz="0" w:space="0" w:color="auto"/>
          </w:divBdr>
        </w:div>
        <w:div w:id="1825779239">
          <w:marLeft w:val="1296"/>
          <w:marRight w:val="0"/>
          <w:marTop w:val="0"/>
          <w:marBottom w:val="101"/>
          <w:divBdr>
            <w:top w:val="none" w:sz="0" w:space="0" w:color="auto"/>
            <w:left w:val="none" w:sz="0" w:space="0" w:color="auto"/>
            <w:bottom w:val="none" w:sz="0" w:space="0" w:color="auto"/>
            <w:right w:val="none" w:sz="0" w:space="0" w:color="auto"/>
          </w:divBdr>
        </w:div>
        <w:div w:id="803424453">
          <w:marLeft w:val="1296"/>
          <w:marRight w:val="0"/>
          <w:marTop w:val="0"/>
          <w:marBottom w:val="101"/>
          <w:divBdr>
            <w:top w:val="none" w:sz="0" w:space="0" w:color="auto"/>
            <w:left w:val="none" w:sz="0" w:space="0" w:color="auto"/>
            <w:bottom w:val="none" w:sz="0" w:space="0" w:color="auto"/>
            <w:right w:val="none" w:sz="0" w:space="0" w:color="auto"/>
          </w:divBdr>
        </w:div>
        <w:div w:id="1113788992">
          <w:marLeft w:val="864"/>
          <w:marRight w:val="0"/>
          <w:marTop w:val="0"/>
          <w:marBottom w:val="101"/>
          <w:divBdr>
            <w:top w:val="none" w:sz="0" w:space="0" w:color="auto"/>
            <w:left w:val="none" w:sz="0" w:space="0" w:color="auto"/>
            <w:bottom w:val="none" w:sz="0" w:space="0" w:color="auto"/>
            <w:right w:val="none" w:sz="0" w:space="0" w:color="auto"/>
          </w:divBdr>
        </w:div>
        <w:div w:id="1050350696">
          <w:marLeft w:val="1296"/>
          <w:marRight w:val="0"/>
          <w:marTop w:val="0"/>
          <w:marBottom w:val="101"/>
          <w:divBdr>
            <w:top w:val="none" w:sz="0" w:space="0" w:color="auto"/>
            <w:left w:val="none" w:sz="0" w:space="0" w:color="auto"/>
            <w:bottom w:val="none" w:sz="0" w:space="0" w:color="auto"/>
            <w:right w:val="none" w:sz="0" w:space="0" w:color="auto"/>
          </w:divBdr>
        </w:div>
        <w:div w:id="1772818998">
          <w:marLeft w:val="1728"/>
          <w:marRight w:val="0"/>
          <w:marTop w:val="0"/>
          <w:marBottom w:val="101"/>
          <w:divBdr>
            <w:top w:val="none" w:sz="0" w:space="0" w:color="auto"/>
            <w:left w:val="none" w:sz="0" w:space="0" w:color="auto"/>
            <w:bottom w:val="none" w:sz="0" w:space="0" w:color="auto"/>
            <w:right w:val="none" w:sz="0" w:space="0" w:color="auto"/>
          </w:divBdr>
        </w:div>
        <w:div w:id="1021782645">
          <w:marLeft w:val="1728"/>
          <w:marRight w:val="0"/>
          <w:marTop w:val="0"/>
          <w:marBottom w:val="101"/>
          <w:divBdr>
            <w:top w:val="none" w:sz="0" w:space="0" w:color="auto"/>
            <w:left w:val="none" w:sz="0" w:space="0" w:color="auto"/>
            <w:bottom w:val="none" w:sz="0" w:space="0" w:color="auto"/>
            <w:right w:val="none" w:sz="0" w:space="0" w:color="auto"/>
          </w:divBdr>
        </w:div>
        <w:div w:id="1617835022">
          <w:marLeft w:val="1296"/>
          <w:marRight w:val="0"/>
          <w:marTop w:val="0"/>
          <w:marBottom w:val="101"/>
          <w:divBdr>
            <w:top w:val="none" w:sz="0" w:space="0" w:color="auto"/>
            <w:left w:val="none" w:sz="0" w:space="0" w:color="auto"/>
            <w:bottom w:val="none" w:sz="0" w:space="0" w:color="auto"/>
            <w:right w:val="none" w:sz="0" w:space="0" w:color="auto"/>
          </w:divBdr>
        </w:div>
        <w:div w:id="161900321">
          <w:marLeft w:val="1296"/>
          <w:marRight w:val="0"/>
          <w:marTop w:val="0"/>
          <w:marBottom w:val="101"/>
          <w:divBdr>
            <w:top w:val="none" w:sz="0" w:space="0" w:color="auto"/>
            <w:left w:val="none" w:sz="0" w:space="0" w:color="auto"/>
            <w:bottom w:val="none" w:sz="0" w:space="0" w:color="auto"/>
            <w:right w:val="none" w:sz="0" w:space="0" w:color="auto"/>
          </w:divBdr>
        </w:div>
        <w:div w:id="242884528">
          <w:marLeft w:val="1296"/>
          <w:marRight w:val="0"/>
          <w:marTop w:val="0"/>
          <w:marBottom w:val="101"/>
          <w:divBdr>
            <w:top w:val="none" w:sz="0" w:space="0" w:color="auto"/>
            <w:left w:val="none" w:sz="0" w:space="0" w:color="auto"/>
            <w:bottom w:val="none" w:sz="0" w:space="0" w:color="auto"/>
            <w:right w:val="none" w:sz="0" w:space="0" w:color="auto"/>
          </w:divBdr>
        </w:div>
        <w:div w:id="732311166">
          <w:marLeft w:val="1296"/>
          <w:marRight w:val="0"/>
          <w:marTop w:val="0"/>
          <w:marBottom w:val="101"/>
          <w:divBdr>
            <w:top w:val="none" w:sz="0" w:space="0" w:color="auto"/>
            <w:left w:val="none" w:sz="0" w:space="0" w:color="auto"/>
            <w:bottom w:val="none" w:sz="0" w:space="0" w:color="auto"/>
            <w:right w:val="none" w:sz="0" w:space="0" w:color="auto"/>
          </w:divBdr>
        </w:div>
        <w:div w:id="694962281">
          <w:marLeft w:val="1296"/>
          <w:marRight w:val="0"/>
          <w:marTop w:val="0"/>
          <w:marBottom w:val="101"/>
          <w:divBdr>
            <w:top w:val="none" w:sz="0" w:space="0" w:color="auto"/>
            <w:left w:val="none" w:sz="0" w:space="0" w:color="auto"/>
            <w:bottom w:val="none" w:sz="0" w:space="0" w:color="auto"/>
            <w:right w:val="none" w:sz="0" w:space="0" w:color="auto"/>
          </w:divBdr>
        </w:div>
        <w:div w:id="117262207">
          <w:marLeft w:val="1296"/>
          <w:marRight w:val="0"/>
          <w:marTop w:val="0"/>
          <w:marBottom w:val="101"/>
          <w:divBdr>
            <w:top w:val="none" w:sz="0" w:space="0" w:color="auto"/>
            <w:left w:val="none" w:sz="0" w:space="0" w:color="auto"/>
            <w:bottom w:val="none" w:sz="0" w:space="0" w:color="auto"/>
            <w:right w:val="none" w:sz="0" w:space="0" w:color="auto"/>
          </w:divBdr>
        </w:div>
        <w:div w:id="2059889171">
          <w:marLeft w:val="1296"/>
          <w:marRight w:val="0"/>
          <w:marTop w:val="0"/>
          <w:marBottom w:val="101"/>
          <w:divBdr>
            <w:top w:val="none" w:sz="0" w:space="0" w:color="auto"/>
            <w:left w:val="none" w:sz="0" w:space="0" w:color="auto"/>
            <w:bottom w:val="none" w:sz="0" w:space="0" w:color="auto"/>
            <w:right w:val="none" w:sz="0" w:space="0" w:color="auto"/>
          </w:divBdr>
        </w:div>
        <w:div w:id="190188345">
          <w:marLeft w:val="1296"/>
          <w:marRight w:val="0"/>
          <w:marTop w:val="0"/>
          <w:marBottom w:val="101"/>
          <w:divBdr>
            <w:top w:val="none" w:sz="0" w:space="0" w:color="auto"/>
            <w:left w:val="none" w:sz="0" w:space="0" w:color="auto"/>
            <w:bottom w:val="none" w:sz="0" w:space="0" w:color="auto"/>
            <w:right w:val="none" w:sz="0" w:space="0" w:color="auto"/>
          </w:divBdr>
        </w:div>
        <w:div w:id="222720977">
          <w:marLeft w:val="1296"/>
          <w:marRight w:val="0"/>
          <w:marTop w:val="0"/>
          <w:marBottom w:val="101"/>
          <w:divBdr>
            <w:top w:val="none" w:sz="0" w:space="0" w:color="auto"/>
            <w:left w:val="none" w:sz="0" w:space="0" w:color="auto"/>
            <w:bottom w:val="none" w:sz="0" w:space="0" w:color="auto"/>
            <w:right w:val="none" w:sz="0" w:space="0" w:color="auto"/>
          </w:divBdr>
        </w:div>
        <w:div w:id="873230649">
          <w:marLeft w:val="1296"/>
          <w:marRight w:val="0"/>
          <w:marTop w:val="0"/>
          <w:marBottom w:val="101"/>
          <w:divBdr>
            <w:top w:val="none" w:sz="0" w:space="0" w:color="auto"/>
            <w:left w:val="none" w:sz="0" w:space="0" w:color="auto"/>
            <w:bottom w:val="none" w:sz="0" w:space="0" w:color="auto"/>
            <w:right w:val="none" w:sz="0" w:space="0" w:color="auto"/>
          </w:divBdr>
        </w:div>
        <w:div w:id="1394694971">
          <w:marLeft w:val="1296"/>
          <w:marRight w:val="0"/>
          <w:marTop w:val="0"/>
          <w:marBottom w:val="101"/>
          <w:divBdr>
            <w:top w:val="none" w:sz="0" w:space="0" w:color="auto"/>
            <w:left w:val="none" w:sz="0" w:space="0" w:color="auto"/>
            <w:bottom w:val="none" w:sz="0" w:space="0" w:color="auto"/>
            <w:right w:val="none" w:sz="0" w:space="0" w:color="auto"/>
          </w:divBdr>
        </w:div>
        <w:div w:id="444466419">
          <w:marLeft w:val="1296"/>
          <w:marRight w:val="0"/>
          <w:marTop w:val="0"/>
          <w:marBottom w:val="101"/>
          <w:divBdr>
            <w:top w:val="none" w:sz="0" w:space="0" w:color="auto"/>
            <w:left w:val="none" w:sz="0" w:space="0" w:color="auto"/>
            <w:bottom w:val="none" w:sz="0" w:space="0" w:color="auto"/>
            <w:right w:val="none" w:sz="0" w:space="0" w:color="auto"/>
          </w:divBdr>
        </w:div>
        <w:div w:id="1662541215">
          <w:marLeft w:val="1296"/>
          <w:marRight w:val="0"/>
          <w:marTop w:val="0"/>
          <w:marBottom w:val="101"/>
          <w:divBdr>
            <w:top w:val="none" w:sz="0" w:space="0" w:color="auto"/>
            <w:left w:val="none" w:sz="0" w:space="0" w:color="auto"/>
            <w:bottom w:val="none" w:sz="0" w:space="0" w:color="auto"/>
            <w:right w:val="none" w:sz="0" w:space="0" w:color="auto"/>
          </w:divBdr>
        </w:div>
        <w:div w:id="978417298">
          <w:marLeft w:val="1296"/>
          <w:marRight w:val="0"/>
          <w:marTop w:val="0"/>
          <w:marBottom w:val="101"/>
          <w:divBdr>
            <w:top w:val="none" w:sz="0" w:space="0" w:color="auto"/>
            <w:left w:val="none" w:sz="0" w:space="0" w:color="auto"/>
            <w:bottom w:val="none" w:sz="0" w:space="0" w:color="auto"/>
            <w:right w:val="none" w:sz="0" w:space="0" w:color="auto"/>
          </w:divBdr>
        </w:div>
        <w:div w:id="1936748646">
          <w:marLeft w:val="1296"/>
          <w:marRight w:val="0"/>
          <w:marTop w:val="0"/>
          <w:marBottom w:val="101"/>
          <w:divBdr>
            <w:top w:val="none" w:sz="0" w:space="0" w:color="auto"/>
            <w:left w:val="none" w:sz="0" w:space="0" w:color="auto"/>
            <w:bottom w:val="none" w:sz="0" w:space="0" w:color="auto"/>
            <w:right w:val="none" w:sz="0" w:space="0" w:color="auto"/>
          </w:divBdr>
        </w:div>
        <w:div w:id="575549668">
          <w:marLeft w:val="864"/>
          <w:marRight w:val="0"/>
          <w:marTop w:val="0"/>
          <w:marBottom w:val="101"/>
          <w:divBdr>
            <w:top w:val="none" w:sz="0" w:space="0" w:color="auto"/>
            <w:left w:val="none" w:sz="0" w:space="0" w:color="auto"/>
            <w:bottom w:val="none" w:sz="0" w:space="0" w:color="auto"/>
            <w:right w:val="none" w:sz="0" w:space="0" w:color="auto"/>
          </w:divBdr>
        </w:div>
        <w:div w:id="648175504">
          <w:marLeft w:val="1296"/>
          <w:marRight w:val="0"/>
          <w:marTop w:val="0"/>
          <w:marBottom w:val="101"/>
          <w:divBdr>
            <w:top w:val="none" w:sz="0" w:space="0" w:color="auto"/>
            <w:left w:val="none" w:sz="0" w:space="0" w:color="auto"/>
            <w:bottom w:val="none" w:sz="0" w:space="0" w:color="auto"/>
            <w:right w:val="none" w:sz="0" w:space="0" w:color="auto"/>
          </w:divBdr>
        </w:div>
        <w:div w:id="1265309529">
          <w:marLeft w:val="1296"/>
          <w:marRight w:val="0"/>
          <w:marTop w:val="0"/>
          <w:marBottom w:val="101"/>
          <w:divBdr>
            <w:top w:val="none" w:sz="0" w:space="0" w:color="auto"/>
            <w:left w:val="none" w:sz="0" w:space="0" w:color="auto"/>
            <w:bottom w:val="none" w:sz="0" w:space="0" w:color="auto"/>
            <w:right w:val="none" w:sz="0" w:space="0" w:color="auto"/>
          </w:divBdr>
        </w:div>
        <w:div w:id="1342706263">
          <w:marLeft w:val="1728"/>
          <w:marRight w:val="0"/>
          <w:marTop w:val="0"/>
          <w:marBottom w:val="101"/>
          <w:divBdr>
            <w:top w:val="none" w:sz="0" w:space="0" w:color="auto"/>
            <w:left w:val="none" w:sz="0" w:space="0" w:color="auto"/>
            <w:bottom w:val="none" w:sz="0" w:space="0" w:color="auto"/>
            <w:right w:val="none" w:sz="0" w:space="0" w:color="auto"/>
          </w:divBdr>
        </w:div>
        <w:div w:id="333263464">
          <w:marLeft w:val="1728"/>
          <w:marRight w:val="0"/>
          <w:marTop w:val="0"/>
          <w:marBottom w:val="101"/>
          <w:divBdr>
            <w:top w:val="none" w:sz="0" w:space="0" w:color="auto"/>
            <w:left w:val="none" w:sz="0" w:space="0" w:color="auto"/>
            <w:bottom w:val="none" w:sz="0" w:space="0" w:color="auto"/>
            <w:right w:val="none" w:sz="0" w:space="0" w:color="auto"/>
          </w:divBdr>
        </w:div>
        <w:div w:id="1701936022">
          <w:marLeft w:val="1728"/>
          <w:marRight w:val="0"/>
          <w:marTop w:val="0"/>
          <w:marBottom w:val="101"/>
          <w:divBdr>
            <w:top w:val="none" w:sz="0" w:space="0" w:color="auto"/>
            <w:left w:val="none" w:sz="0" w:space="0" w:color="auto"/>
            <w:bottom w:val="none" w:sz="0" w:space="0" w:color="auto"/>
            <w:right w:val="none" w:sz="0" w:space="0" w:color="auto"/>
          </w:divBdr>
        </w:div>
        <w:div w:id="1493175131">
          <w:marLeft w:val="1296"/>
          <w:marRight w:val="0"/>
          <w:marTop w:val="0"/>
          <w:marBottom w:val="101"/>
          <w:divBdr>
            <w:top w:val="none" w:sz="0" w:space="0" w:color="auto"/>
            <w:left w:val="none" w:sz="0" w:space="0" w:color="auto"/>
            <w:bottom w:val="none" w:sz="0" w:space="0" w:color="auto"/>
            <w:right w:val="none" w:sz="0" w:space="0" w:color="auto"/>
          </w:divBdr>
        </w:div>
        <w:div w:id="846288402">
          <w:marLeft w:val="1296"/>
          <w:marRight w:val="0"/>
          <w:marTop w:val="0"/>
          <w:marBottom w:val="101"/>
          <w:divBdr>
            <w:top w:val="none" w:sz="0" w:space="0" w:color="auto"/>
            <w:left w:val="none" w:sz="0" w:space="0" w:color="auto"/>
            <w:bottom w:val="none" w:sz="0" w:space="0" w:color="auto"/>
            <w:right w:val="none" w:sz="0" w:space="0" w:color="auto"/>
          </w:divBdr>
        </w:div>
        <w:div w:id="131873720">
          <w:marLeft w:val="1296"/>
          <w:marRight w:val="0"/>
          <w:marTop w:val="0"/>
          <w:marBottom w:val="101"/>
          <w:divBdr>
            <w:top w:val="none" w:sz="0" w:space="0" w:color="auto"/>
            <w:left w:val="none" w:sz="0" w:space="0" w:color="auto"/>
            <w:bottom w:val="none" w:sz="0" w:space="0" w:color="auto"/>
            <w:right w:val="none" w:sz="0" w:space="0" w:color="auto"/>
          </w:divBdr>
        </w:div>
        <w:div w:id="146947676">
          <w:marLeft w:val="1296"/>
          <w:marRight w:val="0"/>
          <w:marTop w:val="0"/>
          <w:marBottom w:val="101"/>
          <w:divBdr>
            <w:top w:val="none" w:sz="0" w:space="0" w:color="auto"/>
            <w:left w:val="none" w:sz="0" w:space="0" w:color="auto"/>
            <w:bottom w:val="none" w:sz="0" w:space="0" w:color="auto"/>
            <w:right w:val="none" w:sz="0" w:space="0" w:color="auto"/>
          </w:divBdr>
        </w:div>
        <w:div w:id="1726181001">
          <w:marLeft w:val="1296"/>
          <w:marRight w:val="0"/>
          <w:marTop w:val="0"/>
          <w:marBottom w:val="101"/>
          <w:divBdr>
            <w:top w:val="none" w:sz="0" w:space="0" w:color="auto"/>
            <w:left w:val="none" w:sz="0" w:space="0" w:color="auto"/>
            <w:bottom w:val="none" w:sz="0" w:space="0" w:color="auto"/>
            <w:right w:val="none" w:sz="0" w:space="0" w:color="auto"/>
          </w:divBdr>
        </w:div>
        <w:div w:id="755056963">
          <w:marLeft w:val="1296"/>
          <w:marRight w:val="0"/>
          <w:marTop w:val="0"/>
          <w:marBottom w:val="101"/>
          <w:divBdr>
            <w:top w:val="none" w:sz="0" w:space="0" w:color="auto"/>
            <w:left w:val="none" w:sz="0" w:space="0" w:color="auto"/>
            <w:bottom w:val="none" w:sz="0" w:space="0" w:color="auto"/>
            <w:right w:val="none" w:sz="0" w:space="0" w:color="auto"/>
          </w:divBdr>
        </w:div>
        <w:div w:id="967664268">
          <w:marLeft w:val="1296"/>
          <w:marRight w:val="0"/>
          <w:marTop w:val="0"/>
          <w:marBottom w:val="101"/>
          <w:divBdr>
            <w:top w:val="none" w:sz="0" w:space="0" w:color="auto"/>
            <w:left w:val="none" w:sz="0" w:space="0" w:color="auto"/>
            <w:bottom w:val="none" w:sz="0" w:space="0" w:color="auto"/>
            <w:right w:val="none" w:sz="0" w:space="0" w:color="auto"/>
          </w:divBdr>
        </w:div>
        <w:div w:id="957951507">
          <w:marLeft w:val="1296"/>
          <w:marRight w:val="0"/>
          <w:marTop w:val="0"/>
          <w:marBottom w:val="101"/>
          <w:divBdr>
            <w:top w:val="none" w:sz="0" w:space="0" w:color="auto"/>
            <w:left w:val="none" w:sz="0" w:space="0" w:color="auto"/>
            <w:bottom w:val="none" w:sz="0" w:space="0" w:color="auto"/>
            <w:right w:val="none" w:sz="0" w:space="0" w:color="auto"/>
          </w:divBdr>
        </w:div>
        <w:div w:id="739131351">
          <w:marLeft w:val="0"/>
          <w:marRight w:val="0"/>
          <w:marTop w:val="0"/>
          <w:marBottom w:val="101"/>
          <w:divBdr>
            <w:top w:val="none" w:sz="0" w:space="0" w:color="auto"/>
            <w:left w:val="none" w:sz="0" w:space="0" w:color="auto"/>
            <w:bottom w:val="none" w:sz="0" w:space="0" w:color="auto"/>
            <w:right w:val="none" w:sz="0" w:space="0" w:color="auto"/>
          </w:divBdr>
        </w:div>
        <w:div w:id="1195532479">
          <w:marLeft w:val="0"/>
          <w:marRight w:val="0"/>
          <w:marTop w:val="0"/>
          <w:marBottom w:val="101"/>
          <w:divBdr>
            <w:top w:val="none" w:sz="0" w:space="0" w:color="auto"/>
            <w:left w:val="none" w:sz="0" w:space="0" w:color="auto"/>
            <w:bottom w:val="none" w:sz="0" w:space="0" w:color="auto"/>
            <w:right w:val="none" w:sz="0" w:space="0" w:color="auto"/>
          </w:divBdr>
        </w:div>
        <w:div w:id="480973383">
          <w:marLeft w:val="0"/>
          <w:marRight w:val="0"/>
          <w:marTop w:val="0"/>
          <w:marBottom w:val="101"/>
          <w:divBdr>
            <w:top w:val="none" w:sz="0" w:space="0" w:color="auto"/>
            <w:left w:val="none" w:sz="0" w:space="0" w:color="auto"/>
            <w:bottom w:val="none" w:sz="0" w:space="0" w:color="auto"/>
            <w:right w:val="none" w:sz="0" w:space="0" w:color="auto"/>
          </w:divBdr>
        </w:div>
        <w:div w:id="1064530066">
          <w:marLeft w:val="0"/>
          <w:marRight w:val="0"/>
          <w:marTop w:val="0"/>
          <w:marBottom w:val="101"/>
          <w:divBdr>
            <w:top w:val="none" w:sz="0" w:space="0" w:color="auto"/>
            <w:left w:val="none" w:sz="0" w:space="0" w:color="auto"/>
            <w:bottom w:val="none" w:sz="0" w:space="0" w:color="auto"/>
            <w:right w:val="none" w:sz="0" w:space="0" w:color="auto"/>
          </w:divBdr>
        </w:div>
        <w:div w:id="1089544676">
          <w:marLeft w:val="0"/>
          <w:marRight w:val="0"/>
          <w:marTop w:val="0"/>
          <w:marBottom w:val="101"/>
          <w:divBdr>
            <w:top w:val="none" w:sz="0" w:space="0" w:color="auto"/>
            <w:left w:val="none" w:sz="0" w:space="0" w:color="auto"/>
            <w:bottom w:val="none" w:sz="0" w:space="0" w:color="auto"/>
            <w:right w:val="none" w:sz="0" w:space="0" w:color="auto"/>
          </w:divBdr>
        </w:div>
        <w:div w:id="811750535">
          <w:marLeft w:val="0"/>
          <w:marRight w:val="0"/>
          <w:marTop w:val="0"/>
          <w:marBottom w:val="101"/>
          <w:divBdr>
            <w:top w:val="none" w:sz="0" w:space="0" w:color="auto"/>
            <w:left w:val="none" w:sz="0" w:space="0" w:color="auto"/>
            <w:bottom w:val="none" w:sz="0" w:space="0" w:color="auto"/>
            <w:right w:val="none" w:sz="0" w:space="0" w:color="auto"/>
          </w:divBdr>
        </w:div>
        <w:div w:id="1293707985">
          <w:marLeft w:val="0"/>
          <w:marRight w:val="0"/>
          <w:marTop w:val="0"/>
          <w:marBottom w:val="101"/>
          <w:divBdr>
            <w:top w:val="none" w:sz="0" w:space="0" w:color="auto"/>
            <w:left w:val="none" w:sz="0" w:space="0" w:color="auto"/>
            <w:bottom w:val="none" w:sz="0" w:space="0" w:color="auto"/>
            <w:right w:val="none" w:sz="0" w:space="0" w:color="auto"/>
          </w:divBdr>
        </w:div>
        <w:div w:id="68305693">
          <w:marLeft w:val="0"/>
          <w:marRight w:val="0"/>
          <w:marTop w:val="0"/>
          <w:marBottom w:val="101"/>
          <w:divBdr>
            <w:top w:val="none" w:sz="0" w:space="0" w:color="auto"/>
            <w:left w:val="none" w:sz="0" w:space="0" w:color="auto"/>
            <w:bottom w:val="none" w:sz="0" w:space="0" w:color="auto"/>
            <w:right w:val="none" w:sz="0" w:space="0" w:color="auto"/>
          </w:divBdr>
        </w:div>
        <w:div w:id="1441293660">
          <w:marLeft w:val="0"/>
          <w:marRight w:val="0"/>
          <w:marTop w:val="0"/>
          <w:marBottom w:val="101"/>
          <w:divBdr>
            <w:top w:val="none" w:sz="0" w:space="0" w:color="auto"/>
            <w:left w:val="none" w:sz="0" w:space="0" w:color="auto"/>
            <w:bottom w:val="none" w:sz="0" w:space="0" w:color="auto"/>
            <w:right w:val="none" w:sz="0" w:space="0" w:color="auto"/>
          </w:divBdr>
        </w:div>
        <w:div w:id="770510174">
          <w:marLeft w:val="0"/>
          <w:marRight w:val="0"/>
          <w:marTop w:val="0"/>
          <w:marBottom w:val="101"/>
          <w:divBdr>
            <w:top w:val="none" w:sz="0" w:space="0" w:color="auto"/>
            <w:left w:val="none" w:sz="0" w:space="0" w:color="auto"/>
            <w:bottom w:val="none" w:sz="0" w:space="0" w:color="auto"/>
            <w:right w:val="none" w:sz="0" w:space="0" w:color="auto"/>
          </w:divBdr>
        </w:div>
        <w:div w:id="1332903602">
          <w:marLeft w:val="864"/>
          <w:marRight w:val="0"/>
          <w:marTop w:val="0"/>
          <w:marBottom w:val="101"/>
          <w:divBdr>
            <w:top w:val="none" w:sz="0" w:space="0" w:color="auto"/>
            <w:left w:val="none" w:sz="0" w:space="0" w:color="auto"/>
            <w:bottom w:val="none" w:sz="0" w:space="0" w:color="auto"/>
            <w:right w:val="none" w:sz="0" w:space="0" w:color="auto"/>
          </w:divBdr>
        </w:div>
        <w:div w:id="780102501">
          <w:marLeft w:val="864"/>
          <w:marRight w:val="0"/>
          <w:marTop w:val="0"/>
          <w:marBottom w:val="101"/>
          <w:divBdr>
            <w:top w:val="none" w:sz="0" w:space="0" w:color="auto"/>
            <w:left w:val="none" w:sz="0" w:space="0" w:color="auto"/>
            <w:bottom w:val="none" w:sz="0" w:space="0" w:color="auto"/>
            <w:right w:val="none" w:sz="0" w:space="0" w:color="auto"/>
          </w:divBdr>
        </w:div>
        <w:div w:id="556860645">
          <w:marLeft w:val="864"/>
          <w:marRight w:val="0"/>
          <w:marTop w:val="0"/>
          <w:marBottom w:val="101"/>
          <w:divBdr>
            <w:top w:val="none" w:sz="0" w:space="0" w:color="auto"/>
            <w:left w:val="none" w:sz="0" w:space="0" w:color="auto"/>
            <w:bottom w:val="none" w:sz="0" w:space="0" w:color="auto"/>
            <w:right w:val="none" w:sz="0" w:space="0" w:color="auto"/>
          </w:divBdr>
        </w:div>
        <w:div w:id="1217624589">
          <w:marLeft w:val="864"/>
          <w:marRight w:val="0"/>
          <w:marTop w:val="0"/>
          <w:marBottom w:val="101"/>
          <w:divBdr>
            <w:top w:val="none" w:sz="0" w:space="0" w:color="auto"/>
            <w:left w:val="none" w:sz="0" w:space="0" w:color="auto"/>
            <w:bottom w:val="none" w:sz="0" w:space="0" w:color="auto"/>
            <w:right w:val="none" w:sz="0" w:space="0" w:color="auto"/>
          </w:divBdr>
        </w:div>
        <w:div w:id="1865509119">
          <w:marLeft w:val="864"/>
          <w:marRight w:val="0"/>
          <w:marTop w:val="0"/>
          <w:marBottom w:val="101"/>
          <w:divBdr>
            <w:top w:val="none" w:sz="0" w:space="0" w:color="auto"/>
            <w:left w:val="none" w:sz="0" w:space="0" w:color="auto"/>
            <w:bottom w:val="none" w:sz="0" w:space="0" w:color="auto"/>
            <w:right w:val="none" w:sz="0" w:space="0" w:color="auto"/>
          </w:divBdr>
        </w:div>
        <w:div w:id="690380158">
          <w:marLeft w:val="864"/>
          <w:marRight w:val="0"/>
          <w:marTop w:val="0"/>
          <w:marBottom w:val="101"/>
          <w:divBdr>
            <w:top w:val="none" w:sz="0" w:space="0" w:color="auto"/>
            <w:left w:val="none" w:sz="0" w:space="0" w:color="auto"/>
            <w:bottom w:val="none" w:sz="0" w:space="0" w:color="auto"/>
            <w:right w:val="none" w:sz="0" w:space="0" w:color="auto"/>
          </w:divBdr>
        </w:div>
        <w:div w:id="1596210397">
          <w:marLeft w:val="0"/>
          <w:marRight w:val="0"/>
          <w:marTop w:val="0"/>
          <w:marBottom w:val="101"/>
          <w:divBdr>
            <w:top w:val="none" w:sz="0" w:space="0" w:color="auto"/>
            <w:left w:val="none" w:sz="0" w:space="0" w:color="auto"/>
            <w:bottom w:val="none" w:sz="0" w:space="0" w:color="auto"/>
            <w:right w:val="none" w:sz="0" w:space="0" w:color="auto"/>
          </w:divBdr>
        </w:div>
        <w:div w:id="147282441">
          <w:marLeft w:val="0"/>
          <w:marRight w:val="0"/>
          <w:marTop w:val="0"/>
          <w:marBottom w:val="101"/>
          <w:divBdr>
            <w:top w:val="none" w:sz="0" w:space="0" w:color="auto"/>
            <w:left w:val="none" w:sz="0" w:space="0" w:color="auto"/>
            <w:bottom w:val="none" w:sz="0" w:space="0" w:color="auto"/>
            <w:right w:val="none" w:sz="0" w:space="0" w:color="auto"/>
          </w:divBdr>
        </w:div>
        <w:div w:id="514151531">
          <w:marLeft w:val="0"/>
          <w:marRight w:val="0"/>
          <w:marTop w:val="0"/>
          <w:marBottom w:val="101"/>
          <w:divBdr>
            <w:top w:val="none" w:sz="0" w:space="0" w:color="auto"/>
            <w:left w:val="none" w:sz="0" w:space="0" w:color="auto"/>
            <w:bottom w:val="none" w:sz="0" w:space="0" w:color="auto"/>
            <w:right w:val="none" w:sz="0" w:space="0" w:color="auto"/>
          </w:divBdr>
        </w:div>
        <w:div w:id="540901132">
          <w:marLeft w:val="0"/>
          <w:marRight w:val="0"/>
          <w:marTop w:val="0"/>
          <w:marBottom w:val="101"/>
          <w:divBdr>
            <w:top w:val="none" w:sz="0" w:space="0" w:color="auto"/>
            <w:left w:val="none" w:sz="0" w:space="0" w:color="auto"/>
            <w:bottom w:val="none" w:sz="0" w:space="0" w:color="auto"/>
            <w:right w:val="none" w:sz="0" w:space="0" w:color="auto"/>
          </w:divBdr>
        </w:div>
        <w:div w:id="633678429">
          <w:marLeft w:val="0"/>
          <w:marRight w:val="0"/>
          <w:marTop w:val="0"/>
          <w:marBottom w:val="101"/>
          <w:divBdr>
            <w:top w:val="none" w:sz="0" w:space="0" w:color="auto"/>
            <w:left w:val="none" w:sz="0" w:space="0" w:color="auto"/>
            <w:bottom w:val="none" w:sz="0" w:space="0" w:color="auto"/>
            <w:right w:val="none" w:sz="0" w:space="0" w:color="auto"/>
          </w:divBdr>
        </w:div>
        <w:div w:id="1210922701">
          <w:marLeft w:val="864"/>
          <w:marRight w:val="0"/>
          <w:marTop w:val="0"/>
          <w:marBottom w:val="101"/>
          <w:divBdr>
            <w:top w:val="none" w:sz="0" w:space="0" w:color="auto"/>
            <w:left w:val="none" w:sz="0" w:space="0" w:color="auto"/>
            <w:bottom w:val="none" w:sz="0" w:space="0" w:color="auto"/>
            <w:right w:val="none" w:sz="0" w:space="0" w:color="auto"/>
          </w:divBdr>
        </w:div>
        <w:div w:id="1709991257">
          <w:marLeft w:val="864"/>
          <w:marRight w:val="0"/>
          <w:marTop w:val="0"/>
          <w:marBottom w:val="101"/>
          <w:divBdr>
            <w:top w:val="none" w:sz="0" w:space="0" w:color="auto"/>
            <w:left w:val="none" w:sz="0" w:space="0" w:color="auto"/>
            <w:bottom w:val="none" w:sz="0" w:space="0" w:color="auto"/>
            <w:right w:val="none" w:sz="0" w:space="0" w:color="auto"/>
          </w:divBdr>
        </w:div>
        <w:div w:id="746876803">
          <w:marLeft w:val="0"/>
          <w:marRight w:val="0"/>
          <w:marTop w:val="0"/>
          <w:marBottom w:val="101"/>
          <w:divBdr>
            <w:top w:val="none" w:sz="0" w:space="0" w:color="auto"/>
            <w:left w:val="none" w:sz="0" w:space="0" w:color="auto"/>
            <w:bottom w:val="none" w:sz="0" w:space="0" w:color="auto"/>
            <w:right w:val="none" w:sz="0" w:space="0" w:color="auto"/>
          </w:divBdr>
        </w:div>
        <w:div w:id="592708174">
          <w:marLeft w:val="0"/>
          <w:marRight w:val="0"/>
          <w:marTop w:val="0"/>
          <w:marBottom w:val="101"/>
          <w:divBdr>
            <w:top w:val="none" w:sz="0" w:space="0" w:color="auto"/>
            <w:left w:val="none" w:sz="0" w:space="0" w:color="auto"/>
            <w:bottom w:val="none" w:sz="0" w:space="0" w:color="auto"/>
            <w:right w:val="none" w:sz="0" w:space="0" w:color="auto"/>
          </w:divBdr>
        </w:div>
        <w:div w:id="1635522821">
          <w:marLeft w:val="0"/>
          <w:marRight w:val="0"/>
          <w:marTop w:val="0"/>
          <w:marBottom w:val="101"/>
          <w:divBdr>
            <w:top w:val="none" w:sz="0" w:space="0" w:color="auto"/>
            <w:left w:val="none" w:sz="0" w:space="0" w:color="auto"/>
            <w:bottom w:val="none" w:sz="0" w:space="0" w:color="auto"/>
            <w:right w:val="none" w:sz="0" w:space="0" w:color="auto"/>
          </w:divBdr>
        </w:div>
        <w:div w:id="1480877867">
          <w:marLeft w:val="864"/>
          <w:marRight w:val="0"/>
          <w:marTop w:val="0"/>
          <w:marBottom w:val="101"/>
          <w:divBdr>
            <w:top w:val="none" w:sz="0" w:space="0" w:color="auto"/>
            <w:left w:val="none" w:sz="0" w:space="0" w:color="auto"/>
            <w:bottom w:val="none" w:sz="0" w:space="0" w:color="auto"/>
            <w:right w:val="none" w:sz="0" w:space="0" w:color="auto"/>
          </w:divBdr>
        </w:div>
        <w:div w:id="1996883165">
          <w:marLeft w:val="864"/>
          <w:marRight w:val="0"/>
          <w:marTop w:val="0"/>
          <w:marBottom w:val="101"/>
          <w:divBdr>
            <w:top w:val="none" w:sz="0" w:space="0" w:color="auto"/>
            <w:left w:val="none" w:sz="0" w:space="0" w:color="auto"/>
            <w:bottom w:val="none" w:sz="0" w:space="0" w:color="auto"/>
            <w:right w:val="none" w:sz="0" w:space="0" w:color="auto"/>
          </w:divBdr>
        </w:div>
        <w:div w:id="188034186">
          <w:marLeft w:val="864"/>
          <w:marRight w:val="0"/>
          <w:marTop w:val="0"/>
          <w:marBottom w:val="101"/>
          <w:divBdr>
            <w:top w:val="none" w:sz="0" w:space="0" w:color="auto"/>
            <w:left w:val="none" w:sz="0" w:space="0" w:color="auto"/>
            <w:bottom w:val="none" w:sz="0" w:space="0" w:color="auto"/>
            <w:right w:val="none" w:sz="0" w:space="0" w:color="auto"/>
          </w:divBdr>
        </w:div>
        <w:div w:id="1249925824">
          <w:marLeft w:val="864"/>
          <w:marRight w:val="0"/>
          <w:marTop w:val="0"/>
          <w:marBottom w:val="101"/>
          <w:divBdr>
            <w:top w:val="none" w:sz="0" w:space="0" w:color="auto"/>
            <w:left w:val="none" w:sz="0" w:space="0" w:color="auto"/>
            <w:bottom w:val="none" w:sz="0" w:space="0" w:color="auto"/>
            <w:right w:val="none" w:sz="0" w:space="0" w:color="auto"/>
          </w:divBdr>
        </w:div>
        <w:div w:id="418212543">
          <w:marLeft w:val="864"/>
          <w:marRight w:val="0"/>
          <w:marTop w:val="0"/>
          <w:marBottom w:val="101"/>
          <w:divBdr>
            <w:top w:val="none" w:sz="0" w:space="0" w:color="auto"/>
            <w:left w:val="none" w:sz="0" w:space="0" w:color="auto"/>
            <w:bottom w:val="none" w:sz="0" w:space="0" w:color="auto"/>
            <w:right w:val="none" w:sz="0" w:space="0" w:color="auto"/>
          </w:divBdr>
        </w:div>
        <w:div w:id="930622030">
          <w:marLeft w:val="0"/>
          <w:marRight w:val="0"/>
          <w:marTop w:val="0"/>
          <w:marBottom w:val="101"/>
          <w:divBdr>
            <w:top w:val="none" w:sz="0" w:space="0" w:color="auto"/>
            <w:left w:val="none" w:sz="0" w:space="0" w:color="auto"/>
            <w:bottom w:val="none" w:sz="0" w:space="0" w:color="auto"/>
            <w:right w:val="none" w:sz="0" w:space="0" w:color="auto"/>
          </w:divBdr>
        </w:div>
        <w:div w:id="365762325">
          <w:marLeft w:val="0"/>
          <w:marRight w:val="0"/>
          <w:marTop w:val="0"/>
          <w:marBottom w:val="101"/>
          <w:divBdr>
            <w:top w:val="none" w:sz="0" w:space="0" w:color="auto"/>
            <w:left w:val="none" w:sz="0" w:space="0" w:color="auto"/>
            <w:bottom w:val="none" w:sz="0" w:space="0" w:color="auto"/>
            <w:right w:val="none" w:sz="0" w:space="0" w:color="auto"/>
          </w:divBdr>
        </w:div>
        <w:div w:id="2138257472">
          <w:marLeft w:val="0"/>
          <w:marRight w:val="0"/>
          <w:marTop w:val="0"/>
          <w:marBottom w:val="101"/>
          <w:divBdr>
            <w:top w:val="none" w:sz="0" w:space="0" w:color="auto"/>
            <w:left w:val="none" w:sz="0" w:space="0" w:color="auto"/>
            <w:bottom w:val="none" w:sz="0" w:space="0" w:color="auto"/>
            <w:right w:val="none" w:sz="0" w:space="0" w:color="auto"/>
          </w:divBdr>
        </w:div>
        <w:div w:id="380372710">
          <w:marLeft w:val="0"/>
          <w:marRight w:val="0"/>
          <w:marTop w:val="0"/>
          <w:marBottom w:val="101"/>
          <w:divBdr>
            <w:top w:val="none" w:sz="0" w:space="0" w:color="auto"/>
            <w:left w:val="none" w:sz="0" w:space="0" w:color="auto"/>
            <w:bottom w:val="none" w:sz="0" w:space="0" w:color="auto"/>
            <w:right w:val="none" w:sz="0" w:space="0" w:color="auto"/>
          </w:divBdr>
        </w:div>
        <w:div w:id="514224413">
          <w:marLeft w:val="0"/>
          <w:marRight w:val="0"/>
          <w:marTop w:val="0"/>
          <w:marBottom w:val="101"/>
          <w:divBdr>
            <w:top w:val="none" w:sz="0" w:space="0" w:color="auto"/>
            <w:left w:val="none" w:sz="0" w:space="0" w:color="auto"/>
            <w:bottom w:val="none" w:sz="0" w:space="0" w:color="auto"/>
            <w:right w:val="none" w:sz="0" w:space="0" w:color="auto"/>
          </w:divBdr>
        </w:div>
        <w:div w:id="158618227">
          <w:marLeft w:val="0"/>
          <w:marRight w:val="0"/>
          <w:marTop w:val="0"/>
          <w:marBottom w:val="101"/>
          <w:divBdr>
            <w:top w:val="none" w:sz="0" w:space="0" w:color="auto"/>
            <w:left w:val="none" w:sz="0" w:space="0" w:color="auto"/>
            <w:bottom w:val="none" w:sz="0" w:space="0" w:color="auto"/>
            <w:right w:val="none" w:sz="0" w:space="0" w:color="auto"/>
          </w:divBdr>
        </w:div>
        <w:div w:id="468594925">
          <w:marLeft w:val="0"/>
          <w:marRight w:val="0"/>
          <w:marTop w:val="0"/>
          <w:marBottom w:val="101"/>
          <w:divBdr>
            <w:top w:val="none" w:sz="0" w:space="0" w:color="auto"/>
            <w:left w:val="none" w:sz="0" w:space="0" w:color="auto"/>
            <w:bottom w:val="none" w:sz="0" w:space="0" w:color="auto"/>
            <w:right w:val="none" w:sz="0" w:space="0" w:color="auto"/>
          </w:divBdr>
        </w:div>
        <w:div w:id="162547808">
          <w:marLeft w:val="0"/>
          <w:marRight w:val="0"/>
          <w:marTop w:val="0"/>
          <w:marBottom w:val="101"/>
          <w:divBdr>
            <w:top w:val="none" w:sz="0" w:space="0" w:color="auto"/>
            <w:left w:val="none" w:sz="0" w:space="0" w:color="auto"/>
            <w:bottom w:val="none" w:sz="0" w:space="0" w:color="auto"/>
            <w:right w:val="none" w:sz="0" w:space="0" w:color="auto"/>
          </w:divBdr>
        </w:div>
        <w:div w:id="669719691">
          <w:marLeft w:val="0"/>
          <w:marRight w:val="0"/>
          <w:marTop w:val="0"/>
          <w:marBottom w:val="101"/>
          <w:divBdr>
            <w:top w:val="none" w:sz="0" w:space="0" w:color="auto"/>
            <w:left w:val="none" w:sz="0" w:space="0" w:color="auto"/>
            <w:bottom w:val="none" w:sz="0" w:space="0" w:color="auto"/>
            <w:right w:val="none" w:sz="0" w:space="0" w:color="auto"/>
          </w:divBdr>
        </w:div>
        <w:div w:id="191892552">
          <w:marLeft w:val="0"/>
          <w:marRight w:val="0"/>
          <w:marTop w:val="0"/>
          <w:marBottom w:val="101"/>
          <w:divBdr>
            <w:top w:val="none" w:sz="0" w:space="0" w:color="auto"/>
            <w:left w:val="none" w:sz="0" w:space="0" w:color="auto"/>
            <w:bottom w:val="none" w:sz="0" w:space="0" w:color="auto"/>
            <w:right w:val="none" w:sz="0" w:space="0" w:color="auto"/>
          </w:divBdr>
        </w:div>
        <w:div w:id="529953296">
          <w:marLeft w:val="0"/>
          <w:marRight w:val="0"/>
          <w:marTop w:val="0"/>
          <w:marBottom w:val="101"/>
          <w:divBdr>
            <w:top w:val="none" w:sz="0" w:space="0" w:color="auto"/>
            <w:left w:val="none" w:sz="0" w:space="0" w:color="auto"/>
            <w:bottom w:val="none" w:sz="0" w:space="0" w:color="auto"/>
            <w:right w:val="none" w:sz="0" w:space="0" w:color="auto"/>
          </w:divBdr>
        </w:div>
        <w:div w:id="1941719367">
          <w:marLeft w:val="0"/>
          <w:marRight w:val="0"/>
          <w:marTop w:val="0"/>
          <w:marBottom w:val="101"/>
          <w:divBdr>
            <w:top w:val="none" w:sz="0" w:space="0" w:color="auto"/>
            <w:left w:val="none" w:sz="0" w:space="0" w:color="auto"/>
            <w:bottom w:val="none" w:sz="0" w:space="0" w:color="auto"/>
            <w:right w:val="none" w:sz="0" w:space="0" w:color="auto"/>
          </w:divBdr>
        </w:div>
        <w:div w:id="1203325037">
          <w:marLeft w:val="864"/>
          <w:marRight w:val="0"/>
          <w:marTop w:val="0"/>
          <w:marBottom w:val="101"/>
          <w:divBdr>
            <w:top w:val="none" w:sz="0" w:space="0" w:color="auto"/>
            <w:left w:val="none" w:sz="0" w:space="0" w:color="auto"/>
            <w:bottom w:val="none" w:sz="0" w:space="0" w:color="auto"/>
            <w:right w:val="none" w:sz="0" w:space="0" w:color="auto"/>
          </w:divBdr>
        </w:div>
        <w:div w:id="637032363">
          <w:marLeft w:val="864"/>
          <w:marRight w:val="0"/>
          <w:marTop w:val="0"/>
          <w:marBottom w:val="101"/>
          <w:divBdr>
            <w:top w:val="none" w:sz="0" w:space="0" w:color="auto"/>
            <w:left w:val="none" w:sz="0" w:space="0" w:color="auto"/>
            <w:bottom w:val="none" w:sz="0" w:space="0" w:color="auto"/>
            <w:right w:val="none" w:sz="0" w:space="0" w:color="auto"/>
          </w:divBdr>
        </w:div>
        <w:div w:id="1259413401">
          <w:marLeft w:val="864"/>
          <w:marRight w:val="0"/>
          <w:marTop w:val="0"/>
          <w:marBottom w:val="101"/>
          <w:divBdr>
            <w:top w:val="none" w:sz="0" w:space="0" w:color="auto"/>
            <w:left w:val="none" w:sz="0" w:space="0" w:color="auto"/>
            <w:bottom w:val="none" w:sz="0" w:space="0" w:color="auto"/>
            <w:right w:val="none" w:sz="0" w:space="0" w:color="auto"/>
          </w:divBdr>
        </w:div>
        <w:div w:id="1292251924">
          <w:marLeft w:val="864"/>
          <w:marRight w:val="0"/>
          <w:marTop w:val="0"/>
          <w:marBottom w:val="101"/>
          <w:divBdr>
            <w:top w:val="none" w:sz="0" w:space="0" w:color="auto"/>
            <w:left w:val="none" w:sz="0" w:space="0" w:color="auto"/>
            <w:bottom w:val="none" w:sz="0" w:space="0" w:color="auto"/>
            <w:right w:val="none" w:sz="0" w:space="0" w:color="auto"/>
          </w:divBdr>
        </w:div>
        <w:div w:id="784736842">
          <w:marLeft w:val="864"/>
          <w:marRight w:val="0"/>
          <w:marTop w:val="0"/>
          <w:marBottom w:val="101"/>
          <w:divBdr>
            <w:top w:val="none" w:sz="0" w:space="0" w:color="auto"/>
            <w:left w:val="none" w:sz="0" w:space="0" w:color="auto"/>
            <w:bottom w:val="none" w:sz="0" w:space="0" w:color="auto"/>
            <w:right w:val="none" w:sz="0" w:space="0" w:color="auto"/>
          </w:divBdr>
        </w:div>
        <w:div w:id="1948930137">
          <w:marLeft w:val="864"/>
          <w:marRight w:val="0"/>
          <w:marTop w:val="0"/>
          <w:marBottom w:val="101"/>
          <w:divBdr>
            <w:top w:val="none" w:sz="0" w:space="0" w:color="auto"/>
            <w:left w:val="none" w:sz="0" w:space="0" w:color="auto"/>
            <w:bottom w:val="none" w:sz="0" w:space="0" w:color="auto"/>
            <w:right w:val="none" w:sz="0" w:space="0" w:color="auto"/>
          </w:divBdr>
        </w:div>
        <w:div w:id="276257700">
          <w:marLeft w:val="0"/>
          <w:marRight w:val="0"/>
          <w:marTop w:val="0"/>
          <w:marBottom w:val="101"/>
          <w:divBdr>
            <w:top w:val="none" w:sz="0" w:space="0" w:color="auto"/>
            <w:left w:val="none" w:sz="0" w:space="0" w:color="auto"/>
            <w:bottom w:val="none" w:sz="0" w:space="0" w:color="auto"/>
            <w:right w:val="none" w:sz="0" w:space="0" w:color="auto"/>
          </w:divBdr>
        </w:div>
        <w:div w:id="1236010541">
          <w:marLeft w:val="0"/>
          <w:marRight w:val="0"/>
          <w:marTop w:val="0"/>
          <w:marBottom w:val="101"/>
          <w:divBdr>
            <w:top w:val="none" w:sz="0" w:space="0" w:color="auto"/>
            <w:left w:val="none" w:sz="0" w:space="0" w:color="auto"/>
            <w:bottom w:val="none" w:sz="0" w:space="0" w:color="auto"/>
            <w:right w:val="none" w:sz="0" w:space="0" w:color="auto"/>
          </w:divBdr>
        </w:div>
        <w:div w:id="2075741721">
          <w:marLeft w:val="0"/>
          <w:marRight w:val="0"/>
          <w:marTop w:val="0"/>
          <w:marBottom w:val="101"/>
          <w:divBdr>
            <w:top w:val="none" w:sz="0" w:space="0" w:color="auto"/>
            <w:left w:val="none" w:sz="0" w:space="0" w:color="auto"/>
            <w:bottom w:val="none" w:sz="0" w:space="0" w:color="auto"/>
            <w:right w:val="none" w:sz="0" w:space="0" w:color="auto"/>
          </w:divBdr>
        </w:div>
        <w:div w:id="643895870">
          <w:marLeft w:val="0"/>
          <w:marRight w:val="0"/>
          <w:marTop w:val="0"/>
          <w:marBottom w:val="101"/>
          <w:divBdr>
            <w:top w:val="none" w:sz="0" w:space="0" w:color="auto"/>
            <w:left w:val="none" w:sz="0" w:space="0" w:color="auto"/>
            <w:bottom w:val="none" w:sz="0" w:space="0" w:color="auto"/>
            <w:right w:val="none" w:sz="0" w:space="0" w:color="auto"/>
          </w:divBdr>
        </w:div>
        <w:div w:id="1862550961">
          <w:marLeft w:val="0"/>
          <w:marRight w:val="0"/>
          <w:marTop w:val="0"/>
          <w:marBottom w:val="101"/>
          <w:divBdr>
            <w:top w:val="none" w:sz="0" w:space="0" w:color="auto"/>
            <w:left w:val="none" w:sz="0" w:space="0" w:color="auto"/>
            <w:bottom w:val="none" w:sz="0" w:space="0" w:color="auto"/>
            <w:right w:val="none" w:sz="0" w:space="0" w:color="auto"/>
          </w:divBdr>
        </w:div>
        <w:div w:id="1090741253">
          <w:marLeft w:val="0"/>
          <w:marRight w:val="0"/>
          <w:marTop w:val="0"/>
          <w:marBottom w:val="101"/>
          <w:divBdr>
            <w:top w:val="none" w:sz="0" w:space="0" w:color="auto"/>
            <w:left w:val="none" w:sz="0" w:space="0" w:color="auto"/>
            <w:bottom w:val="none" w:sz="0" w:space="0" w:color="auto"/>
            <w:right w:val="none" w:sz="0" w:space="0" w:color="auto"/>
          </w:divBdr>
        </w:div>
        <w:div w:id="717703770">
          <w:marLeft w:val="0"/>
          <w:marRight w:val="0"/>
          <w:marTop w:val="0"/>
          <w:marBottom w:val="101"/>
          <w:divBdr>
            <w:top w:val="none" w:sz="0" w:space="0" w:color="auto"/>
            <w:left w:val="none" w:sz="0" w:space="0" w:color="auto"/>
            <w:bottom w:val="none" w:sz="0" w:space="0" w:color="auto"/>
            <w:right w:val="none" w:sz="0" w:space="0" w:color="auto"/>
          </w:divBdr>
        </w:div>
        <w:div w:id="1891186818">
          <w:marLeft w:val="864"/>
          <w:marRight w:val="0"/>
          <w:marTop w:val="0"/>
          <w:marBottom w:val="101"/>
          <w:divBdr>
            <w:top w:val="none" w:sz="0" w:space="0" w:color="auto"/>
            <w:left w:val="none" w:sz="0" w:space="0" w:color="auto"/>
            <w:bottom w:val="none" w:sz="0" w:space="0" w:color="auto"/>
            <w:right w:val="none" w:sz="0" w:space="0" w:color="auto"/>
          </w:divBdr>
        </w:div>
        <w:div w:id="2050378050">
          <w:marLeft w:val="864"/>
          <w:marRight w:val="0"/>
          <w:marTop w:val="0"/>
          <w:marBottom w:val="101"/>
          <w:divBdr>
            <w:top w:val="none" w:sz="0" w:space="0" w:color="auto"/>
            <w:left w:val="none" w:sz="0" w:space="0" w:color="auto"/>
            <w:bottom w:val="none" w:sz="0" w:space="0" w:color="auto"/>
            <w:right w:val="none" w:sz="0" w:space="0" w:color="auto"/>
          </w:divBdr>
        </w:div>
        <w:div w:id="139157192">
          <w:marLeft w:val="0"/>
          <w:marRight w:val="0"/>
          <w:marTop w:val="0"/>
          <w:marBottom w:val="101"/>
          <w:divBdr>
            <w:top w:val="none" w:sz="0" w:space="0" w:color="auto"/>
            <w:left w:val="none" w:sz="0" w:space="0" w:color="auto"/>
            <w:bottom w:val="none" w:sz="0" w:space="0" w:color="auto"/>
            <w:right w:val="none" w:sz="0" w:space="0" w:color="auto"/>
          </w:divBdr>
        </w:div>
        <w:div w:id="1260599021">
          <w:marLeft w:val="0"/>
          <w:marRight w:val="0"/>
          <w:marTop w:val="0"/>
          <w:marBottom w:val="101"/>
          <w:divBdr>
            <w:top w:val="none" w:sz="0" w:space="0" w:color="auto"/>
            <w:left w:val="none" w:sz="0" w:space="0" w:color="auto"/>
            <w:bottom w:val="none" w:sz="0" w:space="0" w:color="auto"/>
            <w:right w:val="none" w:sz="0" w:space="0" w:color="auto"/>
          </w:divBdr>
        </w:div>
        <w:div w:id="777993532">
          <w:marLeft w:val="0"/>
          <w:marRight w:val="0"/>
          <w:marTop w:val="0"/>
          <w:marBottom w:val="101"/>
          <w:divBdr>
            <w:top w:val="none" w:sz="0" w:space="0" w:color="auto"/>
            <w:left w:val="none" w:sz="0" w:space="0" w:color="auto"/>
            <w:bottom w:val="none" w:sz="0" w:space="0" w:color="auto"/>
            <w:right w:val="none" w:sz="0" w:space="0" w:color="auto"/>
          </w:divBdr>
        </w:div>
        <w:div w:id="1367484702">
          <w:marLeft w:val="0"/>
          <w:marRight w:val="0"/>
          <w:marTop w:val="0"/>
          <w:marBottom w:val="101"/>
          <w:divBdr>
            <w:top w:val="none" w:sz="0" w:space="0" w:color="auto"/>
            <w:left w:val="none" w:sz="0" w:space="0" w:color="auto"/>
            <w:bottom w:val="none" w:sz="0" w:space="0" w:color="auto"/>
            <w:right w:val="none" w:sz="0" w:space="0" w:color="auto"/>
          </w:divBdr>
        </w:div>
        <w:div w:id="1901477982">
          <w:marLeft w:val="0"/>
          <w:marRight w:val="0"/>
          <w:marTop w:val="0"/>
          <w:marBottom w:val="101"/>
          <w:divBdr>
            <w:top w:val="none" w:sz="0" w:space="0" w:color="auto"/>
            <w:left w:val="none" w:sz="0" w:space="0" w:color="auto"/>
            <w:bottom w:val="none" w:sz="0" w:space="0" w:color="auto"/>
            <w:right w:val="none" w:sz="0" w:space="0" w:color="auto"/>
          </w:divBdr>
        </w:div>
        <w:div w:id="2104183276">
          <w:marLeft w:val="0"/>
          <w:marRight w:val="0"/>
          <w:marTop w:val="0"/>
          <w:marBottom w:val="101"/>
          <w:divBdr>
            <w:top w:val="none" w:sz="0" w:space="0" w:color="auto"/>
            <w:left w:val="none" w:sz="0" w:space="0" w:color="auto"/>
            <w:bottom w:val="none" w:sz="0" w:space="0" w:color="auto"/>
            <w:right w:val="none" w:sz="0" w:space="0" w:color="auto"/>
          </w:divBdr>
        </w:div>
        <w:div w:id="255676747">
          <w:marLeft w:val="0"/>
          <w:marRight w:val="0"/>
          <w:marTop w:val="0"/>
          <w:marBottom w:val="101"/>
          <w:divBdr>
            <w:top w:val="none" w:sz="0" w:space="0" w:color="auto"/>
            <w:left w:val="none" w:sz="0" w:space="0" w:color="auto"/>
            <w:bottom w:val="none" w:sz="0" w:space="0" w:color="auto"/>
            <w:right w:val="none" w:sz="0" w:space="0" w:color="auto"/>
          </w:divBdr>
        </w:div>
        <w:div w:id="1463376664">
          <w:marLeft w:val="0"/>
          <w:marRight w:val="0"/>
          <w:marTop w:val="0"/>
          <w:marBottom w:val="101"/>
          <w:divBdr>
            <w:top w:val="none" w:sz="0" w:space="0" w:color="auto"/>
            <w:left w:val="none" w:sz="0" w:space="0" w:color="auto"/>
            <w:bottom w:val="none" w:sz="0" w:space="0" w:color="auto"/>
            <w:right w:val="none" w:sz="0" w:space="0" w:color="auto"/>
          </w:divBdr>
        </w:div>
        <w:div w:id="1496919369">
          <w:marLeft w:val="0"/>
          <w:marRight w:val="0"/>
          <w:marTop w:val="0"/>
          <w:marBottom w:val="101"/>
          <w:divBdr>
            <w:top w:val="none" w:sz="0" w:space="0" w:color="auto"/>
            <w:left w:val="none" w:sz="0" w:space="0" w:color="auto"/>
            <w:bottom w:val="none" w:sz="0" w:space="0" w:color="auto"/>
            <w:right w:val="none" w:sz="0" w:space="0" w:color="auto"/>
          </w:divBdr>
        </w:div>
        <w:div w:id="1570459723">
          <w:marLeft w:val="0"/>
          <w:marRight w:val="0"/>
          <w:marTop w:val="0"/>
          <w:marBottom w:val="101"/>
          <w:divBdr>
            <w:top w:val="none" w:sz="0" w:space="0" w:color="auto"/>
            <w:left w:val="none" w:sz="0" w:space="0" w:color="auto"/>
            <w:bottom w:val="none" w:sz="0" w:space="0" w:color="auto"/>
            <w:right w:val="none" w:sz="0" w:space="0" w:color="auto"/>
          </w:divBdr>
        </w:div>
        <w:div w:id="1792237860">
          <w:marLeft w:val="864"/>
          <w:marRight w:val="0"/>
          <w:marTop w:val="0"/>
          <w:marBottom w:val="101"/>
          <w:divBdr>
            <w:top w:val="none" w:sz="0" w:space="0" w:color="auto"/>
            <w:left w:val="none" w:sz="0" w:space="0" w:color="auto"/>
            <w:bottom w:val="none" w:sz="0" w:space="0" w:color="auto"/>
            <w:right w:val="none" w:sz="0" w:space="0" w:color="auto"/>
          </w:divBdr>
        </w:div>
        <w:div w:id="1160387400">
          <w:marLeft w:val="0"/>
          <w:marRight w:val="0"/>
          <w:marTop w:val="0"/>
          <w:marBottom w:val="101"/>
          <w:divBdr>
            <w:top w:val="none" w:sz="0" w:space="0" w:color="auto"/>
            <w:left w:val="none" w:sz="0" w:space="0" w:color="auto"/>
            <w:bottom w:val="none" w:sz="0" w:space="0" w:color="auto"/>
            <w:right w:val="none" w:sz="0" w:space="0" w:color="auto"/>
          </w:divBdr>
        </w:div>
        <w:div w:id="954406810">
          <w:marLeft w:val="0"/>
          <w:marRight w:val="0"/>
          <w:marTop w:val="0"/>
          <w:marBottom w:val="101"/>
          <w:divBdr>
            <w:top w:val="none" w:sz="0" w:space="0" w:color="auto"/>
            <w:left w:val="none" w:sz="0" w:space="0" w:color="auto"/>
            <w:bottom w:val="none" w:sz="0" w:space="0" w:color="auto"/>
            <w:right w:val="none" w:sz="0" w:space="0" w:color="auto"/>
          </w:divBdr>
        </w:div>
        <w:div w:id="2107192221">
          <w:marLeft w:val="0"/>
          <w:marRight w:val="0"/>
          <w:marTop w:val="0"/>
          <w:marBottom w:val="101"/>
          <w:divBdr>
            <w:top w:val="none" w:sz="0" w:space="0" w:color="auto"/>
            <w:left w:val="none" w:sz="0" w:space="0" w:color="auto"/>
            <w:bottom w:val="none" w:sz="0" w:space="0" w:color="auto"/>
            <w:right w:val="none" w:sz="0" w:space="0" w:color="auto"/>
          </w:divBdr>
        </w:div>
        <w:div w:id="659383405">
          <w:marLeft w:val="0"/>
          <w:marRight w:val="0"/>
          <w:marTop w:val="0"/>
          <w:marBottom w:val="101"/>
          <w:divBdr>
            <w:top w:val="none" w:sz="0" w:space="0" w:color="auto"/>
            <w:left w:val="none" w:sz="0" w:space="0" w:color="auto"/>
            <w:bottom w:val="none" w:sz="0" w:space="0" w:color="auto"/>
            <w:right w:val="none" w:sz="0" w:space="0" w:color="auto"/>
          </w:divBdr>
        </w:div>
        <w:div w:id="1135486999">
          <w:marLeft w:val="0"/>
          <w:marRight w:val="0"/>
          <w:marTop w:val="0"/>
          <w:marBottom w:val="101"/>
          <w:divBdr>
            <w:top w:val="none" w:sz="0" w:space="0" w:color="auto"/>
            <w:left w:val="none" w:sz="0" w:space="0" w:color="auto"/>
            <w:bottom w:val="none" w:sz="0" w:space="0" w:color="auto"/>
            <w:right w:val="none" w:sz="0" w:space="0" w:color="auto"/>
          </w:divBdr>
        </w:div>
        <w:div w:id="2083601937">
          <w:marLeft w:val="0"/>
          <w:marRight w:val="0"/>
          <w:marTop w:val="0"/>
          <w:marBottom w:val="101"/>
          <w:divBdr>
            <w:top w:val="none" w:sz="0" w:space="0" w:color="auto"/>
            <w:left w:val="none" w:sz="0" w:space="0" w:color="auto"/>
            <w:bottom w:val="none" w:sz="0" w:space="0" w:color="auto"/>
            <w:right w:val="none" w:sz="0" w:space="0" w:color="auto"/>
          </w:divBdr>
        </w:div>
        <w:div w:id="802819219">
          <w:marLeft w:val="0"/>
          <w:marRight w:val="0"/>
          <w:marTop w:val="0"/>
          <w:marBottom w:val="101"/>
          <w:divBdr>
            <w:top w:val="none" w:sz="0" w:space="0" w:color="auto"/>
            <w:left w:val="none" w:sz="0" w:space="0" w:color="auto"/>
            <w:bottom w:val="none" w:sz="0" w:space="0" w:color="auto"/>
            <w:right w:val="none" w:sz="0" w:space="0" w:color="auto"/>
          </w:divBdr>
        </w:div>
        <w:div w:id="2079473348">
          <w:marLeft w:val="0"/>
          <w:marRight w:val="0"/>
          <w:marTop w:val="0"/>
          <w:marBottom w:val="101"/>
          <w:divBdr>
            <w:top w:val="none" w:sz="0" w:space="0" w:color="auto"/>
            <w:left w:val="none" w:sz="0" w:space="0" w:color="auto"/>
            <w:bottom w:val="none" w:sz="0" w:space="0" w:color="auto"/>
            <w:right w:val="none" w:sz="0" w:space="0" w:color="auto"/>
          </w:divBdr>
        </w:div>
        <w:div w:id="1994866486">
          <w:marLeft w:val="0"/>
          <w:marRight w:val="0"/>
          <w:marTop w:val="0"/>
          <w:marBottom w:val="101"/>
          <w:divBdr>
            <w:top w:val="none" w:sz="0" w:space="0" w:color="auto"/>
            <w:left w:val="none" w:sz="0" w:space="0" w:color="auto"/>
            <w:bottom w:val="none" w:sz="0" w:space="0" w:color="auto"/>
            <w:right w:val="none" w:sz="0" w:space="0" w:color="auto"/>
          </w:divBdr>
        </w:div>
        <w:div w:id="257444420">
          <w:marLeft w:val="0"/>
          <w:marRight w:val="0"/>
          <w:marTop w:val="0"/>
          <w:marBottom w:val="101"/>
          <w:divBdr>
            <w:top w:val="none" w:sz="0" w:space="0" w:color="auto"/>
            <w:left w:val="none" w:sz="0" w:space="0" w:color="auto"/>
            <w:bottom w:val="none" w:sz="0" w:space="0" w:color="auto"/>
            <w:right w:val="none" w:sz="0" w:space="0" w:color="auto"/>
          </w:divBdr>
        </w:div>
        <w:div w:id="734355334">
          <w:marLeft w:val="864"/>
          <w:marRight w:val="0"/>
          <w:marTop w:val="0"/>
          <w:marBottom w:val="101"/>
          <w:divBdr>
            <w:top w:val="none" w:sz="0" w:space="0" w:color="auto"/>
            <w:left w:val="none" w:sz="0" w:space="0" w:color="auto"/>
            <w:bottom w:val="none" w:sz="0" w:space="0" w:color="auto"/>
            <w:right w:val="none" w:sz="0" w:space="0" w:color="auto"/>
          </w:divBdr>
        </w:div>
        <w:div w:id="1001009192">
          <w:marLeft w:val="0"/>
          <w:marRight w:val="0"/>
          <w:marTop w:val="0"/>
          <w:marBottom w:val="101"/>
          <w:divBdr>
            <w:top w:val="none" w:sz="0" w:space="0" w:color="auto"/>
            <w:left w:val="none" w:sz="0" w:space="0" w:color="auto"/>
            <w:bottom w:val="none" w:sz="0" w:space="0" w:color="auto"/>
            <w:right w:val="none" w:sz="0" w:space="0" w:color="auto"/>
          </w:divBdr>
        </w:div>
        <w:div w:id="332147044">
          <w:marLeft w:val="0"/>
          <w:marRight w:val="0"/>
          <w:marTop w:val="0"/>
          <w:marBottom w:val="101"/>
          <w:divBdr>
            <w:top w:val="none" w:sz="0" w:space="0" w:color="auto"/>
            <w:left w:val="none" w:sz="0" w:space="0" w:color="auto"/>
            <w:bottom w:val="none" w:sz="0" w:space="0" w:color="auto"/>
            <w:right w:val="none" w:sz="0" w:space="0" w:color="auto"/>
          </w:divBdr>
        </w:div>
        <w:div w:id="2041586378">
          <w:marLeft w:val="0"/>
          <w:marRight w:val="0"/>
          <w:marTop w:val="0"/>
          <w:marBottom w:val="101"/>
          <w:divBdr>
            <w:top w:val="none" w:sz="0" w:space="0" w:color="auto"/>
            <w:left w:val="none" w:sz="0" w:space="0" w:color="auto"/>
            <w:bottom w:val="none" w:sz="0" w:space="0" w:color="auto"/>
            <w:right w:val="none" w:sz="0" w:space="0" w:color="auto"/>
          </w:divBdr>
        </w:div>
        <w:div w:id="1004822328">
          <w:marLeft w:val="864"/>
          <w:marRight w:val="0"/>
          <w:marTop w:val="0"/>
          <w:marBottom w:val="101"/>
          <w:divBdr>
            <w:top w:val="none" w:sz="0" w:space="0" w:color="auto"/>
            <w:left w:val="none" w:sz="0" w:space="0" w:color="auto"/>
            <w:bottom w:val="none" w:sz="0" w:space="0" w:color="auto"/>
            <w:right w:val="none" w:sz="0" w:space="0" w:color="auto"/>
          </w:divBdr>
        </w:div>
        <w:div w:id="2130777939">
          <w:marLeft w:val="0"/>
          <w:marRight w:val="0"/>
          <w:marTop w:val="0"/>
          <w:marBottom w:val="101"/>
          <w:divBdr>
            <w:top w:val="none" w:sz="0" w:space="0" w:color="auto"/>
            <w:left w:val="none" w:sz="0" w:space="0" w:color="auto"/>
            <w:bottom w:val="none" w:sz="0" w:space="0" w:color="auto"/>
            <w:right w:val="none" w:sz="0" w:space="0" w:color="auto"/>
          </w:divBdr>
        </w:div>
        <w:div w:id="1223179617">
          <w:marLeft w:val="864"/>
          <w:marRight w:val="0"/>
          <w:marTop w:val="0"/>
          <w:marBottom w:val="101"/>
          <w:divBdr>
            <w:top w:val="none" w:sz="0" w:space="0" w:color="auto"/>
            <w:left w:val="none" w:sz="0" w:space="0" w:color="auto"/>
            <w:bottom w:val="none" w:sz="0" w:space="0" w:color="auto"/>
            <w:right w:val="none" w:sz="0" w:space="0" w:color="auto"/>
          </w:divBdr>
        </w:div>
        <w:div w:id="1068924119">
          <w:marLeft w:val="0"/>
          <w:marRight w:val="0"/>
          <w:marTop w:val="0"/>
          <w:marBottom w:val="101"/>
          <w:divBdr>
            <w:top w:val="none" w:sz="0" w:space="0" w:color="auto"/>
            <w:left w:val="none" w:sz="0" w:space="0" w:color="auto"/>
            <w:bottom w:val="none" w:sz="0" w:space="0" w:color="auto"/>
            <w:right w:val="none" w:sz="0" w:space="0" w:color="auto"/>
          </w:divBdr>
        </w:div>
        <w:div w:id="10686856">
          <w:marLeft w:val="0"/>
          <w:marRight w:val="0"/>
          <w:marTop w:val="0"/>
          <w:marBottom w:val="101"/>
          <w:divBdr>
            <w:top w:val="none" w:sz="0" w:space="0" w:color="auto"/>
            <w:left w:val="none" w:sz="0" w:space="0" w:color="auto"/>
            <w:bottom w:val="none" w:sz="0" w:space="0" w:color="auto"/>
            <w:right w:val="none" w:sz="0" w:space="0" w:color="auto"/>
          </w:divBdr>
        </w:div>
        <w:div w:id="496307883">
          <w:marLeft w:val="0"/>
          <w:marRight w:val="0"/>
          <w:marTop w:val="0"/>
          <w:marBottom w:val="101"/>
          <w:divBdr>
            <w:top w:val="none" w:sz="0" w:space="0" w:color="auto"/>
            <w:left w:val="none" w:sz="0" w:space="0" w:color="auto"/>
            <w:bottom w:val="none" w:sz="0" w:space="0" w:color="auto"/>
            <w:right w:val="none" w:sz="0" w:space="0" w:color="auto"/>
          </w:divBdr>
        </w:div>
        <w:div w:id="1231038509">
          <w:marLeft w:val="0"/>
          <w:marRight w:val="0"/>
          <w:marTop w:val="0"/>
          <w:marBottom w:val="101"/>
          <w:divBdr>
            <w:top w:val="none" w:sz="0" w:space="0" w:color="auto"/>
            <w:left w:val="none" w:sz="0" w:space="0" w:color="auto"/>
            <w:bottom w:val="none" w:sz="0" w:space="0" w:color="auto"/>
            <w:right w:val="none" w:sz="0" w:space="0" w:color="auto"/>
          </w:divBdr>
        </w:div>
        <w:div w:id="1609003449">
          <w:marLeft w:val="1296"/>
          <w:marRight w:val="0"/>
          <w:marTop w:val="0"/>
          <w:marBottom w:val="101"/>
          <w:divBdr>
            <w:top w:val="none" w:sz="0" w:space="0" w:color="auto"/>
            <w:left w:val="none" w:sz="0" w:space="0" w:color="auto"/>
            <w:bottom w:val="none" w:sz="0" w:space="0" w:color="auto"/>
            <w:right w:val="none" w:sz="0" w:space="0" w:color="auto"/>
          </w:divBdr>
        </w:div>
        <w:div w:id="47727622">
          <w:marLeft w:val="1296"/>
          <w:marRight w:val="0"/>
          <w:marTop w:val="0"/>
          <w:marBottom w:val="101"/>
          <w:divBdr>
            <w:top w:val="none" w:sz="0" w:space="0" w:color="auto"/>
            <w:left w:val="none" w:sz="0" w:space="0" w:color="auto"/>
            <w:bottom w:val="none" w:sz="0" w:space="0" w:color="auto"/>
            <w:right w:val="none" w:sz="0" w:space="0" w:color="auto"/>
          </w:divBdr>
        </w:div>
        <w:div w:id="981613873">
          <w:marLeft w:val="1296"/>
          <w:marRight w:val="0"/>
          <w:marTop w:val="0"/>
          <w:marBottom w:val="101"/>
          <w:divBdr>
            <w:top w:val="none" w:sz="0" w:space="0" w:color="auto"/>
            <w:left w:val="none" w:sz="0" w:space="0" w:color="auto"/>
            <w:bottom w:val="none" w:sz="0" w:space="0" w:color="auto"/>
            <w:right w:val="none" w:sz="0" w:space="0" w:color="auto"/>
          </w:divBdr>
        </w:div>
        <w:div w:id="510485946">
          <w:marLeft w:val="0"/>
          <w:marRight w:val="0"/>
          <w:marTop w:val="0"/>
          <w:marBottom w:val="101"/>
          <w:divBdr>
            <w:top w:val="none" w:sz="0" w:space="0" w:color="auto"/>
            <w:left w:val="none" w:sz="0" w:space="0" w:color="auto"/>
            <w:bottom w:val="none" w:sz="0" w:space="0" w:color="auto"/>
            <w:right w:val="none" w:sz="0" w:space="0" w:color="auto"/>
          </w:divBdr>
        </w:div>
        <w:div w:id="1055856966">
          <w:marLeft w:val="0"/>
          <w:marRight w:val="0"/>
          <w:marTop w:val="0"/>
          <w:marBottom w:val="101"/>
          <w:divBdr>
            <w:top w:val="none" w:sz="0" w:space="0" w:color="auto"/>
            <w:left w:val="none" w:sz="0" w:space="0" w:color="auto"/>
            <w:bottom w:val="none" w:sz="0" w:space="0" w:color="auto"/>
            <w:right w:val="none" w:sz="0" w:space="0" w:color="auto"/>
          </w:divBdr>
        </w:div>
        <w:div w:id="292909450">
          <w:marLeft w:val="0"/>
          <w:marRight w:val="0"/>
          <w:marTop w:val="0"/>
          <w:marBottom w:val="101"/>
          <w:divBdr>
            <w:top w:val="none" w:sz="0" w:space="0" w:color="auto"/>
            <w:left w:val="none" w:sz="0" w:space="0" w:color="auto"/>
            <w:bottom w:val="none" w:sz="0" w:space="0" w:color="auto"/>
            <w:right w:val="none" w:sz="0" w:space="0" w:color="auto"/>
          </w:divBdr>
        </w:div>
        <w:div w:id="1393894404">
          <w:marLeft w:val="0"/>
          <w:marRight w:val="0"/>
          <w:marTop w:val="0"/>
          <w:marBottom w:val="101"/>
          <w:divBdr>
            <w:top w:val="none" w:sz="0" w:space="0" w:color="auto"/>
            <w:left w:val="none" w:sz="0" w:space="0" w:color="auto"/>
            <w:bottom w:val="none" w:sz="0" w:space="0" w:color="auto"/>
            <w:right w:val="none" w:sz="0" w:space="0" w:color="auto"/>
          </w:divBdr>
        </w:div>
        <w:div w:id="951790777">
          <w:marLeft w:val="0"/>
          <w:marRight w:val="0"/>
          <w:marTop w:val="0"/>
          <w:marBottom w:val="101"/>
          <w:divBdr>
            <w:top w:val="none" w:sz="0" w:space="0" w:color="auto"/>
            <w:left w:val="none" w:sz="0" w:space="0" w:color="auto"/>
            <w:bottom w:val="none" w:sz="0" w:space="0" w:color="auto"/>
            <w:right w:val="none" w:sz="0" w:space="0" w:color="auto"/>
          </w:divBdr>
        </w:div>
        <w:div w:id="1493983051">
          <w:marLeft w:val="0"/>
          <w:marRight w:val="0"/>
          <w:marTop w:val="0"/>
          <w:marBottom w:val="101"/>
          <w:divBdr>
            <w:top w:val="none" w:sz="0" w:space="0" w:color="auto"/>
            <w:left w:val="none" w:sz="0" w:space="0" w:color="auto"/>
            <w:bottom w:val="none" w:sz="0" w:space="0" w:color="auto"/>
            <w:right w:val="none" w:sz="0" w:space="0" w:color="auto"/>
          </w:divBdr>
        </w:div>
        <w:div w:id="1968585438">
          <w:marLeft w:val="0"/>
          <w:marRight w:val="0"/>
          <w:marTop w:val="0"/>
          <w:marBottom w:val="101"/>
          <w:divBdr>
            <w:top w:val="none" w:sz="0" w:space="0" w:color="auto"/>
            <w:left w:val="none" w:sz="0" w:space="0" w:color="auto"/>
            <w:bottom w:val="none" w:sz="0" w:space="0" w:color="auto"/>
            <w:right w:val="none" w:sz="0" w:space="0" w:color="auto"/>
          </w:divBdr>
        </w:div>
        <w:div w:id="2115175143">
          <w:marLeft w:val="0"/>
          <w:marRight w:val="0"/>
          <w:marTop w:val="0"/>
          <w:marBottom w:val="101"/>
          <w:divBdr>
            <w:top w:val="none" w:sz="0" w:space="0" w:color="auto"/>
            <w:left w:val="none" w:sz="0" w:space="0" w:color="auto"/>
            <w:bottom w:val="none" w:sz="0" w:space="0" w:color="auto"/>
            <w:right w:val="none" w:sz="0" w:space="0" w:color="auto"/>
          </w:divBdr>
        </w:div>
        <w:div w:id="1850094681">
          <w:marLeft w:val="0"/>
          <w:marRight w:val="0"/>
          <w:marTop w:val="0"/>
          <w:marBottom w:val="101"/>
          <w:divBdr>
            <w:top w:val="none" w:sz="0" w:space="0" w:color="auto"/>
            <w:left w:val="none" w:sz="0" w:space="0" w:color="auto"/>
            <w:bottom w:val="none" w:sz="0" w:space="0" w:color="auto"/>
            <w:right w:val="none" w:sz="0" w:space="0" w:color="auto"/>
          </w:divBdr>
        </w:div>
        <w:div w:id="1146437034">
          <w:marLeft w:val="0"/>
          <w:marRight w:val="0"/>
          <w:marTop w:val="0"/>
          <w:marBottom w:val="101"/>
          <w:divBdr>
            <w:top w:val="none" w:sz="0" w:space="0" w:color="auto"/>
            <w:left w:val="none" w:sz="0" w:space="0" w:color="auto"/>
            <w:bottom w:val="none" w:sz="0" w:space="0" w:color="auto"/>
            <w:right w:val="none" w:sz="0" w:space="0" w:color="auto"/>
          </w:divBdr>
        </w:div>
        <w:div w:id="776216834">
          <w:marLeft w:val="0"/>
          <w:marRight w:val="0"/>
          <w:marTop w:val="0"/>
          <w:marBottom w:val="101"/>
          <w:divBdr>
            <w:top w:val="none" w:sz="0" w:space="0" w:color="auto"/>
            <w:left w:val="none" w:sz="0" w:space="0" w:color="auto"/>
            <w:bottom w:val="none" w:sz="0" w:space="0" w:color="auto"/>
            <w:right w:val="none" w:sz="0" w:space="0" w:color="auto"/>
          </w:divBdr>
        </w:div>
        <w:div w:id="1653413260">
          <w:marLeft w:val="0"/>
          <w:marRight w:val="0"/>
          <w:marTop w:val="0"/>
          <w:marBottom w:val="101"/>
          <w:divBdr>
            <w:top w:val="none" w:sz="0" w:space="0" w:color="auto"/>
            <w:left w:val="none" w:sz="0" w:space="0" w:color="auto"/>
            <w:bottom w:val="none" w:sz="0" w:space="0" w:color="auto"/>
            <w:right w:val="none" w:sz="0" w:space="0" w:color="auto"/>
          </w:divBdr>
        </w:div>
        <w:div w:id="492332517">
          <w:marLeft w:val="0"/>
          <w:marRight w:val="0"/>
          <w:marTop w:val="0"/>
          <w:marBottom w:val="101"/>
          <w:divBdr>
            <w:top w:val="none" w:sz="0" w:space="0" w:color="auto"/>
            <w:left w:val="none" w:sz="0" w:space="0" w:color="auto"/>
            <w:bottom w:val="none" w:sz="0" w:space="0" w:color="auto"/>
            <w:right w:val="none" w:sz="0" w:space="0" w:color="auto"/>
          </w:divBdr>
        </w:div>
        <w:div w:id="457143489">
          <w:marLeft w:val="0"/>
          <w:marRight w:val="0"/>
          <w:marTop w:val="0"/>
          <w:marBottom w:val="101"/>
          <w:divBdr>
            <w:top w:val="none" w:sz="0" w:space="0" w:color="auto"/>
            <w:left w:val="none" w:sz="0" w:space="0" w:color="auto"/>
            <w:bottom w:val="none" w:sz="0" w:space="0" w:color="auto"/>
            <w:right w:val="none" w:sz="0" w:space="0" w:color="auto"/>
          </w:divBdr>
        </w:div>
        <w:div w:id="1164934276">
          <w:marLeft w:val="0"/>
          <w:marRight w:val="0"/>
          <w:marTop w:val="0"/>
          <w:marBottom w:val="101"/>
          <w:divBdr>
            <w:top w:val="none" w:sz="0" w:space="0" w:color="auto"/>
            <w:left w:val="none" w:sz="0" w:space="0" w:color="auto"/>
            <w:bottom w:val="none" w:sz="0" w:space="0" w:color="auto"/>
            <w:right w:val="none" w:sz="0" w:space="0" w:color="auto"/>
          </w:divBdr>
        </w:div>
        <w:div w:id="2003043183">
          <w:marLeft w:val="0"/>
          <w:marRight w:val="0"/>
          <w:marTop w:val="0"/>
          <w:marBottom w:val="101"/>
          <w:divBdr>
            <w:top w:val="none" w:sz="0" w:space="0" w:color="auto"/>
            <w:left w:val="none" w:sz="0" w:space="0" w:color="auto"/>
            <w:bottom w:val="none" w:sz="0" w:space="0" w:color="auto"/>
            <w:right w:val="none" w:sz="0" w:space="0" w:color="auto"/>
          </w:divBdr>
        </w:div>
        <w:div w:id="1299411305">
          <w:marLeft w:val="0"/>
          <w:marRight w:val="0"/>
          <w:marTop w:val="0"/>
          <w:marBottom w:val="101"/>
          <w:divBdr>
            <w:top w:val="none" w:sz="0" w:space="0" w:color="auto"/>
            <w:left w:val="none" w:sz="0" w:space="0" w:color="auto"/>
            <w:bottom w:val="none" w:sz="0" w:space="0" w:color="auto"/>
            <w:right w:val="none" w:sz="0" w:space="0" w:color="auto"/>
          </w:divBdr>
        </w:div>
        <w:div w:id="42952954">
          <w:marLeft w:val="0"/>
          <w:marRight w:val="0"/>
          <w:marTop w:val="0"/>
          <w:marBottom w:val="101"/>
          <w:divBdr>
            <w:top w:val="none" w:sz="0" w:space="0" w:color="auto"/>
            <w:left w:val="none" w:sz="0" w:space="0" w:color="auto"/>
            <w:bottom w:val="none" w:sz="0" w:space="0" w:color="auto"/>
            <w:right w:val="none" w:sz="0" w:space="0" w:color="auto"/>
          </w:divBdr>
        </w:div>
        <w:div w:id="1503202696">
          <w:marLeft w:val="0"/>
          <w:marRight w:val="0"/>
          <w:marTop w:val="0"/>
          <w:marBottom w:val="101"/>
          <w:divBdr>
            <w:top w:val="none" w:sz="0" w:space="0" w:color="auto"/>
            <w:left w:val="none" w:sz="0" w:space="0" w:color="auto"/>
            <w:bottom w:val="none" w:sz="0" w:space="0" w:color="auto"/>
            <w:right w:val="none" w:sz="0" w:space="0" w:color="auto"/>
          </w:divBdr>
        </w:div>
        <w:div w:id="731080930">
          <w:marLeft w:val="0"/>
          <w:marRight w:val="0"/>
          <w:marTop w:val="0"/>
          <w:marBottom w:val="101"/>
          <w:divBdr>
            <w:top w:val="none" w:sz="0" w:space="0" w:color="auto"/>
            <w:left w:val="none" w:sz="0" w:space="0" w:color="auto"/>
            <w:bottom w:val="none" w:sz="0" w:space="0" w:color="auto"/>
            <w:right w:val="none" w:sz="0" w:space="0" w:color="auto"/>
          </w:divBdr>
        </w:div>
        <w:div w:id="1001078478">
          <w:marLeft w:val="0"/>
          <w:marRight w:val="0"/>
          <w:marTop w:val="0"/>
          <w:marBottom w:val="101"/>
          <w:divBdr>
            <w:top w:val="none" w:sz="0" w:space="0" w:color="auto"/>
            <w:left w:val="none" w:sz="0" w:space="0" w:color="auto"/>
            <w:bottom w:val="none" w:sz="0" w:space="0" w:color="auto"/>
            <w:right w:val="none" w:sz="0" w:space="0" w:color="auto"/>
          </w:divBdr>
        </w:div>
        <w:div w:id="2133938627">
          <w:marLeft w:val="0"/>
          <w:marRight w:val="0"/>
          <w:marTop w:val="0"/>
          <w:marBottom w:val="101"/>
          <w:divBdr>
            <w:top w:val="none" w:sz="0" w:space="0" w:color="auto"/>
            <w:left w:val="none" w:sz="0" w:space="0" w:color="auto"/>
            <w:bottom w:val="none" w:sz="0" w:space="0" w:color="auto"/>
            <w:right w:val="none" w:sz="0" w:space="0" w:color="auto"/>
          </w:divBdr>
        </w:div>
        <w:div w:id="1020854814">
          <w:marLeft w:val="0"/>
          <w:marRight w:val="0"/>
          <w:marTop w:val="0"/>
          <w:marBottom w:val="101"/>
          <w:divBdr>
            <w:top w:val="none" w:sz="0" w:space="0" w:color="auto"/>
            <w:left w:val="none" w:sz="0" w:space="0" w:color="auto"/>
            <w:bottom w:val="none" w:sz="0" w:space="0" w:color="auto"/>
            <w:right w:val="none" w:sz="0" w:space="0" w:color="auto"/>
          </w:divBdr>
        </w:div>
        <w:div w:id="1098021807">
          <w:marLeft w:val="0"/>
          <w:marRight w:val="0"/>
          <w:marTop w:val="0"/>
          <w:marBottom w:val="101"/>
          <w:divBdr>
            <w:top w:val="none" w:sz="0" w:space="0" w:color="auto"/>
            <w:left w:val="none" w:sz="0" w:space="0" w:color="auto"/>
            <w:bottom w:val="none" w:sz="0" w:space="0" w:color="auto"/>
            <w:right w:val="none" w:sz="0" w:space="0" w:color="auto"/>
          </w:divBdr>
        </w:div>
        <w:div w:id="590554077">
          <w:marLeft w:val="0"/>
          <w:marRight w:val="0"/>
          <w:marTop w:val="0"/>
          <w:marBottom w:val="101"/>
          <w:divBdr>
            <w:top w:val="none" w:sz="0" w:space="0" w:color="auto"/>
            <w:left w:val="none" w:sz="0" w:space="0" w:color="auto"/>
            <w:bottom w:val="none" w:sz="0" w:space="0" w:color="auto"/>
            <w:right w:val="none" w:sz="0" w:space="0" w:color="auto"/>
          </w:divBdr>
        </w:div>
        <w:div w:id="1872305194">
          <w:marLeft w:val="0"/>
          <w:marRight w:val="0"/>
          <w:marTop w:val="0"/>
          <w:marBottom w:val="101"/>
          <w:divBdr>
            <w:top w:val="none" w:sz="0" w:space="0" w:color="auto"/>
            <w:left w:val="none" w:sz="0" w:space="0" w:color="auto"/>
            <w:bottom w:val="none" w:sz="0" w:space="0" w:color="auto"/>
            <w:right w:val="none" w:sz="0" w:space="0" w:color="auto"/>
          </w:divBdr>
        </w:div>
        <w:div w:id="337849022">
          <w:marLeft w:val="0"/>
          <w:marRight w:val="0"/>
          <w:marTop w:val="0"/>
          <w:marBottom w:val="101"/>
          <w:divBdr>
            <w:top w:val="none" w:sz="0" w:space="0" w:color="auto"/>
            <w:left w:val="none" w:sz="0" w:space="0" w:color="auto"/>
            <w:bottom w:val="none" w:sz="0" w:space="0" w:color="auto"/>
            <w:right w:val="none" w:sz="0" w:space="0" w:color="auto"/>
          </w:divBdr>
        </w:div>
        <w:div w:id="1452553518">
          <w:marLeft w:val="0"/>
          <w:marRight w:val="0"/>
          <w:marTop w:val="0"/>
          <w:marBottom w:val="101"/>
          <w:divBdr>
            <w:top w:val="none" w:sz="0" w:space="0" w:color="auto"/>
            <w:left w:val="none" w:sz="0" w:space="0" w:color="auto"/>
            <w:bottom w:val="none" w:sz="0" w:space="0" w:color="auto"/>
            <w:right w:val="none" w:sz="0" w:space="0" w:color="auto"/>
          </w:divBdr>
        </w:div>
        <w:div w:id="1326860846">
          <w:marLeft w:val="864"/>
          <w:marRight w:val="0"/>
          <w:marTop w:val="0"/>
          <w:marBottom w:val="101"/>
          <w:divBdr>
            <w:top w:val="none" w:sz="0" w:space="0" w:color="auto"/>
            <w:left w:val="none" w:sz="0" w:space="0" w:color="auto"/>
            <w:bottom w:val="none" w:sz="0" w:space="0" w:color="auto"/>
            <w:right w:val="none" w:sz="0" w:space="0" w:color="auto"/>
          </w:divBdr>
        </w:div>
        <w:div w:id="1944068789">
          <w:marLeft w:val="864"/>
          <w:marRight w:val="0"/>
          <w:marTop w:val="0"/>
          <w:marBottom w:val="101"/>
          <w:divBdr>
            <w:top w:val="none" w:sz="0" w:space="0" w:color="auto"/>
            <w:left w:val="none" w:sz="0" w:space="0" w:color="auto"/>
            <w:bottom w:val="none" w:sz="0" w:space="0" w:color="auto"/>
            <w:right w:val="none" w:sz="0" w:space="0" w:color="auto"/>
          </w:divBdr>
        </w:div>
        <w:div w:id="378210533">
          <w:marLeft w:val="864"/>
          <w:marRight w:val="0"/>
          <w:marTop w:val="0"/>
          <w:marBottom w:val="101"/>
          <w:divBdr>
            <w:top w:val="none" w:sz="0" w:space="0" w:color="auto"/>
            <w:left w:val="none" w:sz="0" w:space="0" w:color="auto"/>
            <w:bottom w:val="none" w:sz="0" w:space="0" w:color="auto"/>
            <w:right w:val="none" w:sz="0" w:space="0" w:color="auto"/>
          </w:divBdr>
        </w:div>
        <w:div w:id="1293947912">
          <w:marLeft w:val="0"/>
          <w:marRight w:val="0"/>
          <w:marTop w:val="0"/>
          <w:marBottom w:val="101"/>
          <w:divBdr>
            <w:top w:val="none" w:sz="0" w:space="0" w:color="auto"/>
            <w:left w:val="none" w:sz="0" w:space="0" w:color="auto"/>
            <w:bottom w:val="none" w:sz="0" w:space="0" w:color="auto"/>
            <w:right w:val="none" w:sz="0" w:space="0" w:color="auto"/>
          </w:divBdr>
        </w:div>
        <w:div w:id="1979453139">
          <w:marLeft w:val="0"/>
          <w:marRight w:val="0"/>
          <w:marTop w:val="0"/>
          <w:marBottom w:val="101"/>
          <w:divBdr>
            <w:top w:val="none" w:sz="0" w:space="0" w:color="auto"/>
            <w:left w:val="none" w:sz="0" w:space="0" w:color="auto"/>
            <w:bottom w:val="none" w:sz="0" w:space="0" w:color="auto"/>
            <w:right w:val="none" w:sz="0" w:space="0" w:color="auto"/>
          </w:divBdr>
        </w:div>
        <w:div w:id="912816323">
          <w:marLeft w:val="0"/>
          <w:marRight w:val="0"/>
          <w:marTop w:val="0"/>
          <w:marBottom w:val="101"/>
          <w:divBdr>
            <w:top w:val="none" w:sz="0" w:space="0" w:color="auto"/>
            <w:left w:val="none" w:sz="0" w:space="0" w:color="auto"/>
            <w:bottom w:val="none" w:sz="0" w:space="0" w:color="auto"/>
            <w:right w:val="none" w:sz="0" w:space="0" w:color="auto"/>
          </w:divBdr>
        </w:div>
        <w:div w:id="159468249">
          <w:marLeft w:val="0"/>
          <w:marRight w:val="0"/>
          <w:marTop w:val="0"/>
          <w:marBottom w:val="101"/>
          <w:divBdr>
            <w:top w:val="none" w:sz="0" w:space="0" w:color="auto"/>
            <w:left w:val="none" w:sz="0" w:space="0" w:color="auto"/>
            <w:bottom w:val="none" w:sz="0" w:space="0" w:color="auto"/>
            <w:right w:val="none" w:sz="0" w:space="0" w:color="auto"/>
          </w:divBdr>
        </w:div>
        <w:div w:id="99689751">
          <w:marLeft w:val="0"/>
          <w:marRight w:val="0"/>
          <w:marTop w:val="0"/>
          <w:marBottom w:val="101"/>
          <w:divBdr>
            <w:top w:val="none" w:sz="0" w:space="0" w:color="auto"/>
            <w:left w:val="none" w:sz="0" w:space="0" w:color="auto"/>
            <w:bottom w:val="none" w:sz="0" w:space="0" w:color="auto"/>
            <w:right w:val="none" w:sz="0" w:space="0" w:color="auto"/>
          </w:divBdr>
        </w:div>
        <w:div w:id="1761636321">
          <w:marLeft w:val="0"/>
          <w:marRight w:val="0"/>
          <w:marTop w:val="0"/>
          <w:marBottom w:val="101"/>
          <w:divBdr>
            <w:top w:val="none" w:sz="0" w:space="0" w:color="auto"/>
            <w:left w:val="none" w:sz="0" w:space="0" w:color="auto"/>
            <w:bottom w:val="none" w:sz="0" w:space="0" w:color="auto"/>
            <w:right w:val="none" w:sz="0" w:space="0" w:color="auto"/>
          </w:divBdr>
        </w:div>
        <w:div w:id="659965030">
          <w:marLeft w:val="0"/>
          <w:marRight w:val="0"/>
          <w:marTop w:val="0"/>
          <w:marBottom w:val="101"/>
          <w:divBdr>
            <w:top w:val="none" w:sz="0" w:space="0" w:color="auto"/>
            <w:left w:val="none" w:sz="0" w:space="0" w:color="auto"/>
            <w:bottom w:val="none" w:sz="0" w:space="0" w:color="auto"/>
            <w:right w:val="none" w:sz="0" w:space="0" w:color="auto"/>
          </w:divBdr>
        </w:div>
        <w:div w:id="259141575">
          <w:marLeft w:val="864"/>
          <w:marRight w:val="0"/>
          <w:marTop w:val="0"/>
          <w:marBottom w:val="101"/>
          <w:divBdr>
            <w:top w:val="none" w:sz="0" w:space="0" w:color="auto"/>
            <w:left w:val="none" w:sz="0" w:space="0" w:color="auto"/>
            <w:bottom w:val="none" w:sz="0" w:space="0" w:color="auto"/>
            <w:right w:val="none" w:sz="0" w:space="0" w:color="auto"/>
          </w:divBdr>
        </w:div>
        <w:div w:id="144473292">
          <w:marLeft w:val="864"/>
          <w:marRight w:val="0"/>
          <w:marTop w:val="0"/>
          <w:marBottom w:val="101"/>
          <w:divBdr>
            <w:top w:val="none" w:sz="0" w:space="0" w:color="auto"/>
            <w:left w:val="none" w:sz="0" w:space="0" w:color="auto"/>
            <w:bottom w:val="none" w:sz="0" w:space="0" w:color="auto"/>
            <w:right w:val="none" w:sz="0" w:space="0" w:color="auto"/>
          </w:divBdr>
        </w:div>
        <w:div w:id="1379621882">
          <w:marLeft w:val="864"/>
          <w:marRight w:val="0"/>
          <w:marTop w:val="0"/>
          <w:marBottom w:val="101"/>
          <w:divBdr>
            <w:top w:val="none" w:sz="0" w:space="0" w:color="auto"/>
            <w:left w:val="none" w:sz="0" w:space="0" w:color="auto"/>
            <w:bottom w:val="none" w:sz="0" w:space="0" w:color="auto"/>
            <w:right w:val="none" w:sz="0" w:space="0" w:color="auto"/>
          </w:divBdr>
        </w:div>
        <w:div w:id="476609800">
          <w:marLeft w:val="864"/>
          <w:marRight w:val="0"/>
          <w:marTop w:val="0"/>
          <w:marBottom w:val="101"/>
          <w:divBdr>
            <w:top w:val="none" w:sz="0" w:space="0" w:color="auto"/>
            <w:left w:val="none" w:sz="0" w:space="0" w:color="auto"/>
            <w:bottom w:val="none" w:sz="0" w:space="0" w:color="auto"/>
            <w:right w:val="none" w:sz="0" w:space="0" w:color="auto"/>
          </w:divBdr>
        </w:div>
        <w:div w:id="1309283567">
          <w:marLeft w:val="0"/>
          <w:marRight w:val="0"/>
          <w:marTop w:val="0"/>
          <w:marBottom w:val="101"/>
          <w:divBdr>
            <w:top w:val="none" w:sz="0" w:space="0" w:color="auto"/>
            <w:left w:val="none" w:sz="0" w:space="0" w:color="auto"/>
            <w:bottom w:val="none" w:sz="0" w:space="0" w:color="auto"/>
            <w:right w:val="none" w:sz="0" w:space="0" w:color="auto"/>
          </w:divBdr>
        </w:div>
        <w:div w:id="449668390">
          <w:marLeft w:val="0"/>
          <w:marRight w:val="0"/>
          <w:marTop w:val="0"/>
          <w:marBottom w:val="101"/>
          <w:divBdr>
            <w:top w:val="none" w:sz="0" w:space="0" w:color="auto"/>
            <w:left w:val="none" w:sz="0" w:space="0" w:color="auto"/>
            <w:bottom w:val="none" w:sz="0" w:space="0" w:color="auto"/>
            <w:right w:val="none" w:sz="0" w:space="0" w:color="auto"/>
          </w:divBdr>
        </w:div>
        <w:div w:id="2511041">
          <w:marLeft w:val="864"/>
          <w:marRight w:val="0"/>
          <w:marTop w:val="0"/>
          <w:marBottom w:val="101"/>
          <w:divBdr>
            <w:top w:val="none" w:sz="0" w:space="0" w:color="auto"/>
            <w:left w:val="none" w:sz="0" w:space="0" w:color="auto"/>
            <w:bottom w:val="none" w:sz="0" w:space="0" w:color="auto"/>
            <w:right w:val="none" w:sz="0" w:space="0" w:color="auto"/>
          </w:divBdr>
        </w:div>
        <w:div w:id="487211666">
          <w:marLeft w:val="0"/>
          <w:marRight w:val="0"/>
          <w:marTop w:val="0"/>
          <w:marBottom w:val="101"/>
          <w:divBdr>
            <w:top w:val="none" w:sz="0" w:space="0" w:color="auto"/>
            <w:left w:val="none" w:sz="0" w:space="0" w:color="auto"/>
            <w:bottom w:val="none" w:sz="0" w:space="0" w:color="auto"/>
            <w:right w:val="none" w:sz="0" w:space="0" w:color="auto"/>
          </w:divBdr>
        </w:div>
        <w:div w:id="1985969828">
          <w:marLeft w:val="864"/>
          <w:marRight w:val="0"/>
          <w:marTop w:val="0"/>
          <w:marBottom w:val="101"/>
          <w:divBdr>
            <w:top w:val="none" w:sz="0" w:space="0" w:color="auto"/>
            <w:left w:val="none" w:sz="0" w:space="0" w:color="auto"/>
            <w:bottom w:val="none" w:sz="0" w:space="0" w:color="auto"/>
            <w:right w:val="none" w:sz="0" w:space="0" w:color="auto"/>
          </w:divBdr>
        </w:div>
        <w:div w:id="84884710">
          <w:marLeft w:val="864"/>
          <w:marRight w:val="0"/>
          <w:marTop w:val="0"/>
          <w:marBottom w:val="101"/>
          <w:divBdr>
            <w:top w:val="none" w:sz="0" w:space="0" w:color="auto"/>
            <w:left w:val="none" w:sz="0" w:space="0" w:color="auto"/>
            <w:bottom w:val="none" w:sz="0" w:space="0" w:color="auto"/>
            <w:right w:val="none" w:sz="0" w:space="0" w:color="auto"/>
          </w:divBdr>
        </w:div>
        <w:div w:id="1776436574">
          <w:marLeft w:val="0"/>
          <w:marRight w:val="0"/>
          <w:marTop w:val="0"/>
          <w:marBottom w:val="101"/>
          <w:divBdr>
            <w:top w:val="none" w:sz="0" w:space="0" w:color="auto"/>
            <w:left w:val="none" w:sz="0" w:space="0" w:color="auto"/>
            <w:bottom w:val="none" w:sz="0" w:space="0" w:color="auto"/>
            <w:right w:val="none" w:sz="0" w:space="0" w:color="auto"/>
          </w:divBdr>
        </w:div>
        <w:div w:id="1126771749">
          <w:marLeft w:val="0"/>
          <w:marRight w:val="0"/>
          <w:marTop w:val="0"/>
          <w:marBottom w:val="101"/>
          <w:divBdr>
            <w:top w:val="none" w:sz="0" w:space="0" w:color="auto"/>
            <w:left w:val="none" w:sz="0" w:space="0" w:color="auto"/>
            <w:bottom w:val="none" w:sz="0" w:space="0" w:color="auto"/>
            <w:right w:val="none" w:sz="0" w:space="0" w:color="auto"/>
          </w:divBdr>
        </w:div>
        <w:div w:id="539589728">
          <w:marLeft w:val="864"/>
          <w:marRight w:val="0"/>
          <w:marTop w:val="0"/>
          <w:marBottom w:val="101"/>
          <w:divBdr>
            <w:top w:val="none" w:sz="0" w:space="0" w:color="auto"/>
            <w:left w:val="none" w:sz="0" w:space="0" w:color="auto"/>
            <w:bottom w:val="none" w:sz="0" w:space="0" w:color="auto"/>
            <w:right w:val="none" w:sz="0" w:space="0" w:color="auto"/>
          </w:divBdr>
        </w:div>
        <w:div w:id="409740659">
          <w:marLeft w:val="864"/>
          <w:marRight w:val="0"/>
          <w:marTop w:val="0"/>
          <w:marBottom w:val="101"/>
          <w:divBdr>
            <w:top w:val="none" w:sz="0" w:space="0" w:color="auto"/>
            <w:left w:val="none" w:sz="0" w:space="0" w:color="auto"/>
            <w:bottom w:val="none" w:sz="0" w:space="0" w:color="auto"/>
            <w:right w:val="none" w:sz="0" w:space="0" w:color="auto"/>
          </w:divBdr>
        </w:div>
        <w:div w:id="1357658730">
          <w:marLeft w:val="864"/>
          <w:marRight w:val="0"/>
          <w:marTop w:val="0"/>
          <w:marBottom w:val="101"/>
          <w:divBdr>
            <w:top w:val="none" w:sz="0" w:space="0" w:color="auto"/>
            <w:left w:val="none" w:sz="0" w:space="0" w:color="auto"/>
            <w:bottom w:val="none" w:sz="0" w:space="0" w:color="auto"/>
            <w:right w:val="none" w:sz="0" w:space="0" w:color="auto"/>
          </w:divBdr>
        </w:div>
        <w:div w:id="510679542">
          <w:marLeft w:val="864"/>
          <w:marRight w:val="0"/>
          <w:marTop w:val="0"/>
          <w:marBottom w:val="101"/>
          <w:divBdr>
            <w:top w:val="none" w:sz="0" w:space="0" w:color="auto"/>
            <w:left w:val="none" w:sz="0" w:space="0" w:color="auto"/>
            <w:bottom w:val="none" w:sz="0" w:space="0" w:color="auto"/>
            <w:right w:val="none" w:sz="0" w:space="0" w:color="auto"/>
          </w:divBdr>
        </w:div>
        <w:div w:id="1583173430">
          <w:marLeft w:val="864"/>
          <w:marRight w:val="0"/>
          <w:marTop w:val="0"/>
          <w:marBottom w:val="101"/>
          <w:divBdr>
            <w:top w:val="none" w:sz="0" w:space="0" w:color="auto"/>
            <w:left w:val="none" w:sz="0" w:space="0" w:color="auto"/>
            <w:bottom w:val="none" w:sz="0" w:space="0" w:color="auto"/>
            <w:right w:val="none" w:sz="0" w:space="0" w:color="auto"/>
          </w:divBdr>
        </w:div>
        <w:div w:id="2029747331">
          <w:marLeft w:val="864"/>
          <w:marRight w:val="0"/>
          <w:marTop w:val="0"/>
          <w:marBottom w:val="101"/>
          <w:divBdr>
            <w:top w:val="none" w:sz="0" w:space="0" w:color="auto"/>
            <w:left w:val="none" w:sz="0" w:space="0" w:color="auto"/>
            <w:bottom w:val="none" w:sz="0" w:space="0" w:color="auto"/>
            <w:right w:val="none" w:sz="0" w:space="0" w:color="auto"/>
          </w:divBdr>
        </w:div>
        <w:div w:id="1653018229">
          <w:marLeft w:val="864"/>
          <w:marRight w:val="0"/>
          <w:marTop w:val="0"/>
          <w:marBottom w:val="101"/>
          <w:divBdr>
            <w:top w:val="none" w:sz="0" w:space="0" w:color="auto"/>
            <w:left w:val="none" w:sz="0" w:space="0" w:color="auto"/>
            <w:bottom w:val="none" w:sz="0" w:space="0" w:color="auto"/>
            <w:right w:val="none" w:sz="0" w:space="0" w:color="auto"/>
          </w:divBdr>
        </w:div>
        <w:div w:id="1014573174">
          <w:marLeft w:val="864"/>
          <w:marRight w:val="0"/>
          <w:marTop w:val="0"/>
          <w:marBottom w:val="101"/>
          <w:divBdr>
            <w:top w:val="none" w:sz="0" w:space="0" w:color="auto"/>
            <w:left w:val="none" w:sz="0" w:space="0" w:color="auto"/>
            <w:bottom w:val="none" w:sz="0" w:space="0" w:color="auto"/>
            <w:right w:val="none" w:sz="0" w:space="0" w:color="auto"/>
          </w:divBdr>
        </w:div>
        <w:div w:id="1377046553">
          <w:marLeft w:val="0"/>
          <w:marRight w:val="0"/>
          <w:marTop w:val="0"/>
          <w:marBottom w:val="101"/>
          <w:divBdr>
            <w:top w:val="none" w:sz="0" w:space="0" w:color="auto"/>
            <w:left w:val="none" w:sz="0" w:space="0" w:color="auto"/>
            <w:bottom w:val="none" w:sz="0" w:space="0" w:color="auto"/>
            <w:right w:val="none" w:sz="0" w:space="0" w:color="auto"/>
          </w:divBdr>
        </w:div>
        <w:div w:id="547423528">
          <w:marLeft w:val="864"/>
          <w:marRight w:val="0"/>
          <w:marTop w:val="0"/>
          <w:marBottom w:val="101"/>
          <w:divBdr>
            <w:top w:val="none" w:sz="0" w:space="0" w:color="auto"/>
            <w:left w:val="none" w:sz="0" w:space="0" w:color="auto"/>
            <w:bottom w:val="none" w:sz="0" w:space="0" w:color="auto"/>
            <w:right w:val="none" w:sz="0" w:space="0" w:color="auto"/>
          </w:divBdr>
        </w:div>
        <w:div w:id="1602834492">
          <w:marLeft w:val="864"/>
          <w:marRight w:val="0"/>
          <w:marTop w:val="0"/>
          <w:marBottom w:val="101"/>
          <w:divBdr>
            <w:top w:val="none" w:sz="0" w:space="0" w:color="auto"/>
            <w:left w:val="none" w:sz="0" w:space="0" w:color="auto"/>
            <w:bottom w:val="none" w:sz="0" w:space="0" w:color="auto"/>
            <w:right w:val="none" w:sz="0" w:space="0" w:color="auto"/>
          </w:divBdr>
        </w:div>
        <w:div w:id="810367060">
          <w:marLeft w:val="864"/>
          <w:marRight w:val="0"/>
          <w:marTop w:val="0"/>
          <w:marBottom w:val="101"/>
          <w:divBdr>
            <w:top w:val="none" w:sz="0" w:space="0" w:color="auto"/>
            <w:left w:val="none" w:sz="0" w:space="0" w:color="auto"/>
            <w:bottom w:val="none" w:sz="0" w:space="0" w:color="auto"/>
            <w:right w:val="none" w:sz="0" w:space="0" w:color="auto"/>
          </w:divBdr>
        </w:div>
        <w:div w:id="128593730">
          <w:marLeft w:val="864"/>
          <w:marRight w:val="0"/>
          <w:marTop w:val="0"/>
          <w:marBottom w:val="101"/>
          <w:divBdr>
            <w:top w:val="none" w:sz="0" w:space="0" w:color="auto"/>
            <w:left w:val="none" w:sz="0" w:space="0" w:color="auto"/>
            <w:bottom w:val="none" w:sz="0" w:space="0" w:color="auto"/>
            <w:right w:val="none" w:sz="0" w:space="0" w:color="auto"/>
          </w:divBdr>
        </w:div>
        <w:div w:id="529298303">
          <w:marLeft w:val="864"/>
          <w:marRight w:val="0"/>
          <w:marTop w:val="0"/>
          <w:marBottom w:val="101"/>
          <w:divBdr>
            <w:top w:val="none" w:sz="0" w:space="0" w:color="auto"/>
            <w:left w:val="none" w:sz="0" w:space="0" w:color="auto"/>
            <w:bottom w:val="none" w:sz="0" w:space="0" w:color="auto"/>
            <w:right w:val="none" w:sz="0" w:space="0" w:color="auto"/>
          </w:divBdr>
        </w:div>
        <w:div w:id="2020813847">
          <w:marLeft w:val="864"/>
          <w:marRight w:val="0"/>
          <w:marTop w:val="0"/>
          <w:marBottom w:val="101"/>
          <w:divBdr>
            <w:top w:val="none" w:sz="0" w:space="0" w:color="auto"/>
            <w:left w:val="none" w:sz="0" w:space="0" w:color="auto"/>
            <w:bottom w:val="none" w:sz="0" w:space="0" w:color="auto"/>
            <w:right w:val="none" w:sz="0" w:space="0" w:color="auto"/>
          </w:divBdr>
        </w:div>
        <w:div w:id="2062508916">
          <w:marLeft w:val="864"/>
          <w:marRight w:val="0"/>
          <w:marTop w:val="0"/>
          <w:marBottom w:val="101"/>
          <w:divBdr>
            <w:top w:val="none" w:sz="0" w:space="0" w:color="auto"/>
            <w:left w:val="none" w:sz="0" w:space="0" w:color="auto"/>
            <w:bottom w:val="none" w:sz="0" w:space="0" w:color="auto"/>
            <w:right w:val="none" w:sz="0" w:space="0" w:color="auto"/>
          </w:divBdr>
        </w:div>
        <w:div w:id="274755654">
          <w:marLeft w:val="0"/>
          <w:marRight w:val="0"/>
          <w:marTop w:val="0"/>
          <w:marBottom w:val="101"/>
          <w:divBdr>
            <w:top w:val="none" w:sz="0" w:space="0" w:color="auto"/>
            <w:left w:val="none" w:sz="0" w:space="0" w:color="auto"/>
            <w:bottom w:val="none" w:sz="0" w:space="0" w:color="auto"/>
            <w:right w:val="none" w:sz="0" w:space="0" w:color="auto"/>
          </w:divBdr>
        </w:div>
        <w:div w:id="1545021088">
          <w:marLeft w:val="864"/>
          <w:marRight w:val="0"/>
          <w:marTop w:val="0"/>
          <w:marBottom w:val="101"/>
          <w:divBdr>
            <w:top w:val="none" w:sz="0" w:space="0" w:color="auto"/>
            <w:left w:val="none" w:sz="0" w:space="0" w:color="auto"/>
            <w:bottom w:val="none" w:sz="0" w:space="0" w:color="auto"/>
            <w:right w:val="none" w:sz="0" w:space="0" w:color="auto"/>
          </w:divBdr>
        </w:div>
        <w:div w:id="1234125685">
          <w:marLeft w:val="864"/>
          <w:marRight w:val="0"/>
          <w:marTop w:val="0"/>
          <w:marBottom w:val="101"/>
          <w:divBdr>
            <w:top w:val="none" w:sz="0" w:space="0" w:color="auto"/>
            <w:left w:val="none" w:sz="0" w:space="0" w:color="auto"/>
            <w:bottom w:val="none" w:sz="0" w:space="0" w:color="auto"/>
            <w:right w:val="none" w:sz="0" w:space="0" w:color="auto"/>
          </w:divBdr>
        </w:div>
        <w:div w:id="1837305192">
          <w:marLeft w:val="864"/>
          <w:marRight w:val="0"/>
          <w:marTop w:val="0"/>
          <w:marBottom w:val="101"/>
          <w:divBdr>
            <w:top w:val="none" w:sz="0" w:space="0" w:color="auto"/>
            <w:left w:val="none" w:sz="0" w:space="0" w:color="auto"/>
            <w:bottom w:val="none" w:sz="0" w:space="0" w:color="auto"/>
            <w:right w:val="none" w:sz="0" w:space="0" w:color="auto"/>
          </w:divBdr>
        </w:div>
        <w:div w:id="1342657285">
          <w:marLeft w:val="864"/>
          <w:marRight w:val="0"/>
          <w:marTop w:val="0"/>
          <w:marBottom w:val="101"/>
          <w:divBdr>
            <w:top w:val="none" w:sz="0" w:space="0" w:color="auto"/>
            <w:left w:val="none" w:sz="0" w:space="0" w:color="auto"/>
            <w:bottom w:val="none" w:sz="0" w:space="0" w:color="auto"/>
            <w:right w:val="none" w:sz="0" w:space="0" w:color="auto"/>
          </w:divBdr>
        </w:div>
        <w:div w:id="66077538">
          <w:marLeft w:val="0"/>
          <w:marRight w:val="0"/>
          <w:marTop w:val="0"/>
          <w:marBottom w:val="101"/>
          <w:divBdr>
            <w:top w:val="none" w:sz="0" w:space="0" w:color="auto"/>
            <w:left w:val="none" w:sz="0" w:space="0" w:color="auto"/>
            <w:bottom w:val="none" w:sz="0" w:space="0" w:color="auto"/>
            <w:right w:val="none" w:sz="0" w:space="0" w:color="auto"/>
          </w:divBdr>
        </w:div>
        <w:div w:id="666976413">
          <w:marLeft w:val="864"/>
          <w:marRight w:val="0"/>
          <w:marTop w:val="0"/>
          <w:marBottom w:val="101"/>
          <w:divBdr>
            <w:top w:val="none" w:sz="0" w:space="0" w:color="auto"/>
            <w:left w:val="none" w:sz="0" w:space="0" w:color="auto"/>
            <w:bottom w:val="none" w:sz="0" w:space="0" w:color="auto"/>
            <w:right w:val="none" w:sz="0" w:space="0" w:color="auto"/>
          </w:divBdr>
        </w:div>
        <w:div w:id="1779450626">
          <w:marLeft w:val="864"/>
          <w:marRight w:val="0"/>
          <w:marTop w:val="0"/>
          <w:marBottom w:val="101"/>
          <w:divBdr>
            <w:top w:val="none" w:sz="0" w:space="0" w:color="auto"/>
            <w:left w:val="none" w:sz="0" w:space="0" w:color="auto"/>
            <w:bottom w:val="none" w:sz="0" w:space="0" w:color="auto"/>
            <w:right w:val="none" w:sz="0" w:space="0" w:color="auto"/>
          </w:divBdr>
        </w:div>
        <w:div w:id="1210534669">
          <w:marLeft w:val="864"/>
          <w:marRight w:val="0"/>
          <w:marTop w:val="0"/>
          <w:marBottom w:val="101"/>
          <w:divBdr>
            <w:top w:val="none" w:sz="0" w:space="0" w:color="auto"/>
            <w:left w:val="none" w:sz="0" w:space="0" w:color="auto"/>
            <w:bottom w:val="none" w:sz="0" w:space="0" w:color="auto"/>
            <w:right w:val="none" w:sz="0" w:space="0" w:color="auto"/>
          </w:divBdr>
        </w:div>
        <w:div w:id="1173498068">
          <w:marLeft w:val="864"/>
          <w:marRight w:val="0"/>
          <w:marTop w:val="0"/>
          <w:marBottom w:val="101"/>
          <w:divBdr>
            <w:top w:val="none" w:sz="0" w:space="0" w:color="auto"/>
            <w:left w:val="none" w:sz="0" w:space="0" w:color="auto"/>
            <w:bottom w:val="none" w:sz="0" w:space="0" w:color="auto"/>
            <w:right w:val="none" w:sz="0" w:space="0" w:color="auto"/>
          </w:divBdr>
        </w:div>
        <w:div w:id="1484854026">
          <w:marLeft w:val="864"/>
          <w:marRight w:val="0"/>
          <w:marTop w:val="0"/>
          <w:marBottom w:val="101"/>
          <w:divBdr>
            <w:top w:val="none" w:sz="0" w:space="0" w:color="auto"/>
            <w:left w:val="none" w:sz="0" w:space="0" w:color="auto"/>
            <w:bottom w:val="none" w:sz="0" w:space="0" w:color="auto"/>
            <w:right w:val="none" w:sz="0" w:space="0" w:color="auto"/>
          </w:divBdr>
        </w:div>
        <w:div w:id="1717436801">
          <w:marLeft w:val="0"/>
          <w:marRight w:val="0"/>
          <w:marTop w:val="0"/>
          <w:marBottom w:val="101"/>
          <w:divBdr>
            <w:top w:val="none" w:sz="0" w:space="0" w:color="auto"/>
            <w:left w:val="none" w:sz="0" w:space="0" w:color="auto"/>
            <w:bottom w:val="none" w:sz="0" w:space="0" w:color="auto"/>
            <w:right w:val="none" w:sz="0" w:space="0" w:color="auto"/>
          </w:divBdr>
        </w:div>
        <w:div w:id="978266951">
          <w:marLeft w:val="0"/>
          <w:marRight w:val="0"/>
          <w:marTop w:val="0"/>
          <w:marBottom w:val="101"/>
          <w:divBdr>
            <w:top w:val="none" w:sz="0" w:space="0" w:color="auto"/>
            <w:left w:val="none" w:sz="0" w:space="0" w:color="auto"/>
            <w:bottom w:val="none" w:sz="0" w:space="0" w:color="auto"/>
            <w:right w:val="none" w:sz="0" w:space="0" w:color="auto"/>
          </w:divBdr>
        </w:div>
        <w:div w:id="1252743316">
          <w:marLeft w:val="864"/>
          <w:marRight w:val="0"/>
          <w:marTop w:val="0"/>
          <w:marBottom w:val="101"/>
          <w:divBdr>
            <w:top w:val="none" w:sz="0" w:space="0" w:color="auto"/>
            <w:left w:val="none" w:sz="0" w:space="0" w:color="auto"/>
            <w:bottom w:val="none" w:sz="0" w:space="0" w:color="auto"/>
            <w:right w:val="none" w:sz="0" w:space="0" w:color="auto"/>
          </w:divBdr>
        </w:div>
        <w:div w:id="1232959899">
          <w:marLeft w:val="0"/>
          <w:marRight w:val="0"/>
          <w:marTop w:val="0"/>
          <w:marBottom w:val="101"/>
          <w:divBdr>
            <w:top w:val="none" w:sz="0" w:space="0" w:color="auto"/>
            <w:left w:val="none" w:sz="0" w:space="0" w:color="auto"/>
            <w:bottom w:val="none" w:sz="0" w:space="0" w:color="auto"/>
            <w:right w:val="none" w:sz="0" w:space="0" w:color="auto"/>
          </w:divBdr>
        </w:div>
        <w:div w:id="1679963477">
          <w:marLeft w:val="0"/>
          <w:marRight w:val="0"/>
          <w:marTop w:val="0"/>
          <w:marBottom w:val="101"/>
          <w:divBdr>
            <w:top w:val="none" w:sz="0" w:space="0" w:color="auto"/>
            <w:left w:val="none" w:sz="0" w:space="0" w:color="auto"/>
            <w:bottom w:val="none" w:sz="0" w:space="0" w:color="auto"/>
            <w:right w:val="none" w:sz="0" w:space="0" w:color="auto"/>
          </w:divBdr>
        </w:div>
        <w:div w:id="614097668">
          <w:marLeft w:val="864"/>
          <w:marRight w:val="0"/>
          <w:marTop w:val="0"/>
          <w:marBottom w:val="101"/>
          <w:divBdr>
            <w:top w:val="none" w:sz="0" w:space="0" w:color="auto"/>
            <w:left w:val="none" w:sz="0" w:space="0" w:color="auto"/>
            <w:bottom w:val="none" w:sz="0" w:space="0" w:color="auto"/>
            <w:right w:val="none" w:sz="0" w:space="0" w:color="auto"/>
          </w:divBdr>
        </w:div>
        <w:div w:id="1066538937">
          <w:marLeft w:val="0"/>
          <w:marRight w:val="0"/>
          <w:marTop w:val="0"/>
          <w:marBottom w:val="101"/>
          <w:divBdr>
            <w:top w:val="none" w:sz="0" w:space="0" w:color="auto"/>
            <w:left w:val="none" w:sz="0" w:space="0" w:color="auto"/>
            <w:bottom w:val="none" w:sz="0" w:space="0" w:color="auto"/>
            <w:right w:val="none" w:sz="0" w:space="0" w:color="auto"/>
          </w:divBdr>
        </w:div>
        <w:div w:id="794100499">
          <w:marLeft w:val="864"/>
          <w:marRight w:val="0"/>
          <w:marTop w:val="0"/>
          <w:marBottom w:val="101"/>
          <w:divBdr>
            <w:top w:val="none" w:sz="0" w:space="0" w:color="auto"/>
            <w:left w:val="none" w:sz="0" w:space="0" w:color="auto"/>
            <w:bottom w:val="none" w:sz="0" w:space="0" w:color="auto"/>
            <w:right w:val="none" w:sz="0" w:space="0" w:color="auto"/>
          </w:divBdr>
        </w:div>
        <w:div w:id="92170722">
          <w:marLeft w:val="0"/>
          <w:marRight w:val="0"/>
          <w:marTop w:val="0"/>
          <w:marBottom w:val="101"/>
          <w:divBdr>
            <w:top w:val="none" w:sz="0" w:space="0" w:color="auto"/>
            <w:left w:val="none" w:sz="0" w:space="0" w:color="auto"/>
            <w:bottom w:val="none" w:sz="0" w:space="0" w:color="auto"/>
            <w:right w:val="none" w:sz="0" w:space="0" w:color="auto"/>
          </w:divBdr>
        </w:div>
        <w:div w:id="613289288">
          <w:marLeft w:val="0"/>
          <w:marRight w:val="0"/>
          <w:marTop w:val="0"/>
          <w:marBottom w:val="101"/>
          <w:divBdr>
            <w:top w:val="none" w:sz="0" w:space="0" w:color="auto"/>
            <w:left w:val="none" w:sz="0" w:space="0" w:color="auto"/>
            <w:bottom w:val="none" w:sz="0" w:space="0" w:color="auto"/>
            <w:right w:val="none" w:sz="0" w:space="0" w:color="auto"/>
          </w:divBdr>
        </w:div>
        <w:div w:id="235432087">
          <w:marLeft w:val="0"/>
          <w:marRight w:val="0"/>
          <w:marTop w:val="0"/>
          <w:marBottom w:val="101"/>
          <w:divBdr>
            <w:top w:val="none" w:sz="0" w:space="0" w:color="auto"/>
            <w:left w:val="none" w:sz="0" w:space="0" w:color="auto"/>
            <w:bottom w:val="none" w:sz="0" w:space="0" w:color="auto"/>
            <w:right w:val="none" w:sz="0" w:space="0" w:color="auto"/>
          </w:divBdr>
        </w:div>
        <w:div w:id="227108439">
          <w:marLeft w:val="0"/>
          <w:marRight w:val="0"/>
          <w:marTop w:val="0"/>
          <w:marBottom w:val="101"/>
          <w:divBdr>
            <w:top w:val="none" w:sz="0" w:space="0" w:color="auto"/>
            <w:left w:val="none" w:sz="0" w:space="0" w:color="auto"/>
            <w:bottom w:val="none" w:sz="0" w:space="0" w:color="auto"/>
            <w:right w:val="none" w:sz="0" w:space="0" w:color="auto"/>
          </w:divBdr>
        </w:div>
        <w:div w:id="728306015">
          <w:marLeft w:val="0"/>
          <w:marRight w:val="0"/>
          <w:marTop w:val="0"/>
          <w:marBottom w:val="101"/>
          <w:divBdr>
            <w:top w:val="none" w:sz="0" w:space="0" w:color="auto"/>
            <w:left w:val="none" w:sz="0" w:space="0" w:color="auto"/>
            <w:bottom w:val="none" w:sz="0" w:space="0" w:color="auto"/>
            <w:right w:val="none" w:sz="0" w:space="0" w:color="auto"/>
          </w:divBdr>
        </w:div>
        <w:div w:id="148326019">
          <w:marLeft w:val="864"/>
          <w:marRight w:val="0"/>
          <w:marTop w:val="0"/>
          <w:marBottom w:val="101"/>
          <w:divBdr>
            <w:top w:val="none" w:sz="0" w:space="0" w:color="auto"/>
            <w:left w:val="none" w:sz="0" w:space="0" w:color="auto"/>
            <w:bottom w:val="none" w:sz="0" w:space="0" w:color="auto"/>
            <w:right w:val="none" w:sz="0" w:space="0" w:color="auto"/>
          </w:divBdr>
        </w:div>
        <w:div w:id="642734887">
          <w:marLeft w:val="0"/>
          <w:marRight w:val="0"/>
          <w:marTop w:val="0"/>
          <w:marBottom w:val="101"/>
          <w:divBdr>
            <w:top w:val="none" w:sz="0" w:space="0" w:color="auto"/>
            <w:left w:val="none" w:sz="0" w:space="0" w:color="auto"/>
            <w:bottom w:val="none" w:sz="0" w:space="0" w:color="auto"/>
            <w:right w:val="none" w:sz="0" w:space="0" w:color="auto"/>
          </w:divBdr>
        </w:div>
        <w:div w:id="42876375">
          <w:marLeft w:val="0"/>
          <w:marRight w:val="0"/>
          <w:marTop w:val="0"/>
          <w:marBottom w:val="101"/>
          <w:divBdr>
            <w:top w:val="none" w:sz="0" w:space="0" w:color="auto"/>
            <w:left w:val="none" w:sz="0" w:space="0" w:color="auto"/>
            <w:bottom w:val="none" w:sz="0" w:space="0" w:color="auto"/>
            <w:right w:val="none" w:sz="0" w:space="0" w:color="auto"/>
          </w:divBdr>
        </w:div>
        <w:div w:id="2040085669">
          <w:marLeft w:val="864"/>
          <w:marRight w:val="0"/>
          <w:marTop w:val="0"/>
          <w:marBottom w:val="101"/>
          <w:divBdr>
            <w:top w:val="none" w:sz="0" w:space="0" w:color="auto"/>
            <w:left w:val="none" w:sz="0" w:space="0" w:color="auto"/>
            <w:bottom w:val="none" w:sz="0" w:space="0" w:color="auto"/>
            <w:right w:val="none" w:sz="0" w:space="0" w:color="auto"/>
          </w:divBdr>
        </w:div>
        <w:div w:id="807479607">
          <w:marLeft w:val="864"/>
          <w:marRight w:val="0"/>
          <w:marTop w:val="0"/>
          <w:marBottom w:val="101"/>
          <w:divBdr>
            <w:top w:val="none" w:sz="0" w:space="0" w:color="auto"/>
            <w:left w:val="none" w:sz="0" w:space="0" w:color="auto"/>
            <w:bottom w:val="none" w:sz="0" w:space="0" w:color="auto"/>
            <w:right w:val="none" w:sz="0" w:space="0" w:color="auto"/>
          </w:divBdr>
        </w:div>
        <w:div w:id="1132989296">
          <w:marLeft w:val="864"/>
          <w:marRight w:val="0"/>
          <w:marTop w:val="0"/>
          <w:marBottom w:val="101"/>
          <w:divBdr>
            <w:top w:val="none" w:sz="0" w:space="0" w:color="auto"/>
            <w:left w:val="none" w:sz="0" w:space="0" w:color="auto"/>
            <w:bottom w:val="none" w:sz="0" w:space="0" w:color="auto"/>
            <w:right w:val="none" w:sz="0" w:space="0" w:color="auto"/>
          </w:divBdr>
        </w:div>
        <w:div w:id="1265773261">
          <w:marLeft w:val="864"/>
          <w:marRight w:val="0"/>
          <w:marTop w:val="0"/>
          <w:marBottom w:val="101"/>
          <w:divBdr>
            <w:top w:val="none" w:sz="0" w:space="0" w:color="auto"/>
            <w:left w:val="none" w:sz="0" w:space="0" w:color="auto"/>
            <w:bottom w:val="none" w:sz="0" w:space="0" w:color="auto"/>
            <w:right w:val="none" w:sz="0" w:space="0" w:color="auto"/>
          </w:divBdr>
        </w:div>
        <w:div w:id="556286108">
          <w:marLeft w:val="864"/>
          <w:marRight w:val="0"/>
          <w:marTop w:val="0"/>
          <w:marBottom w:val="101"/>
          <w:divBdr>
            <w:top w:val="none" w:sz="0" w:space="0" w:color="auto"/>
            <w:left w:val="none" w:sz="0" w:space="0" w:color="auto"/>
            <w:bottom w:val="none" w:sz="0" w:space="0" w:color="auto"/>
            <w:right w:val="none" w:sz="0" w:space="0" w:color="auto"/>
          </w:divBdr>
        </w:div>
        <w:div w:id="814028405">
          <w:marLeft w:val="864"/>
          <w:marRight w:val="0"/>
          <w:marTop w:val="0"/>
          <w:marBottom w:val="101"/>
          <w:divBdr>
            <w:top w:val="none" w:sz="0" w:space="0" w:color="auto"/>
            <w:left w:val="none" w:sz="0" w:space="0" w:color="auto"/>
            <w:bottom w:val="none" w:sz="0" w:space="0" w:color="auto"/>
            <w:right w:val="none" w:sz="0" w:space="0" w:color="auto"/>
          </w:divBdr>
        </w:div>
        <w:div w:id="53704656">
          <w:marLeft w:val="864"/>
          <w:marRight w:val="0"/>
          <w:marTop w:val="0"/>
          <w:marBottom w:val="101"/>
          <w:divBdr>
            <w:top w:val="none" w:sz="0" w:space="0" w:color="auto"/>
            <w:left w:val="none" w:sz="0" w:space="0" w:color="auto"/>
            <w:bottom w:val="none" w:sz="0" w:space="0" w:color="auto"/>
            <w:right w:val="none" w:sz="0" w:space="0" w:color="auto"/>
          </w:divBdr>
        </w:div>
        <w:div w:id="237636569">
          <w:marLeft w:val="864"/>
          <w:marRight w:val="0"/>
          <w:marTop w:val="0"/>
          <w:marBottom w:val="101"/>
          <w:divBdr>
            <w:top w:val="none" w:sz="0" w:space="0" w:color="auto"/>
            <w:left w:val="none" w:sz="0" w:space="0" w:color="auto"/>
            <w:bottom w:val="none" w:sz="0" w:space="0" w:color="auto"/>
            <w:right w:val="none" w:sz="0" w:space="0" w:color="auto"/>
          </w:divBdr>
        </w:div>
        <w:div w:id="280458227">
          <w:marLeft w:val="864"/>
          <w:marRight w:val="0"/>
          <w:marTop w:val="0"/>
          <w:marBottom w:val="101"/>
          <w:divBdr>
            <w:top w:val="none" w:sz="0" w:space="0" w:color="auto"/>
            <w:left w:val="none" w:sz="0" w:space="0" w:color="auto"/>
            <w:bottom w:val="none" w:sz="0" w:space="0" w:color="auto"/>
            <w:right w:val="none" w:sz="0" w:space="0" w:color="auto"/>
          </w:divBdr>
        </w:div>
        <w:div w:id="1695184697">
          <w:marLeft w:val="864"/>
          <w:marRight w:val="0"/>
          <w:marTop w:val="0"/>
          <w:marBottom w:val="101"/>
          <w:divBdr>
            <w:top w:val="none" w:sz="0" w:space="0" w:color="auto"/>
            <w:left w:val="none" w:sz="0" w:space="0" w:color="auto"/>
            <w:bottom w:val="none" w:sz="0" w:space="0" w:color="auto"/>
            <w:right w:val="none" w:sz="0" w:space="0" w:color="auto"/>
          </w:divBdr>
        </w:div>
        <w:div w:id="43868591">
          <w:marLeft w:val="864"/>
          <w:marRight w:val="0"/>
          <w:marTop w:val="0"/>
          <w:marBottom w:val="101"/>
          <w:divBdr>
            <w:top w:val="none" w:sz="0" w:space="0" w:color="auto"/>
            <w:left w:val="none" w:sz="0" w:space="0" w:color="auto"/>
            <w:bottom w:val="none" w:sz="0" w:space="0" w:color="auto"/>
            <w:right w:val="none" w:sz="0" w:space="0" w:color="auto"/>
          </w:divBdr>
        </w:div>
        <w:div w:id="157498135">
          <w:marLeft w:val="864"/>
          <w:marRight w:val="0"/>
          <w:marTop w:val="0"/>
          <w:marBottom w:val="101"/>
          <w:divBdr>
            <w:top w:val="none" w:sz="0" w:space="0" w:color="auto"/>
            <w:left w:val="none" w:sz="0" w:space="0" w:color="auto"/>
            <w:bottom w:val="none" w:sz="0" w:space="0" w:color="auto"/>
            <w:right w:val="none" w:sz="0" w:space="0" w:color="auto"/>
          </w:divBdr>
        </w:div>
        <w:div w:id="1909261040">
          <w:marLeft w:val="864"/>
          <w:marRight w:val="0"/>
          <w:marTop w:val="0"/>
          <w:marBottom w:val="101"/>
          <w:divBdr>
            <w:top w:val="none" w:sz="0" w:space="0" w:color="auto"/>
            <w:left w:val="none" w:sz="0" w:space="0" w:color="auto"/>
            <w:bottom w:val="none" w:sz="0" w:space="0" w:color="auto"/>
            <w:right w:val="none" w:sz="0" w:space="0" w:color="auto"/>
          </w:divBdr>
        </w:div>
        <w:div w:id="726802104">
          <w:marLeft w:val="864"/>
          <w:marRight w:val="0"/>
          <w:marTop w:val="0"/>
          <w:marBottom w:val="101"/>
          <w:divBdr>
            <w:top w:val="none" w:sz="0" w:space="0" w:color="auto"/>
            <w:left w:val="none" w:sz="0" w:space="0" w:color="auto"/>
            <w:bottom w:val="none" w:sz="0" w:space="0" w:color="auto"/>
            <w:right w:val="none" w:sz="0" w:space="0" w:color="auto"/>
          </w:divBdr>
        </w:div>
        <w:div w:id="247617058">
          <w:marLeft w:val="864"/>
          <w:marRight w:val="0"/>
          <w:marTop w:val="0"/>
          <w:marBottom w:val="101"/>
          <w:divBdr>
            <w:top w:val="none" w:sz="0" w:space="0" w:color="auto"/>
            <w:left w:val="none" w:sz="0" w:space="0" w:color="auto"/>
            <w:bottom w:val="none" w:sz="0" w:space="0" w:color="auto"/>
            <w:right w:val="none" w:sz="0" w:space="0" w:color="auto"/>
          </w:divBdr>
        </w:div>
        <w:div w:id="2117863886">
          <w:marLeft w:val="864"/>
          <w:marRight w:val="0"/>
          <w:marTop w:val="0"/>
          <w:marBottom w:val="101"/>
          <w:divBdr>
            <w:top w:val="none" w:sz="0" w:space="0" w:color="auto"/>
            <w:left w:val="none" w:sz="0" w:space="0" w:color="auto"/>
            <w:bottom w:val="none" w:sz="0" w:space="0" w:color="auto"/>
            <w:right w:val="none" w:sz="0" w:space="0" w:color="auto"/>
          </w:divBdr>
        </w:div>
        <w:div w:id="675765821">
          <w:marLeft w:val="0"/>
          <w:marRight w:val="0"/>
          <w:marTop w:val="0"/>
          <w:marBottom w:val="101"/>
          <w:divBdr>
            <w:top w:val="none" w:sz="0" w:space="0" w:color="auto"/>
            <w:left w:val="none" w:sz="0" w:space="0" w:color="auto"/>
            <w:bottom w:val="none" w:sz="0" w:space="0" w:color="auto"/>
            <w:right w:val="none" w:sz="0" w:space="0" w:color="auto"/>
          </w:divBdr>
        </w:div>
        <w:div w:id="1615097317">
          <w:marLeft w:val="0"/>
          <w:marRight w:val="0"/>
          <w:marTop w:val="0"/>
          <w:marBottom w:val="101"/>
          <w:divBdr>
            <w:top w:val="none" w:sz="0" w:space="0" w:color="auto"/>
            <w:left w:val="none" w:sz="0" w:space="0" w:color="auto"/>
            <w:bottom w:val="none" w:sz="0" w:space="0" w:color="auto"/>
            <w:right w:val="none" w:sz="0" w:space="0" w:color="auto"/>
          </w:divBdr>
        </w:div>
        <w:div w:id="568804646">
          <w:marLeft w:val="0"/>
          <w:marRight w:val="0"/>
          <w:marTop w:val="0"/>
          <w:marBottom w:val="101"/>
          <w:divBdr>
            <w:top w:val="none" w:sz="0" w:space="0" w:color="auto"/>
            <w:left w:val="none" w:sz="0" w:space="0" w:color="auto"/>
            <w:bottom w:val="none" w:sz="0" w:space="0" w:color="auto"/>
            <w:right w:val="none" w:sz="0" w:space="0" w:color="auto"/>
          </w:divBdr>
        </w:div>
        <w:div w:id="1608392276">
          <w:marLeft w:val="0"/>
          <w:marRight w:val="0"/>
          <w:marTop w:val="0"/>
          <w:marBottom w:val="101"/>
          <w:divBdr>
            <w:top w:val="none" w:sz="0" w:space="0" w:color="auto"/>
            <w:left w:val="none" w:sz="0" w:space="0" w:color="auto"/>
            <w:bottom w:val="none" w:sz="0" w:space="0" w:color="auto"/>
            <w:right w:val="none" w:sz="0" w:space="0" w:color="auto"/>
          </w:divBdr>
        </w:div>
        <w:div w:id="342318904">
          <w:marLeft w:val="0"/>
          <w:marRight w:val="0"/>
          <w:marTop w:val="0"/>
          <w:marBottom w:val="101"/>
          <w:divBdr>
            <w:top w:val="none" w:sz="0" w:space="0" w:color="auto"/>
            <w:left w:val="none" w:sz="0" w:space="0" w:color="auto"/>
            <w:bottom w:val="none" w:sz="0" w:space="0" w:color="auto"/>
            <w:right w:val="none" w:sz="0" w:space="0" w:color="auto"/>
          </w:divBdr>
        </w:div>
        <w:div w:id="387993490">
          <w:marLeft w:val="0"/>
          <w:marRight w:val="0"/>
          <w:marTop w:val="0"/>
          <w:marBottom w:val="101"/>
          <w:divBdr>
            <w:top w:val="none" w:sz="0" w:space="0" w:color="auto"/>
            <w:left w:val="none" w:sz="0" w:space="0" w:color="auto"/>
            <w:bottom w:val="none" w:sz="0" w:space="0" w:color="auto"/>
            <w:right w:val="none" w:sz="0" w:space="0" w:color="auto"/>
          </w:divBdr>
        </w:div>
        <w:div w:id="1115366734">
          <w:marLeft w:val="0"/>
          <w:marRight w:val="0"/>
          <w:marTop w:val="0"/>
          <w:marBottom w:val="101"/>
          <w:divBdr>
            <w:top w:val="none" w:sz="0" w:space="0" w:color="auto"/>
            <w:left w:val="none" w:sz="0" w:space="0" w:color="auto"/>
            <w:bottom w:val="none" w:sz="0" w:space="0" w:color="auto"/>
            <w:right w:val="none" w:sz="0" w:space="0" w:color="auto"/>
          </w:divBdr>
        </w:div>
        <w:div w:id="618490075">
          <w:marLeft w:val="0"/>
          <w:marRight w:val="0"/>
          <w:marTop w:val="0"/>
          <w:marBottom w:val="101"/>
          <w:divBdr>
            <w:top w:val="none" w:sz="0" w:space="0" w:color="auto"/>
            <w:left w:val="none" w:sz="0" w:space="0" w:color="auto"/>
            <w:bottom w:val="none" w:sz="0" w:space="0" w:color="auto"/>
            <w:right w:val="none" w:sz="0" w:space="0" w:color="auto"/>
          </w:divBdr>
        </w:div>
        <w:div w:id="1007170197">
          <w:marLeft w:val="0"/>
          <w:marRight w:val="0"/>
          <w:marTop w:val="0"/>
          <w:marBottom w:val="101"/>
          <w:divBdr>
            <w:top w:val="none" w:sz="0" w:space="0" w:color="auto"/>
            <w:left w:val="none" w:sz="0" w:space="0" w:color="auto"/>
            <w:bottom w:val="none" w:sz="0" w:space="0" w:color="auto"/>
            <w:right w:val="none" w:sz="0" w:space="0" w:color="auto"/>
          </w:divBdr>
        </w:div>
        <w:div w:id="254434980">
          <w:marLeft w:val="0"/>
          <w:marRight w:val="0"/>
          <w:marTop w:val="0"/>
          <w:marBottom w:val="101"/>
          <w:divBdr>
            <w:top w:val="none" w:sz="0" w:space="0" w:color="auto"/>
            <w:left w:val="none" w:sz="0" w:space="0" w:color="auto"/>
            <w:bottom w:val="none" w:sz="0" w:space="0" w:color="auto"/>
            <w:right w:val="none" w:sz="0" w:space="0" w:color="auto"/>
          </w:divBdr>
        </w:div>
        <w:div w:id="1548486847">
          <w:marLeft w:val="0"/>
          <w:marRight w:val="0"/>
          <w:marTop w:val="0"/>
          <w:marBottom w:val="101"/>
          <w:divBdr>
            <w:top w:val="none" w:sz="0" w:space="0" w:color="auto"/>
            <w:left w:val="none" w:sz="0" w:space="0" w:color="auto"/>
            <w:bottom w:val="none" w:sz="0" w:space="0" w:color="auto"/>
            <w:right w:val="none" w:sz="0" w:space="0" w:color="auto"/>
          </w:divBdr>
        </w:div>
        <w:div w:id="98646064">
          <w:marLeft w:val="0"/>
          <w:marRight w:val="0"/>
          <w:marTop w:val="0"/>
          <w:marBottom w:val="101"/>
          <w:divBdr>
            <w:top w:val="none" w:sz="0" w:space="0" w:color="auto"/>
            <w:left w:val="none" w:sz="0" w:space="0" w:color="auto"/>
            <w:bottom w:val="none" w:sz="0" w:space="0" w:color="auto"/>
            <w:right w:val="none" w:sz="0" w:space="0" w:color="auto"/>
          </w:divBdr>
        </w:div>
        <w:div w:id="819272022">
          <w:marLeft w:val="0"/>
          <w:marRight w:val="0"/>
          <w:marTop w:val="0"/>
          <w:marBottom w:val="101"/>
          <w:divBdr>
            <w:top w:val="none" w:sz="0" w:space="0" w:color="auto"/>
            <w:left w:val="none" w:sz="0" w:space="0" w:color="auto"/>
            <w:bottom w:val="none" w:sz="0" w:space="0" w:color="auto"/>
            <w:right w:val="none" w:sz="0" w:space="0" w:color="auto"/>
          </w:divBdr>
        </w:div>
        <w:div w:id="16202080">
          <w:marLeft w:val="0"/>
          <w:marRight w:val="0"/>
          <w:marTop w:val="0"/>
          <w:marBottom w:val="101"/>
          <w:divBdr>
            <w:top w:val="none" w:sz="0" w:space="0" w:color="auto"/>
            <w:left w:val="none" w:sz="0" w:space="0" w:color="auto"/>
            <w:bottom w:val="none" w:sz="0" w:space="0" w:color="auto"/>
            <w:right w:val="none" w:sz="0" w:space="0" w:color="auto"/>
          </w:divBdr>
        </w:div>
        <w:div w:id="958224602">
          <w:marLeft w:val="0"/>
          <w:marRight w:val="0"/>
          <w:marTop w:val="0"/>
          <w:marBottom w:val="101"/>
          <w:divBdr>
            <w:top w:val="none" w:sz="0" w:space="0" w:color="auto"/>
            <w:left w:val="none" w:sz="0" w:space="0" w:color="auto"/>
            <w:bottom w:val="none" w:sz="0" w:space="0" w:color="auto"/>
            <w:right w:val="none" w:sz="0" w:space="0" w:color="auto"/>
          </w:divBdr>
        </w:div>
        <w:div w:id="1452629230">
          <w:marLeft w:val="0"/>
          <w:marRight w:val="0"/>
          <w:marTop w:val="0"/>
          <w:marBottom w:val="101"/>
          <w:divBdr>
            <w:top w:val="none" w:sz="0" w:space="0" w:color="auto"/>
            <w:left w:val="none" w:sz="0" w:space="0" w:color="auto"/>
            <w:bottom w:val="none" w:sz="0" w:space="0" w:color="auto"/>
            <w:right w:val="none" w:sz="0" w:space="0" w:color="auto"/>
          </w:divBdr>
        </w:div>
        <w:div w:id="678652785">
          <w:marLeft w:val="0"/>
          <w:marRight w:val="0"/>
          <w:marTop w:val="0"/>
          <w:marBottom w:val="101"/>
          <w:divBdr>
            <w:top w:val="none" w:sz="0" w:space="0" w:color="auto"/>
            <w:left w:val="none" w:sz="0" w:space="0" w:color="auto"/>
            <w:bottom w:val="none" w:sz="0" w:space="0" w:color="auto"/>
            <w:right w:val="none" w:sz="0" w:space="0" w:color="auto"/>
          </w:divBdr>
        </w:div>
        <w:div w:id="1991400174">
          <w:marLeft w:val="0"/>
          <w:marRight w:val="0"/>
          <w:marTop w:val="0"/>
          <w:marBottom w:val="101"/>
          <w:divBdr>
            <w:top w:val="none" w:sz="0" w:space="0" w:color="auto"/>
            <w:left w:val="none" w:sz="0" w:space="0" w:color="auto"/>
            <w:bottom w:val="none" w:sz="0" w:space="0" w:color="auto"/>
            <w:right w:val="none" w:sz="0" w:space="0" w:color="auto"/>
          </w:divBdr>
        </w:div>
        <w:div w:id="182715628">
          <w:marLeft w:val="0"/>
          <w:marRight w:val="0"/>
          <w:marTop w:val="0"/>
          <w:marBottom w:val="101"/>
          <w:divBdr>
            <w:top w:val="none" w:sz="0" w:space="0" w:color="auto"/>
            <w:left w:val="none" w:sz="0" w:space="0" w:color="auto"/>
            <w:bottom w:val="none" w:sz="0" w:space="0" w:color="auto"/>
            <w:right w:val="none" w:sz="0" w:space="0" w:color="auto"/>
          </w:divBdr>
        </w:div>
        <w:div w:id="1434743889">
          <w:marLeft w:val="0"/>
          <w:marRight w:val="0"/>
          <w:marTop w:val="0"/>
          <w:marBottom w:val="101"/>
          <w:divBdr>
            <w:top w:val="none" w:sz="0" w:space="0" w:color="auto"/>
            <w:left w:val="none" w:sz="0" w:space="0" w:color="auto"/>
            <w:bottom w:val="none" w:sz="0" w:space="0" w:color="auto"/>
            <w:right w:val="none" w:sz="0" w:space="0" w:color="auto"/>
          </w:divBdr>
        </w:div>
        <w:div w:id="2098284322">
          <w:marLeft w:val="0"/>
          <w:marRight w:val="0"/>
          <w:marTop w:val="0"/>
          <w:marBottom w:val="101"/>
          <w:divBdr>
            <w:top w:val="none" w:sz="0" w:space="0" w:color="auto"/>
            <w:left w:val="none" w:sz="0" w:space="0" w:color="auto"/>
            <w:bottom w:val="none" w:sz="0" w:space="0" w:color="auto"/>
            <w:right w:val="none" w:sz="0" w:space="0" w:color="auto"/>
          </w:divBdr>
        </w:div>
        <w:div w:id="322438779">
          <w:marLeft w:val="0"/>
          <w:marRight w:val="0"/>
          <w:marTop w:val="0"/>
          <w:marBottom w:val="101"/>
          <w:divBdr>
            <w:top w:val="none" w:sz="0" w:space="0" w:color="auto"/>
            <w:left w:val="none" w:sz="0" w:space="0" w:color="auto"/>
            <w:bottom w:val="none" w:sz="0" w:space="0" w:color="auto"/>
            <w:right w:val="none" w:sz="0" w:space="0" w:color="auto"/>
          </w:divBdr>
        </w:div>
        <w:div w:id="671374811">
          <w:marLeft w:val="0"/>
          <w:marRight w:val="0"/>
          <w:marTop w:val="0"/>
          <w:marBottom w:val="101"/>
          <w:divBdr>
            <w:top w:val="none" w:sz="0" w:space="0" w:color="auto"/>
            <w:left w:val="none" w:sz="0" w:space="0" w:color="auto"/>
            <w:bottom w:val="none" w:sz="0" w:space="0" w:color="auto"/>
            <w:right w:val="none" w:sz="0" w:space="0" w:color="auto"/>
          </w:divBdr>
        </w:div>
        <w:div w:id="1232422687">
          <w:marLeft w:val="0"/>
          <w:marRight w:val="0"/>
          <w:marTop w:val="0"/>
          <w:marBottom w:val="101"/>
          <w:divBdr>
            <w:top w:val="none" w:sz="0" w:space="0" w:color="auto"/>
            <w:left w:val="none" w:sz="0" w:space="0" w:color="auto"/>
            <w:bottom w:val="none" w:sz="0" w:space="0" w:color="auto"/>
            <w:right w:val="none" w:sz="0" w:space="0" w:color="auto"/>
          </w:divBdr>
        </w:div>
        <w:div w:id="322008440">
          <w:marLeft w:val="0"/>
          <w:marRight w:val="0"/>
          <w:marTop w:val="0"/>
          <w:marBottom w:val="101"/>
          <w:divBdr>
            <w:top w:val="none" w:sz="0" w:space="0" w:color="auto"/>
            <w:left w:val="none" w:sz="0" w:space="0" w:color="auto"/>
            <w:bottom w:val="none" w:sz="0" w:space="0" w:color="auto"/>
            <w:right w:val="none" w:sz="0" w:space="0" w:color="auto"/>
          </w:divBdr>
        </w:div>
        <w:div w:id="742724956">
          <w:marLeft w:val="0"/>
          <w:marRight w:val="0"/>
          <w:marTop w:val="0"/>
          <w:marBottom w:val="101"/>
          <w:divBdr>
            <w:top w:val="none" w:sz="0" w:space="0" w:color="auto"/>
            <w:left w:val="none" w:sz="0" w:space="0" w:color="auto"/>
            <w:bottom w:val="none" w:sz="0" w:space="0" w:color="auto"/>
            <w:right w:val="none" w:sz="0" w:space="0" w:color="auto"/>
          </w:divBdr>
        </w:div>
        <w:div w:id="2137792159">
          <w:marLeft w:val="0"/>
          <w:marRight w:val="0"/>
          <w:marTop w:val="0"/>
          <w:marBottom w:val="101"/>
          <w:divBdr>
            <w:top w:val="none" w:sz="0" w:space="0" w:color="auto"/>
            <w:left w:val="none" w:sz="0" w:space="0" w:color="auto"/>
            <w:bottom w:val="none" w:sz="0" w:space="0" w:color="auto"/>
            <w:right w:val="none" w:sz="0" w:space="0" w:color="auto"/>
          </w:divBdr>
        </w:div>
        <w:div w:id="994916374">
          <w:marLeft w:val="864"/>
          <w:marRight w:val="0"/>
          <w:marTop w:val="0"/>
          <w:marBottom w:val="101"/>
          <w:divBdr>
            <w:top w:val="none" w:sz="0" w:space="0" w:color="auto"/>
            <w:left w:val="none" w:sz="0" w:space="0" w:color="auto"/>
            <w:bottom w:val="none" w:sz="0" w:space="0" w:color="auto"/>
            <w:right w:val="none" w:sz="0" w:space="0" w:color="auto"/>
          </w:divBdr>
        </w:div>
        <w:div w:id="713890778">
          <w:marLeft w:val="864"/>
          <w:marRight w:val="0"/>
          <w:marTop w:val="0"/>
          <w:marBottom w:val="101"/>
          <w:divBdr>
            <w:top w:val="none" w:sz="0" w:space="0" w:color="auto"/>
            <w:left w:val="none" w:sz="0" w:space="0" w:color="auto"/>
            <w:bottom w:val="none" w:sz="0" w:space="0" w:color="auto"/>
            <w:right w:val="none" w:sz="0" w:space="0" w:color="auto"/>
          </w:divBdr>
        </w:div>
        <w:div w:id="101341539">
          <w:marLeft w:val="864"/>
          <w:marRight w:val="0"/>
          <w:marTop w:val="0"/>
          <w:marBottom w:val="101"/>
          <w:divBdr>
            <w:top w:val="none" w:sz="0" w:space="0" w:color="auto"/>
            <w:left w:val="none" w:sz="0" w:space="0" w:color="auto"/>
            <w:bottom w:val="none" w:sz="0" w:space="0" w:color="auto"/>
            <w:right w:val="none" w:sz="0" w:space="0" w:color="auto"/>
          </w:divBdr>
        </w:div>
        <w:div w:id="1600064044">
          <w:marLeft w:val="864"/>
          <w:marRight w:val="0"/>
          <w:marTop w:val="0"/>
          <w:marBottom w:val="101"/>
          <w:divBdr>
            <w:top w:val="none" w:sz="0" w:space="0" w:color="auto"/>
            <w:left w:val="none" w:sz="0" w:space="0" w:color="auto"/>
            <w:bottom w:val="none" w:sz="0" w:space="0" w:color="auto"/>
            <w:right w:val="none" w:sz="0" w:space="0" w:color="auto"/>
          </w:divBdr>
        </w:div>
        <w:div w:id="966668019">
          <w:marLeft w:val="864"/>
          <w:marRight w:val="0"/>
          <w:marTop w:val="0"/>
          <w:marBottom w:val="101"/>
          <w:divBdr>
            <w:top w:val="none" w:sz="0" w:space="0" w:color="auto"/>
            <w:left w:val="none" w:sz="0" w:space="0" w:color="auto"/>
            <w:bottom w:val="none" w:sz="0" w:space="0" w:color="auto"/>
            <w:right w:val="none" w:sz="0" w:space="0" w:color="auto"/>
          </w:divBdr>
        </w:div>
        <w:div w:id="1089889629">
          <w:marLeft w:val="864"/>
          <w:marRight w:val="0"/>
          <w:marTop w:val="0"/>
          <w:marBottom w:val="101"/>
          <w:divBdr>
            <w:top w:val="none" w:sz="0" w:space="0" w:color="auto"/>
            <w:left w:val="none" w:sz="0" w:space="0" w:color="auto"/>
            <w:bottom w:val="none" w:sz="0" w:space="0" w:color="auto"/>
            <w:right w:val="none" w:sz="0" w:space="0" w:color="auto"/>
          </w:divBdr>
        </w:div>
        <w:div w:id="1296983783">
          <w:marLeft w:val="864"/>
          <w:marRight w:val="0"/>
          <w:marTop w:val="0"/>
          <w:marBottom w:val="101"/>
          <w:divBdr>
            <w:top w:val="none" w:sz="0" w:space="0" w:color="auto"/>
            <w:left w:val="none" w:sz="0" w:space="0" w:color="auto"/>
            <w:bottom w:val="none" w:sz="0" w:space="0" w:color="auto"/>
            <w:right w:val="none" w:sz="0" w:space="0" w:color="auto"/>
          </w:divBdr>
        </w:div>
        <w:div w:id="1132018275">
          <w:marLeft w:val="0"/>
          <w:marRight w:val="0"/>
          <w:marTop w:val="0"/>
          <w:marBottom w:val="101"/>
          <w:divBdr>
            <w:top w:val="none" w:sz="0" w:space="0" w:color="auto"/>
            <w:left w:val="none" w:sz="0" w:space="0" w:color="auto"/>
            <w:bottom w:val="none" w:sz="0" w:space="0" w:color="auto"/>
            <w:right w:val="none" w:sz="0" w:space="0" w:color="auto"/>
          </w:divBdr>
        </w:div>
        <w:div w:id="2134907022">
          <w:marLeft w:val="0"/>
          <w:marRight w:val="0"/>
          <w:marTop w:val="0"/>
          <w:marBottom w:val="101"/>
          <w:divBdr>
            <w:top w:val="none" w:sz="0" w:space="0" w:color="auto"/>
            <w:left w:val="none" w:sz="0" w:space="0" w:color="auto"/>
            <w:bottom w:val="none" w:sz="0" w:space="0" w:color="auto"/>
            <w:right w:val="none" w:sz="0" w:space="0" w:color="auto"/>
          </w:divBdr>
        </w:div>
        <w:div w:id="90709484">
          <w:marLeft w:val="864"/>
          <w:marRight w:val="0"/>
          <w:marTop w:val="0"/>
          <w:marBottom w:val="101"/>
          <w:divBdr>
            <w:top w:val="none" w:sz="0" w:space="0" w:color="auto"/>
            <w:left w:val="none" w:sz="0" w:space="0" w:color="auto"/>
            <w:bottom w:val="none" w:sz="0" w:space="0" w:color="auto"/>
            <w:right w:val="none" w:sz="0" w:space="0" w:color="auto"/>
          </w:divBdr>
        </w:div>
        <w:div w:id="1941570634">
          <w:marLeft w:val="864"/>
          <w:marRight w:val="0"/>
          <w:marTop w:val="0"/>
          <w:marBottom w:val="101"/>
          <w:divBdr>
            <w:top w:val="none" w:sz="0" w:space="0" w:color="auto"/>
            <w:left w:val="none" w:sz="0" w:space="0" w:color="auto"/>
            <w:bottom w:val="none" w:sz="0" w:space="0" w:color="auto"/>
            <w:right w:val="none" w:sz="0" w:space="0" w:color="auto"/>
          </w:divBdr>
        </w:div>
        <w:div w:id="456603567">
          <w:marLeft w:val="864"/>
          <w:marRight w:val="0"/>
          <w:marTop w:val="0"/>
          <w:marBottom w:val="101"/>
          <w:divBdr>
            <w:top w:val="none" w:sz="0" w:space="0" w:color="auto"/>
            <w:left w:val="none" w:sz="0" w:space="0" w:color="auto"/>
            <w:bottom w:val="none" w:sz="0" w:space="0" w:color="auto"/>
            <w:right w:val="none" w:sz="0" w:space="0" w:color="auto"/>
          </w:divBdr>
        </w:div>
        <w:div w:id="1361470536">
          <w:marLeft w:val="864"/>
          <w:marRight w:val="0"/>
          <w:marTop w:val="0"/>
          <w:marBottom w:val="101"/>
          <w:divBdr>
            <w:top w:val="none" w:sz="0" w:space="0" w:color="auto"/>
            <w:left w:val="none" w:sz="0" w:space="0" w:color="auto"/>
            <w:bottom w:val="none" w:sz="0" w:space="0" w:color="auto"/>
            <w:right w:val="none" w:sz="0" w:space="0" w:color="auto"/>
          </w:divBdr>
        </w:div>
        <w:div w:id="1163013079">
          <w:marLeft w:val="864"/>
          <w:marRight w:val="0"/>
          <w:marTop w:val="0"/>
          <w:marBottom w:val="101"/>
          <w:divBdr>
            <w:top w:val="none" w:sz="0" w:space="0" w:color="auto"/>
            <w:left w:val="none" w:sz="0" w:space="0" w:color="auto"/>
            <w:bottom w:val="none" w:sz="0" w:space="0" w:color="auto"/>
            <w:right w:val="none" w:sz="0" w:space="0" w:color="auto"/>
          </w:divBdr>
        </w:div>
        <w:div w:id="1510952008">
          <w:marLeft w:val="864"/>
          <w:marRight w:val="0"/>
          <w:marTop w:val="0"/>
          <w:marBottom w:val="101"/>
          <w:divBdr>
            <w:top w:val="none" w:sz="0" w:space="0" w:color="auto"/>
            <w:left w:val="none" w:sz="0" w:space="0" w:color="auto"/>
            <w:bottom w:val="none" w:sz="0" w:space="0" w:color="auto"/>
            <w:right w:val="none" w:sz="0" w:space="0" w:color="auto"/>
          </w:divBdr>
        </w:div>
        <w:div w:id="1947880409">
          <w:marLeft w:val="1296"/>
          <w:marRight w:val="0"/>
          <w:marTop w:val="0"/>
          <w:marBottom w:val="101"/>
          <w:divBdr>
            <w:top w:val="none" w:sz="0" w:space="0" w:color="auto"/>
            <w:left w:val="none" w:sz="0" w:space="0" w:color="auto"/>
            <w:bottom w:val="none" w:sz="0" w:space="0" w:color="auto"/>
            <w:right w:val="none" w:sz="0" w:space="0" w:color="auto"/>
          </w:divBdr>
        </w:div>
        <w:div w:id="1950045159">
          <w:marLeft w:val="1296"/>
          <w:marRight w:val="0"/>
          <w:marTop w:val="0"/>
          <w:marBottom w:val="101"/>
          <w:divBdr>
            <w:top w:val="none" w:sz="0" w:space="0" w:color="auto"/>
            <w:left w:val="none" w:sz="0" w:space="0" w:color="auto"/>
            <w:bottom w:val="none" w:sz="0" w:space="0" w:color="auto"/>
            <w:right w:val="none" w:sz="0" w:space="0" w:color="auto"/>
          </w:divBdr>
        </w:div>
        <w:div w:id="1471825640">
          <w:marLeft w:val="1296"/>
          <w:marRight w:val="0"/>
          <w:marTop w:val="0"/>
          <w:marBottom w:val="101"/>
          <w:divBdr>
            <w:top w:val="none" w:sz="0" w:space="0" w:color="auto"/>
            <w:left w:val="none" w:sz="0" w:space="0" w:color="auto"/>
            <w:bottom w:val="none" w:sz="0" w:space="0" w:color="auto"/>
            <w:right w:val="none" w:sz="0" w:space="0" w:color="auto"/>
          </w:divBdr>
        </w:div>
        <w:div w:id="1455440517">
          <w:marLeft w:val="1296"/>
          <w:marRight w:val="0"/>
          <w:marTop w:val="0"/>
          <w:marBottom w:val="101"/>
          <w:divBdr>
            <w:top w:val="none" w:sz="0" w:space="0" w:color="auto"/>
            <w:left w:val="none" w:sz="0" w:space="0" w:color="auto"/>
            <w:bottom w:val="none" w:sz="0" w:space="0" w:color="auto"/>
            <w:right w:val="none" w:sz="0" w:space="0" w:color="auto"/>
          </w:divBdr>
        </w:div>
        <w:div w:id="301738854">
          <w:marLeft w:val="1296"/>
          <w:marRight w:val="0"/>
          <w:marTop w:val="0"/>
          <w:marBottom w:val="101"/>
          <w:divBdr>
            <w:top w:val="none" w:sz="0" w:space="0" w:color="auto"/>
            <w:left w:val="none" w:sz="0" w:space="0" w:color="auto"/>
            <w:bottom w:val="none" w:sz="0" w:space="0" w:color="auto"/>
            <w:right w:val="none" w:sz="0" w:space="0" w:color="auto"/>
          </w:divBdr>
        </w:div>
        <w:div w:id="57018964">
          <w:marLeft w:val="1296"/>
          <w:marRight w:val="0"/>
          <w:marTop w:val="0"/>
          <w:marBottom w:val="101"/>
          <w:divBdr>
            <w:top w:val="none" w:sz="0" w:space="0" w:color="auto"/>
            <w:left w:val="none" w:sz="0" w:space="0" w:color="auto"/>
            <w:bottom w:val="none" w:sz="0" w:space="0" w:color="auto"/>
            <w:right w:val="none" w:sz="0" w:space="0" w:color="auto"/>
          </w:divBdr>
        </w:div>
        <w:div w:id="1227180128">
          <w:marLeft w:val="864"/>
          <w:marRight w:val="0"/>
          <w:marTop w:val="0"/>
          <w:marBottom w:val="101"/>
          <w:divBdr>
            <w:top w:val="none" w:sz="0" w:space="0" w:color="auto"/>
            <w:left w:val="none" w:sz="0" w:space="0" w:color="auto"/>
            <w:bottom w:val="none" w:sz="0" w:space="0" w:color="auto"/>
            <w:right w:val="none" w:sz="0" w:space="0" w:color="auto"/>
          </w:divBdr>
        </w:div>
        <w:div w:id="809323657">
          <w:marLeft w:val="864"/>
          <w:marRight w:val="0"/>
          <w:marTop w:val="0"/>
          <w:marBottom w:val="101"/>
          <w:divBdr>
            <w:top w:val="none" w:sz="0" w:space="0" w:color="auto"/>
            <w:left w:val="none" w:sz="0" w:space="0" w:color="auto"/>
            <w:bottom w:val="none" w:sz="0" w:space="0" w:color="auto"/>
            <w:right w:val="none" w:sz="0" w:space="0" w:color="auto"/>
          </w:divBdr>
        </w:div>
        <w:div w:id="1321543052">
          <w:marLeft w:val="864"/>
          <w:marRight w:val="0"/>
          <w:marTop w:val="0"/>
          <w:marBottom w:val="101"/>
          <w:divBdr>
            <w:top w:val="none" w:sz="0" w:space="0" w:color="auto"/>
            <w:left w:val="none" w:sz="0" w:space="0" w:color="auto"/>
            <w:bottom w:val="none" w:sz="0" w:space="0" w:color="auto"/>
            <w:right w:val="none" w:sz="0" w:space="0" w:color="auto"/>
          </w:divBdr>
        </w:div>
        <w:div w:id="2110612586">
          <w:marLeft w:val="864"/>
          <w:marRight w:val="0"/>
          <w:marTop w:val="0"/>
          <w:marBottom w:val="101"/>
          <w:divBdr>
            <w:top w:val="none" w:sz="0" w:space="0" w:color="auto"/>
            <w:left w:val="none" w:sz="0" w:space="0" w:color="auto"/>
            <w:bottom w:val="none" w:sz="0" w:space="0" w:color="auto"/>
            <w:right w:val="none" w:sz="0" w:space="0" w:color="auto"/>
          </w:divBdr>
        </w:div>
        <w:div w:id="1425690177">
          <w:marLeft w:val="864"/>
          <w:marRight w:val="0"/>
          <w:marTop w:val="0"/>
          <w:marBottom w:val="101"/>
          <w:divBdr>
            <w:top w:val="none" w:sz="0" w:space="0" w:color="auto"/>
            <w:left w:val="none" w:sz="0" w:space="0" w:color="auto"/>
            <w:bottom w:val="none" w:sz="0" w:space="0" w:color="auto"/>
            <w:right w:val="none" w:sz="0" w:space="0" w:color="auto"/>
          </w:divBdr>
        </w:div>
        <w:div w:id="673648372">
          <w:marLeft w:val="864"/>
          <w:marRight w:val="0"/>
          <w:marTop w:val="0"/>
          <w:marBottom w:val="101"/>
          <w:divBdr>
            <w:top w:val="none" w:sz="0" w:space="0" w:color="auto"/>
            <w:left w:val="none" w:sz="0" w:space="0" w:color="auto"/>
            <w:bottom w:val="none" w:sz="0" w:space="0" w:color="auto"/>
            <w:right w:val="none" w:sz="0" w:space="0" w:color="auto"/>
          </w:divBdr>
        </w:div>
        <w:div w:id="914972167">
          <w:marLeft w:val="864"/>
          <w:marRight w:val="0"/>
          <w:marTop w:val="0"/>
          <w:marBottom w:val="101"/>
          <w:divBdr>
            <w:top w:val="none" w:sz="0" w:space="0" w:color="auto"/>
            <w:left w:val="none" w:sz="0" w:space="0" w:color="auto"/>
            <w:bottom w:val="none" w:sz="0" w:space="0" w:color="auto"/>
            <w:right w:val="none" w:sz="0" w:space="0" w:color="auto"/>
          </w:divBdr>
        </w:div>
        <w:div w:id="1457138865">
          <w:marLeft w:val="864"/>
          <w:marRight w:val="0"/>
          <w:marTop w:val="0"/>
          <w:marBottom w:val="101"/>
          <w:divBdr>
            <w:top w:val="none" w:sz="0" w:space="0" w:color="auto"/>
            <w:left w:val="none" w:sz="0" w:space="0" w:color="auto"/>
            <w:bottom w:val="none" w:sz="0" w:space="0" w:color="auto"/>
            <w:right w:val="none" w:sz="0" w:space="0" w:color="auto"/>
          </w:divBdr>
        </w:div>
        <w:div w:id="128401467">
          <w:marLeft w:val="0"/>
          <w:marRight w:val="0"/>
          <w:marTop w:val="0"/>
          <w:marBottom w:val="101"/>
          <w:divBdr>
            <w:top w:val="none" w:sz="0" w:space="0" w:color="auto"/>
            <w:left w:val="none" w:sz="0" w:space="0" w:color="auto"/>
            <w:bottom w:val="none" w:sz="0" w:space="0" w:color="auto"/>
            <w:right w:val="none" w:sz="0" w:space="0" w:color="auto"/>
          </w:divBdr>
        </w:div>
        <w:div w:id="614674430">
          <w:marLeft w:val="0"/>
          <w:marRight w:val="0"/>
          <w:marTop w:val="0"/>
          <w:marBottom w:val="101"/>
          <w:divBdr>
            <w:top w:val="none" w:sz="0" w:space="0" w:color="auto"/>
            <w:left w:val="none" w:sz="0" w:space="0" w:color="auto"/>
            <w:bottom w:val="none" w:sz="0" w:space="0" w:color="auto"/>
            <w:right w:val="none" w:sz="0" w:space="0" w:color="auto"/>
          </w:divBdr>
        </w:div>
        <w:div w:id="1128402730">
          <w:marLeft w:val="0"/>
          <w:marRight w:val="0"/>
          <w:marTop w:val="0"/>
          <w:marBottom w:val="101"/>
          <w:divBdr>
            <w:top w:val="none" w:sz="0" w:space="0" w:color="auto"/>
            <w:left w:val="none" w:sz="0" w:space="0" w:color="auto"/>
            <w:bottom w:val="none" w:sz="0" w:space="0" w:color="auto"/>
            <w:right w:val="none" w:sz="0" w:space="0" w:color="auto"/>
          </w:divBdr>
        </w:div>
        <w:div w:id="1247423166">
          <w:marLeft w:val="0"/>
          <w:marRight w:val="0"/>
          <w:marTop w:val="0"/>
          <w:marBottom w:val="101"/>
          <w:divBdr>
            <w:top w:val="none" w:sz="0" w:space="0" w:color="auto"/>
            <w:left w:val="none" w:sz="0" w:space="0" w:color="auto"/>
            <w:bottom w:val="none" w:sz="0" w:space="0" w:color="auto"/>
            <w:right w:val="none" w:sz="0" w:space="0" w:color="auto"/>
          </w:divBdr>
        </w:div>
        <w:div w:id="1118796977">
          <w:marLeft w:val="0"/>
          <w:marRight w:val="0"/>
          <w:marTop w:val="0"/>
          <w:marBottom w:val="101"/>
          <w:divBdr>
            <w:top w:val="none" w:sz="0" w:space="0" w:color="auto"/>
            <w:left w:val="none" w:sz="0" w:space="0" w:color="auto"/>
            <w:bottom w:val="none" w:sz="0" w:space="0" w:color="auto"/>
            <w:right w:val="none" w:sz="0" w:space="0" w:color="auto"/>
          </w:divBdr>
        </w:div>
        <w:div w:id="1006055675">
          <w:marLeft w:val="0"/>
          <w:marRight w:val="0"/>
          <w:marTop w:val="0"/>
          <w:marBottom w:val="101"/>
          <w:divBdr>
            <w:top w:val="none" w:sz="0" w:space="0" w:color="auto"/>
            <w:left w:val="none" w:sz="0" w:space="0" w:color="auto"/>
            <w:bottom w:val="none" w:sz="0" w:space="0" w:color="auto"/>
            <w:right w:val="none" w:sz="0" w:space="0" w:color="auto"/>
          </w:divBdr>
        </w:div>
        <w:div w:id="566234175">
          <w:marLeft w:val="0"/>
          <w:marRight w:val="0"/>
          <w:marTop w:val="0"/>
          <w:marBottom w:val="101"/>
          <w:divBdr>
            <w:top w:val="none" w:sz="0" w:space="0" w:color="auto"/>
            <w:left w:val="none" w:sz="0" w:space="0" w:color="auto"/>
            <w:bottom w:val="none" w:sz="0" w:space="0" w:color="auto"/>
            <w:right w:val="none" w:sz="0" w:space="0" w:color="auto"/>
          </w:divBdr>
        </w:div>
        <w:div w:id="1454444900">
          <w:marLeft w:val="864"/>
          <w:marRight w:val="0"/>
          <w:marTop w:val="0"/>
          <w:marBottom w:val="101"/>
          <w:divBdr>
            <w:top w:val="none" w:sz="0" w:space="0" w:color="auto"/>
            <w:left w:val="none" w:sz="0" w:space="0" w:color="auto"/>
            <w:bottom w:val="none" w:sz="0" w:space="0" w:color="auto"/>
            <w:right w:val="none" w:sz="0" w:space="0" w:color="auto"/>
          </w:divBdr>
        </w:div>
        <w:div w:id="668364956">
          <w:marLeft w:val="864"/>
          <w:marRight w:val="0"/>
          <w:marTop w:val="0"/>
          <w:marBottom w:val="101"/>
          <w:divBdr>
            <w:top w:val="none" w:sz="0" w:space="0" w:color="auto"/>
            <w:left w:val="none" w:sz="0" w:space="0" w:color="auto"/>
            <w:bottom w:val="none" w:sz="0" w:space="0" w:color="auto"/>
            <w:right w:val="none" w:sz="0" w:space="0" w:color="auto"/>
          </w:divBdr>
        </w:div>
        <w:div w:id="1196306000">
          <w:marLeft w:val="864"/>
          <w:marRight w:val="0"/>
          <w:marTop w:val="0"/>
          <w:marBottom w:val="101"/>
          <w:divBdr>
            <w:top w:val="none" w:sz="0" w:space="0" w:color="auto"/>
            <w:left w:val="none" w:sz="0" w:space="0" w:color="auto"/>
            <w:bottom w:val="none" w:sz="0" w:space="0" w:color="auto"/>
            <w:right w:val="none" w:sz="0" w:space="0" w:color="auto"/>
          </w:divBdr>
        </w:div>
        <w:div w:id="930238061">
          <w:marLeft w:val="864"/>
          <w:marRight w:val="0"/>
          <w:marTop w:val="0"/>
          <w:marBottom w:val="101"/>
          <w:divBdr>
            <w:top w:val="none" w:sz="0" w:space="0" w:color="auto"/>
            <w:left w:val="none" w:sz="0" w:space="0" w:color="auto"/>
            <w:bottom w:val="none" w:sz="0" w:space="0" w:color="auto"/>
            <w:right w:val="none" w:sz="0" w:space="0" w:color="auto"/>
          </w:divBdr>
        </w:div>
        <w:div w:id="937955023">
          <w:marLeft w:val="864"/>
          <w:marRight w:val="0"/>
          <w:marTop w:val="0"/>
          <w:marBottom w:val="101"/>
          <w:divBdr>
            <w:top w:val="none" w:sz="0" w:space="0" w:color="auto"/>
            <w:left w:val="none" w:sz="0" w:space="0" w:color="auto"/>
            <w:bottom w:val="none" w:sz="0" w:space="0" w:color="auto"/>
            <w:right w:val="none" w:sz="0" w:space="0" w:color="auto"/>
          </w:divBdr>
        </w:div>
        <w:div w:id="609747314">
          <w:marLeft w:val="864"/>
          <w:marRight w:val="0"/>
          <w:marTop w:val="0"/>
          <w:marBottom w:val="101"/>
          <w:divBdr>
            <w:top w:val="none" w:sz="0" w:space="0" w:color="auto"/>
            <w:left w:val="none" w:sz="0" w:space="0" w:color="auto"/>
            <w:bottom w:val="none" w:sz="0" w:space="0" w:color="auto"/>
            <w:right w:val="none" w:sz="0" w:space="0" w:color="auto"/>
          </w:divBdr>
        </w:div>
        <w:div w:id="1827355081">
          <w:marLeft w:val="864"/>
          <w:marRight w:val="0"/>
          <w:marTop w:val="0"/>
          <w:marBottom w:val="101"/>
          <w:divBdr>
            <w:top w:val="none" w:sz="0" w:space="0" w:color="auto"/>
            <w:left w:val="none" w:sz="0" w:space="0" w:color="auto"/>
            <w:bottom w:val="none" w:sz="0" w:space="0" w:color="auto"/>
            <w:right w:val="none" w:sz="0" w:space="0" w:color="auto"/>
          </w:divBdr>
        </w:div>
        <w:div w:id="1560898350">
          <w:marLeft w:val="864"/>
          <w:marRight w:val="0"/>
          <w:marTop w:val="0"/>
          <w:marBottom w:val="101"/>
          <w:divBdr>
            <w:top w:val="none" w:sz="0" w:space="0" w:color="auto"/>
            <w:left w:val="none" w:sz="0" w:space="0" w:color="auto"/>
            <w:bottom w:val="none" w:sz="0" w:space="0" w:color="auto"/>
            <w:right w:val="none" w:sz="0" w:space="0" w:color="auto"/>
          </w:divBdr>
        </w:div>
        <w:div w:id="2053142682">
          <w:marLeft w:val="864"/>
          <w:marRight w:val="0"/>
          <w:marTop w:val="0"/>
          <w:marBottom w:val="101"/>
          <w:divBdr>
            <w:top w:val="none" w:sz="0" w:space="0" w:color="auto"/>
            <w:left w:val="none" w:sz="0" w:space="0" w:color="auto"/>
            <w:bottom w:val="none" w:sz="0" w:space="0" w:color="auto"/>
            <w:right w:val="none" w:sz="0" w:space="0" w:color="auto"/>
          </w:divBdr>
        </w:div>
        <w:div w:id="1655835406">
          <w:marLeft w:val="864"/>
          <w:marRight w:val="0"/>
          <w:marTop w:val="0"/>
          <w:marBottom w:val="101"/>
          <w:divBdr>
            <w:top w:val="none" w:sz="0" w:space="0" w:color="auto"/>
            <w:left w:val="none" w:sz="0" w:space="0" w:color="auto"/>
            <w:bottom w:val="none" w:sz="0" w:space="0" w:color="auto"/>
            <w:right w:val="none" w:sz="0" w:space="0" w:color="auto"/>
          </w:divBdr>
        </w:div>
        <w:div w:id="678040678">
          <w:marLeft w:val="864"/>
          <w:marRight w:val="0"/>
          <w:marTop w:val="0"/>
          <w:marBottom w:val="101"/>
          <w:divBdr>
            <w:top w:val="none" w:sz="0" w:space="0" w:color="auto"/>
            <w:left w:val="none" w:sz="0" w:space="0" w:color="auto"/>
            <w:bottom w:val="none" w:sz="0" w:space="0" w:color="auto"/>
            <w:right w:val="none" w:sz="0" w:space="0" w:color="auto"/>
          </w:divBdr>
        </w:div>
        <w:div w:id="626086715">
          <w:marLeft w:val="864"/>
          <w:marRight w:val="0"/>
          <w:marTop w:val="0"/>
          <w:marBottom w:val="101"/>
          <w:divBdr>
            <w:top w:val="none" w:sz="0" w:space="0" w:color="auto"/>
            <w:left w:val="none" w:sz="0" w:space="0" w:color="auto"/>
            <w:bottom w:val="none" w:sz="0" w:space="0" w:color="auto"/>
            <w:right w:val="none" w:sz="0" w:space="0" w:color="auto"/>
          </w:divBdr>
        </w:div>
        <w:div w:id="581917508">
          <w:marLeft w:val="864"/>
          <w:marRight w:val="0"/>
          <w:marTop w:val="0"/>
          <w:marBottom w:val="101"/>
          <w:divBdr>
            <w:top w:val="none" w:sz="0" w:space="0" w:color="auto"/>
            <w:left w:val="none" w:sz="0" w:space="0" w:color="auto"/>
            <w:bottom w:val="none" w:sz="0" w:space="0" w:color="auto"/>
            <w:right w:val="none" w:sz="0" w:space="0" w:color="auto"/>
          </w:divBdr>
        </w:div>
        <w:div w:id="1851026664">
          <w:marLeft w:val="0"/>
          <w:marRight w:val="0"/>
          <w:marTop w:val="0"/>
          <w:marBottom w:val="101"/>
          <w:divBdr>
            <w:top w:val="none" w:sz="0" w:space="0" w:color="auto"/>
            <w:left w:val="none" w:sz="0" w:space="0" w:color="auto"/>
            <w:bottom w:val="none" w:sz="0" w:space="0" w:color="auto"/>
            <w:right w:val="none" w:sz="0" w:space="0" w:color="auto"/>
          </w:divBdr>
        </w:div>
        <w:div w:id="397830050">
          <w:marLeft w:val="0"/>
          <w:marRight w:val="0"/>
          <w:marTop w:val="0"/>
          <w:marBottom w:val="101"/>
          <w:divBdr>
            <w:top w:val="none" w:sz="0" w:space="0" w:color="auto"/>
            <w:left w:val="none" w:sz="0" w:space="0" w:color="auto"/>
            <w:bottom w:val="none" w:sz="0" w:space="0" w:color="auto"/>
            <w:right w:val="none" w:sz="0" w:space="0" w:color="auto"/>
          </w:divBdr>
        </w:div>
        <w:div w:id="1711874622">
          <w:marLeft w:val="0"/>
          <w:marRight w:val="0"/>
          <w:marTop w:val="0"/>
          <w:marBottom w:val="101"/>
          <w:divBdr>
            <w:top w:val="none" w:sz="0" w:space="0" w:color="auto"/>
            <w:left w:val="none" w:sz="0" w:space="0" w:color="auto"/>
            <w:bottom w:val="none" w:sz="0" w:space="0" w:color="auto"/>
            <w:right w:val="none" w:sz="0" w:space="0" w:color="auto"/>
          </w:divBdr>
        </w:div>
        <w:div w:id="1226061412">
          <w:marLeft w:val="0"/>
          <w:marRight w:val="0"/>
          <w:marTop w:val="0"/>
          <w:marBottom w:val="101"/>
          <w:divBdr>
            <w:top w:val="none" w:sz="0" w:space="0" w:color="auto"/>
            <w:left w:val="none" w:sz="0" w:space="0" w:color="auto"/>
            <w:bottom w:val="none" w:sz="0" w:space="0" w:color="auto"/>
            <w:right w:val="none" w:sz="0" w:space="0" w:color="auto"/>
          </w:divBdr>
        </w:div>
        <w:div w:id="961884812">
          <w:marLeft w:val="0"/>
          <w:marRight w:val="0"/>
          <w:marTop w:val="0"/>
          <w:marBottom w:val="101"/>
          <w:divBdr>
            <w:top w:val="none" w:sz="0" w:space="0" w:color="auto"/>
            <w:left w:val="none" w:sz="0" w:space="0" w:color="auto"/>
            <w:bottom w:val="none" w:sz="0" w:space="0" w:color="auto"/>
            <w:right w:val="none" w:sz="0" w:space="0" w:color="auto"/>
          </w:divBdr>
        </w:div>
        <w:div w:id="968054074">
          <w:marLeft w:val="0"/>
          <w:marRight w:val="0"/>
          <w:marTop w:val="0"/>
          <w:marBottom w:val="101"/>
          <w:divBdr>
            <w:top w:val="none" w:sz="0" w:space="0" w:color="auto"/>
            <w:left w:val="none" w:sz="0" w:space="0" w:color="auto"/>
            <w:bottom w:val="none" w:sz="0" w:space="0" w:color="auto"/>
            <w:right w:val="none" w:sz="0" w:space="0" w:color="auto"/>
          </w:divBdr>
        </w:div>
        <w:div w:id="798301195">
          <w:marLeft w:val="0"/>
          <w:marRight w:val="0"/>
          <w:marTop w:val="0"/>
          <w:marBottom w:val="101"/>
          <w:divBdr>
            <w:top w:val="none" w:sz="0" w:space="0" w:color="auto"/>
            <w:left w:val="none" w:sz="0" w:space="0" w:color="auto"/>
            <w:bottom w:val="none" w:sz="0" w:space="0" w:color="auto"/>
            <w:right w:val="none" w:sz="0" w:space="0" w:color="auto"/>
          </w:divBdr>
        </w:div>
        <w:div w:id="1956330206">
          <w:marLeft w:val="0"/>
          <w:marRight w:val="0"/>
          <w:marTop w:val="0"/>
          <w:marBottom w:val="101"/>
          <w:divBdr>
            <w:top w:val="none" w:sz="0" w:space="0" w:color="auto"/>
            <w:left w:val="none" w:sz="0" w:space="0" w:color="auto"/>
            <w:bottom w:val="none" w:sz="0" w:space="0" w:color="auto"/>
            <w:right w:val="none" w:sz="0" w:space="0" w:color="auto"/>
          </w:divBdr>
        </w:div>
        <w:div w:id="1740011307">
          <w:marLeft w:val="0"/>
          <w:marRight w:val="0"/>
          <w:marTop w:val="0"/>
          <w:marBottom w:val="101"/>
          <w:divBdr>
            <w:top w:val="none" w:sz="0" w:space="0" w:color="auto"/>
            <w:left w:val="none" w:sz="0" w:space="0" w:color="auto"/>
            <w:bottom w:val="none" w:sz="0" w:space="0" w:color="auto"/>
            <w:right w:val="none" w:sz="0" w:space="0" w:color="auto"/>
          </w:divBdr>
        </w:div>
        <w:div w:id="1555235276">
          <w:marLeft w:val="0"/>
          <w:marRight w:val="0"/>
          <w:marTop w:val="0"/>
          <w:marBottom w:val="101"/>
          <w:divBdr>
            <w:top w:val="none" w:sz="0" w:space="0" w:color="auto"/>
            <w:left w:val="none" w:sz="0" w:space="0" w:color="auto"/>
            <w:bottom w:val="none" w:sz="0" w:space="0" w:color="auto"/>
            <w:right w:val="none" w:sz="0" w:space="0" w:color="auto"/>
          </w:divBdr>
        </w:div>
        <w:div w:id="1702316857">
          <w:marLeft w:val="0"/>
          <w:marRight w:val="0"/>
          <w:marTop w:val="0"/>
          <w:marBottom w:val="101"/>
          <w:divBdr>
            <w:top w:val="none" w:sz="0" w:space="0" w:color="auto"/>
            <w:left w:val="none" w:sz="0" w:space="0" w:color="auto"/>
            <w:bottom w:val="none" w:sz="0" w:space="0" w:color="auto"/>
            <w:right w:val="none" w:sz="0" w:space="0" w:color="auto"/>
          </w:divBdr>
        </w:div>
        <w:div w:id="1755317296">
          <w:marLeft w:val="0"/>
          <w:marRight w:val="0"/>
          <w:marTop w:val="0"/>
          <w:marBottom w:val="101"/>
          <w:divBdr>
            <w:top w:val="none" w:sz="0" w:space="0" w:color="auto"/>
            <w:left w:val="none" w:sz="0" w:space="0" w:color="auto"/>
            <w:bottom w:val="none" w:sz="0" w:space="0" w:color="auto"/>
            <w:right w:val="none" w:sz="0" w:space="0" w:color="auto"/>
          </w:divBdr>
        </w:div>
        <w:div w:id="999769469">
          <w:marLeft w:val="864"/>
          <w:marRight w:val="0"/>
          <w:marTop w:val="0"/>
          <w:marBottom w:val="101"/>
          <w:divBdr>
            <w:top w:val="none" w:sz="0" w:space="0" w:color="auto"/>
            <w:left w:val="none" w:sz="0" w:space="0" w:color="auto"/>
            <w:bottom w:val="none" w:sz="0" w:space="0" w:color="auto"/>
            <w:right w:val="none" w:sz="0" w:space="0" w:color="auto"/>
          </w:divBdr>
        </w:div>
        <w:div w:id="1938445590">
          <w:marLeft w:val="864"/>
          <w:marRight w:val="0"/>
          <w:marTop w:val="0"/>
          <w:marBottom w:val="101"/>
          <w:divBdr>
            <w:top w:val="none" w:sz="0" w:space="0" w:color="auto"/>
            <w:left w:val="none" w:sz="0" w:space="0" w:color="auto"/>
            <w:bottom w:val="none" w:sz="0" w:space="0" w:color="auto"/>
            <w:right w:val="none" w:sz="0" w:space="0" w:color="auto"/>
          </w:divBdr>
        </w:div>
        <w:div w:id="1199271651">
          <w:marLeft w:val="864"/>
          <w:marRight w:val="0"/>
          <w:marTop w:val="0"/>
          <w:marBottom w:val="101"/>
          <w:divBdr>
            <w:top w:val="none" w:sz="0" w:space="0" w:color="auto"/>
            <w:left w:val="none" w:sz="0" w:space="0" w:color="auto"/>
            <w:bottom w:val="none" w:sz="0" w:space="0" w:color="auto"/>
            <w:right w:val="none" w:sz="0" w:space="0" w:color="auto"/>
          </w:divBdr>
        </w:div>
        <w:div w:id="347799850">
          <w:marLeft w:val="864"/>
          <w:marRight w:val="0"/>
          <w:marTop w:val="0"/>
          <w:marBottom w:val="101"/>
          <w:divBdr>
            <w:top w:val="none" w:sz="0" w:space="0" w:color="auto"/>
            <w:left w:val="none" w:sz="0" w:space="0" w:color="auto"/>
            <w:bottom w:val="none" w:sz="0" w:space="0" w:color="auto"/>
            <w:right w:val="none" w:sz="0" w:space="0" w:color="auto"/>
          </w:divBdr>
        </w:div>
        <w:div w:id="498817256">
          <w:marLeft w:val="864"/>
          <w:marRight w:val="0"/>
          <w:marTop w:val="0"/>
          <w:marBottom w:val="101"/>
          <w:divBdr>
            <w:top w:val="none" w:sz="0" w:space="0" w:color="auto"/>
            <w:left w:val="none" w:sz="0" w:space="0" w:color="auto"/>
            <w:bottom w:val="none" w:sz="0" w:space="0" w:color="auto"/>
            <w:right w:val="none" w:sz="0" w:space="0" w:color="auto"/>
          </w:divBdr>
        </w:div>
        <w:div w:id="1755856635">
          <w:marLeft w:val="0"/>
          <w:marRight w:val="0"/>
          <w:marTop w:val="101"/>
          <w:marBottom w:val="101"/>
          <w:divBdr>
            <w:top w:val="none" w:sz="0" w:space="0" w:color="auto"/>
            <w:left w:val="none" w:sz="0" w:space="0" w:color="auto"/>
            <w:bottom w:val="none" w:sz="0" w:space="0" w:color="auto"/>
            <w:right w:val="none" w:sz="0" w:space="0" w:color="auto"/>
          </w:divBdr>
        </w:div>
        <w:div w:id="819469062">
          <w:marLeft w:val="0"/>
          <w:marRight w:val="0"/>
          <w:marTop w:val="0"/>
          <w:marBottom w:val="101"/>
          <w:divBdr>
            <w:top w:val="none" w:sz="0" w:space="0" w:color="auto"/>
            <w:left w:val="none" w:sz="0" w:space="0" w:color="auto"/>
            <w:bottom w:val="none" w:sz="0" w:space="0" w:color="auto"/>
            <w:right w:val="none" w:sz="0" w:space="0" w:color="auto"/>
          </w:divBdr>
        </w:div>
        <w:div w:id="1087072532">
          <w:marLeft w:val="0"/>
          <w:marRight w:val="0"/>
          <w:marTop w:val="0"/>
          <w:marBottom w:val="101"/>
          <w:divBdr>
            <w:top w:val="none" w:sz="0" w:space="0" w:color="auto"/>
            <w:left w:val="none" w:sz="0" w:space="0" w:color="auto"/>
            <w:bottom w:val="none" w:sz="0" w:space="0" w:color="auto"/>
            <w:right w:val="none" w:sz="0" w:space="0" w:color="auto"/>
          </w:divBdr>
        </w:div>
        <w:div w:id="1354383144">
          <w:marLeft w:val="0"/>
          <w:marRight w:val="0"/>
          <w:marTop w:val="0"/>
          <w:marBottom w:val="101"/>
          <w:divBdr>
            <w:top w:val="none" w:sz="0" w:space="0" w:color="auto"/>
            <w:left w:val="none" w:sz="0" w:space="0" w:color="auto"/>
            <w:bottom w:val="none" w:sz="0" w:space="0" w:color="auto"/>
            <w:right w:val="none" w:sz="0" w:space="0" w:color="auto"/>
          </w:divBdr>
        </w:div>
      </w:divsChild>
    </w:div>
    <w:div w:id="629364228">
      <w:bodyDiv w:val="1"/>
      <w:marLeft w:val="0"/>
      <w:marRight w:val="0"/>
      <w:marTop w:val="0"/>
      <w:marBottom w:val="0"/>
      <w:divBdr>
        <w:top w:val="none" w:sz="0" w:space="0" w:color="auto"/>
        <w:left w:val="none" w:sz="0" w:space="0" w:color="auto"/>
        <w:bottom w:val="none" w:sz="0" w:space="0" w:color="auto"/>
        <w:right w:val="none" w:sz="0" w:space="0" w:color="auto"/>
      </w:divBdr>
    </w:div>
    <w:div w:id="17463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99</Pages>
  <Words>38564</Words>
  <Characters>212107</Characters>
  <Application>Microsoft Office Word</Application>
  <DocSecurity>0</DocSecurity>
  <Lines>1767</Lines>
  <Paragraphs>500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2019-12-09T14:14:00Z</dcterms:created>
  <dcterms:modified xsi:type="dcterms:W3CDTF">2019-12-09T14:19:00Z</dcterms:modified>
</cp:coreProperties>
</file>