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las medidas preventivas que se deberán implementar para la mitigación y control de los riesgos para la salud que implica la enfermedad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marzo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SALUD.- Secretaría de Salud.</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JORGE CARLOS ALCOCER VARELA, Secretario de Salud, con fundamento en los artículos 4o, párrafo cuarto y 73, fracción XVI, Bases 2a. y 3a., de la Constitución Política de los Estados Unidos Mexicanos; 39 de la Ley Orgánica de la Administración Pública Federal; 3o, fracciones I, II, III y XV, 6o, fracción I, 7o, fracción I, 13, apartado A, fracciones V, IX y X, 33, fracción I, 133, fracciones II y IV, 134, fracción XIV, 135, 139 al 143, 147 al 154, 181, 183, 184, 354, 355, 356, 360, 361, 362, 402, 403 y 404 de la Ley General de Salud, y</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4o. de la Constitución Política de los Estados Unidos Mexicanos establece que toda persona tiene derecho a la protección de la salud, por lo que el Estado tiene la obligación de garantizar y establecer los mecanismos necesarios para que toda persona goce de un estado de completo bienestar físico, mental y social para su desarrollo;</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73, fracción XVI, Bases 2a. y 3a. de la Carta Magna establece que en caso de epidemias de carácter grave o peligro de invasión de enfermedades exóticas en el país, la Secretaría de Salud tendrá obligación de dictar inmediatamente las medidas preventivas indispensables;</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derecho a la protección de la salud se recoge en diversos tratados internacionales de los que México es parte, dentro de los que destacan la Declaración Universal de los Derechos Humanos, la Convención Americana sobre Derechos Humanos, y el Pacto Internacional de Derechos Económicos, Sociales y Culturales;</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Organización Mundial de la Salud (OMS) declaró a la pandemia de enfermedad por el virus SARS-CoV2 (COVID-19), como una emergencia de salud pública de interés internacional y emitió una serie de recomendaciones para su control;</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términos de la Ley General de Salud, a la Secretaría de Salud le corresponde elaborar y llevar a cabo, en coordinación con las instituciones del sector salud y con los gobiernos de las entidades federativas, programas o campañas temporales o permanentes, para el control o erradicación de aquellas enfermedades transmisibles que constituyan un problema real o potencial para la salubridad general de la República, dentro del que se encuentra el brote por virus SARS-CoV2 (COVID-19) en el territorio nacional;</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asimismo, el citado ordenamiento legal establece que en caso de epidemia de carácter grave, peligro de invasión de enfermedades transmisibles, situaciones de emergencia o catástrofe que afecten al país, la dependencia que se refiere el considerando anterior dictará inmediatamente las medidas indispensables para prevenir y combatir los daños a la salud, a reserva de que tales medidas sean después sancionadas por el Presidente de la República;</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Plan Nacional de Desarrollo 2019-2024, en su numeral II, "Salud para toda la población", señala que el derecho a la protección de la salud no puede ser denegado parcial o totalmente, en especial, a los sectores más desprotegidos de la población mexicana;</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Consejo de Salubridad General en sesión extraordinaria celebrada el 19 de marzo de 2020, acordó que se reconoce la epidemia de enfermedad por el virus SARS-CoV2 (COVID-19) en México como una enfermedad grave de atención prioritaria;</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la citada sesión, el Consejo de Salubridad General también mencionó que la Secretaría de Salud establecerá las medidas necesarias para la prevención y control de la epidemia de virus SARS-CoV2 (COVID-19), mismas que definirán las modalidades específicas, las fechas de inicio y su término, así como su extensión territorial, y</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virtud de lo anterior, la Secretaría de Salud, en cumplimiento a lo dispuesto en el artículo 134, fracción XIV de la Ley General de Salud, he tenido a bien expedir el siguiente</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PRIMERO.- El presente Acuerdo tiene por objeto establecer las medidas preventivas que se deberán implementar para la mitigación y control de los riesgos para la salud que implica la enfermedad por el virus SARS-CoV2 (COVID-19).</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los integrantes del Sistema Nacional de Salud será obligatorio el cumplimiento de las disposiciones del presente Acuerdo.</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autoridades civiles, militares y los particulares, así como las dependencias y entidades de los tres órdenes de gobierno, estarán obligadas a la instrumentación de las medidas preventivas contra la enfermedad por el virus SARS-CoV2 (COVID-19), a que se refiere el primer párrafo de este artículo.</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efectos de este Acuerdo se entenderá por medidas preventivas, aquellas intervenciones comunitarias definidas en la "Jornada Nacional de Sana Distancia", que tienen como objetivo el distanciamiento social para la mitigación de la transmisión poblacional de virus SARS-CoV2 (COVID-19), disminuyendo así el número de contagios de persona a persona y por ende el de propagación de la enfermedad, con especial énfasis en grupos vulnerables, permitiendo además que la carga de enfermedad esperada no se concentre en unidades de tiempo reducidas, con el subsecuente beneficio de garantizar el acceso a la atención médica hospitalaria para los casos graves.</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SEGUNDO.- Las medidas preventivas que los sectores público, privado y social deberán poner en práctica son las siguientes:</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Evitar la asistencia a centros de trabajo, espacios públicos y otros lugares concurridos, a los adultos mayores de 65 años o más y grupos de personas con riesgo a desarrollar enfermedad grave y/o morir a causa de ella, quienes en todo momento, en su caso, y a manera de permiso con goce de sueldo, gozarán de su salario y demás prestaciones establecidas en la normatividad vigente indicada en el inciso c) del presente artículo. Estos grupos incluyen mujeres embarazadas o en periodo de lactancia, menores de 5 años, personas con discapacidad, personas con enfermedades crónicas no transmisibles (personas con hipertensión arterial, pulmonar, insuficiencia renal, lupus, cáncer, diabetes mellitus, obesidad, insuficiencia hepática o metabólica, enfermedad cardiaca), o con algún padecimiento o tratamiento farmacológico que les genere supresión del sistema inmunológico;</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Suspender temporalmente las actividades escolares en todos los niveles, hasta el 17 de abril del 2020, conforme a lo establecido por la Secretaría de Educación Pública;</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Suspender temporalmente las actividades de los sectores público, social y privado que involucren la concentración física, tránsito o desplazamiento de personas a partir de la entrada en vigor de este Acuerdo y hasta el 19 de abril del 2020.</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Las dependencias y entidades de la Administración Pública Federal y las organizaciones de los sectores social y privado, deberán instrumentar planes que garanticen la continuidad de operaciones para el cumplimiento de sus funciones esenciales relacionadas con la mitigación y control de los riesgos para salud que implica la enfermedad por el virus SARS-CoV2 (COVID-19) y garantizar los derechos humanos de las personas trabajadoras, en particular los señalados en el inciso a) del</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presente artículo, y de los usuarios de sus servicios.</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 el sector público, los Titulares de la Áreas de Administración y Finanzas u homólogos o bien las autoridades competentes en la institución de que se trate, determinarán las funciones esenciales a cargo de cada institución, cuya continuidad deberá garantizarse conforme al párrafo anterior.</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 el sector privado continuarán laborando las empresas, negocios, establecimientos mercantiles y todos aquéllos que resulten necesarios para hacer frente a la contingencia, de manera enunciativa, hospitales, clínicas, farmacias, laboratorios, servicios médicos, financieros, telecomunicaciones, y medios de información, servicios hoteleros y de restaurantes, gasolineras, mercados, supermercados, misceláneas, servicios de transportes y distribución de gas, siempre y cuando no correspondan a espacios cerrados con aglomeraciones.</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Las relaciones laborales se mantendrán y aplicarán conforme a los contratos individuales, colectivos, contratos ley o Condiciones Generales de Trabajo que correspondan, durante el plazo al que se refiere el presente Acuerdo y al amparo de la Ley Federal del Trabajo y la Ley Federal de los Trabajadores al Servicio del Estado reglamentaria del Apartado B del Artículo 123 Constitucional.</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Todo lo anterior, con estricto respeto a los derechos laborales de las y los trabajadores, en los sectores público, social y privado;</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Suspender temporalmente y hasta nuevo aviso de la autoridad sanitaria, los eventos masivos y las reuniones y congregaciones de más de 100 personas;</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Cumplir las medidas básicas de higiene consistentes en lavado frecuente de manos, estornudar o toser cubriendo boca y nariz con un pañuelo desechable o con el antebrazo; saludar aplicando las recomendaciones de sana distancia (evitar saludar de beso, de mano o abrazo) y recuperación efectiva para las personas que presenten síntomas de SARS-CoV2 (COVID-19) (evitar contacto con otras personas, desplazamientos en espacios públicos y mantener la sana distancia, durante los 15 días posteriores al inicio de los síntomas), y</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Las demás que en su momento se determinen necesarias por la Secretaría de Salud, mismas que se harán del conocimiento de la población en general, a través del titular de la Subsecretaría de Prevención y Promoción de la Salud.</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TERCERO.- Las dependencias y entidades de la Administración Pública Federal deberán mantener coordinación con la Secretaría de Salud para la instrumentación de las medidas objeto del presente Acuerdo.</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CUARTO.- La Secretaría de Salud será la única instancia responsable de la emisión y manejo de la información oficial que se desprenda del presente Acuerdo.</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QUINTO.- Corresponderá a la Secretaría de Salud la interpretación para efectos administrativos del presente Acuerdo, así como la resolución de los casos no previstos en el mismo.</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el día de su publicación en el Diario Oficial de la Federación.</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Dado en la Ciudad de México, a veinticuatro días del mes de marzo de dos mil veinte.- El Secretario de Salud, Jorge Carlos Alcocer Varela.- Rúbrica.</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