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379" w:rsidRDefault="00272379" w:rsidP="00272379">
      <w:pPr>
        <w:pStyle w:val="titulo1"/>
        <w:ind w:left="708"/>
        <w:jc w:val="center"/>
        <w:rPr>
          <w:rFonts w:ascii="Verdana" w:hAnsi="Verdana"/>
          <w:b/>
          <w:color w:val="4F81BD" w:themeColor="accent1"/>
          <w:sz w:val="22"/>
          <w:szCs w:val="20"/>
        </w:rPr>
      </w:pPr>
      <w:r w:rsidRPr="00272379">
        <w:rPr>
          <w:rFonts w:ascii="Verdana" w:hAnsi="Verdana"/>
          <w:b/>
          <w:color w:val="4F81BD" w:themeColor="accent1"/>
          <w:sz w:val="22"/>
          <w:szCs w:val="20"/>
        </w:rPr>
        <w:t>S</w:t>
      </w:r>
      <w:r w:rsidRPr="00272379">
        <w:rPr>
          <w:rFonts w:ascii="Verdana" w:hAnsi="Verdana"/>
          <w:b/>
          <w:color w:val="4F81BD" w:themeColor="accent1"/>
          <w:sz w:val="22"/>
          <w:szCs w:val="20"/>
        </w:rPr>
        <w:t>éptima</w:t>
      </w:r>
      <w:r w:rsidRPr="00272379">
        <w:rPr>
          <w:rFonts w:ascii="Verdana" w:hAnsi="Verdana"/>
          <w:b/>
          <w:color w:val="4F81BD" w:themeColor="accent1"/>
          <w:sz w:val="22"/>
          <w:szCs w:val="20"/>
        </w:rPr>
        <w:t xml:space="preserve"> Resolución de Modificaciones a la Resoluc</w:t>
      </w:r>
      <w:r>
        <w:rPr>
          <w:rFonts w:ascii="Verdana" w:hAnsi="Verdana"/>
          <w:b/>
          <w:color w:val="4F81BD" w:themeColor="accent1"/>
          <w:sz w:val="22"/>
          <w:szCs w:val="20"/>
        </w:rPr>
        <w:t>ión Miscelánea Fiscal para 2018</w:t>
      </w:r>
    </w:p>
    <w:p w:rsidR="00272379" w:rsidRPr="00272379" w:rsidRDefault="00272379" w:rsidP="00272379">
      <w:pPr>
        <w:pStyle w:val="titulo1"/>
        <w:ind w:left="708"/>
        <w:jc w:val="center"/>
        <w:rPr>
          <w:rFonts w:ascii="Verdana" w:hAnsi="Verdana"/>
          <w:b/>
          <w:color w:val="4F81BD" w:themeColor="accent1"/>
          <w:sz w:val="22"/>
          <w:szCs w:val="20"/>
        </w:rPr>
      </w:pPr>
      <w:r>
        <w:rPr>
          <w:rFonts w:ascii="Verdana" w:hAnsi="Verdana"/>
          <w:b/>
          <w:color w:val="4F81BD" w:themeColor="accent1"/>
          <w:sz w:val="22"/>
          <w:szCs w:val="20"/>
        </w:rPr>
        <w:t>(</w:t>
      </w:r>
      <w:bookmarkStart w:id="0" w:name="_GoBack"/>
      <w:r>
        <w:rPr>
          <w:rFonts w:ascii="Verdana" w:hAnsi="Verdana"/>
          <w:b/>
          <w:color w:val="4F81BD" w:themeColor="accent1"/>
          <w:sz w:val="22"/>
          <w:szCs w:val="20"/>
        </w:rPr>
        <w:t>DOF 21 de febrero de 2019)</w:t>
      </w:r>
      <w:bookmarkEnd w:id="0"/>
    </w:p>
    <w:p w:rsidR="00272379" w:rsidRPr="00272379" w:rsidRDefault="00272379" w:rsidP="00272379">
      <w:pPr>
        <w:pStyle w:val="titulo2"/>
        <w:ind w:left="708"/>
        <w:rPr>
          <w:rFonts w:ascii="Verdana" w:hAnsi="Verdana"/>
          <w:sz w:val="20"/>
          <w:szCs w:val="20"/>
        </w:rPr>
      </w:pPr>
      <w:r w:rsidRPr="00272379">
        <w:rPr>
          <w:rFonts w:ascii="Verdana" w:hAnsi="Verdana"/>
          <w:sz w:val="20"/>
          <w:szCs w:val="20"/>
        </w:rPr>
        <w:t>Al margen un sello con el Escudo Nacional, que dice: Estados Unidos Mexicanos.- SHCP.- Secretaría de Hacienda y Crédito Público.- SAT.- Servicio de Administración Tributaria.</w:t>
      </w:r>
    </w:p>
    <w:p w:rsidR="00272379" w:rsidRPr="00272379" w:rsidRDefault="00272379" w:rsidP="00272379">
      <w:pPr>
        <w:pStyle w:val="anotacion"/>
        <w:spacing w:line="228" w:lineRule="exact"/>
        <w:ind w:left="708"/>
        <w:rPr>
          <w:rFonts w:ascii="Verdana" w:hAnsi="Verdana"/>
          <w:sz w:val="20"/>
          <w:szCs w:val="20"/>
        </w:rPr>
      </w:pPr>
      <w:r w:rsidRPr="00272379">
        <w:rPr>
          <w:rFonts w:ascii="Verdana" w:hAnsi="Verdana"/>
          <w:sz w:val="20"/>
          <w:szCs w:val="20"/>
          <w:lang w:val="es-ES_tradnl"/>
        </w:rPr>
        <w:t>SÉPTIMA RESOLUCIÓN DE MODIFICACIONES A LA RESOLUCIÓN MISCELÁNEA FISCAL PARA 2018</w:t>
      </w:r>
    </w:p>
    <w:p w:rsidR="00272379" w:rsidRPr="00272379" w:rsidRDefault="00272379" w:rsidP="00272379">
      <w:pPr>
        <w:pStyle w:val="texto"/>
        <w:spacing w:line="228" w:lineRule="exact"/>
        <w:ind w:left="708"/>
        <w:rPr>
          <w:rFonts w:ascii="Verdana" w:hAnsi="Verdana"/>
          <w:sz w:val="20"/>
          <w:szCs w:val="20"/>
        </w:rPr>
      </w:pPr>
      <w:r w:rsidRPr="00272379">
        <w:rPr>
          <w:rFonts w:ascii="Verdana" w:hAnsi="Verdana"/>
          <w:sz w:val="20"/>
          <w:szCs w:val="20"/>
          <w:lang w:val="es-ES"/>
        </w:rPr>
        <w:t>Con fundamento en los artículos 16 y 31 de la Ley Orgánica de la Administración Pública Federal, 33, fracción I, inciso g) del Código Fiscal de la Federación, 14, fracción III de la Ley del Servicio de Administración Tributaria y 8, primer párrafo del Reglamento Interior del Servicio de Administración Tributaria se resuelve:</w:t>
      </w:r>
    </w:p>
    <w:p w:rsidR="00272379" w:rsidRPr="00272379" w:rsidRDefault="00272379" w:rsidP="00272379">
      <w:pPr>
        <w:pStyle w:val="texto"/>
        <w:spacing w:line="228" w:lineRule="exact"/>
        <w:ind w:left="708"/>
        <w:rPr>
          <w:rFonts w:ascii="Verdana" w:hAnsi="Verdana"/>
          <w:sz w:val="20"/>
          <w:szCs w:val="20"/>
        </w:rPr>
      </w:pPr>
      <w:r w:rsidRPr="00272379">
        <w:rPr>
          <w:rFonts w:ascii="Verdana" w:hAnsi="Verdana"/>
          <w:b/>
          <w:sz w:val="20"/>
          <w:szCs w:val="20"/>
          <w:lang w:val="es-ES"/>
        </w:rPr>
        <w:t>PRIMERO.</w:t>
      </w:r>
      <w:r w:rsidRPr="00272379">
        <w:rPr>
          <w:rFonts w:ascii="Verdana" w:hAnsi="Verdana"/>
          <w:sz w:val="20"/>
          <w:szCs w:val="20"/>
          <w:lang w:val="es-ES"/>
        </w:rPr>
        <w:tab/>
      </w:r>
      <w:r w:rsidRPr="00272379">
        <w:rPr>
          <w:rFonts w:ascii="Verdana" w:hAnsi="Verdana"/>
          <w:b/>
          <w:sz w:val="20"/>
          <w:szCs w:val="20"/>
          <w:lang w:val="es-ES"/>
        </w:rPr>
        <w:t>Se reforma</w:t>
      </w:r>
      <w:r w:rsidRPr="00272379">
        <w:rPr>
          <w:rFonts w:ascii="Verdana" w:hAnsi="Verdana"/>
          <w:sz w:val="20"/>
          <w:szCs w:val="20"/>
          <w:lang w:val="es-ES"/>
        </w:rPr>
        <w:t xml:space="preserve"> la regla 3.16.11., </w:t>
      </w:r>
      <w:r w:rsidRPr="00272379">
        <w:rPr>
          <w:rFonts w:ascii="Verdana" w:hAnsi="Verdana"/>
          <w:b/>
          <w:sz w:val="20"/>
          <w:szCs w:val="20"/>
          <w:lang w:val="es-ES"/>
        </w:rPr>
        <w:t>se adiciona</w:t>
      </w:r>
      <w:r w:rsidRPr="00272379">
        <w:rPr>
          <w:rFonts w:ascii="Verdana" w:hAnsi="Verdana"/>
          <w:sz w:val="20"/>
          <w:szCs w:val="20"/>
          <w:lang w:val="es-ES"/>
        </w:rPr>
        <w:t xml:space="preserve"> la regla 2.1.6., con una fracción III, pasando la actual fracción III a ser IV, de la Resolución Miscelánea Fiscal para 2018, para quedar de la siguiente manera:</w:t>
      </w:r>
    </w:p>
    <w:p w:rsidR="00272379" w:rsidRPr="00272379" w:rsidRDefault="00272379" w:rsidP="00272379">
      <w:pPr>
        <w:pStyle w:val="texto"/>
        <w:spacing w:line="228" w:lineRule="exact"/>
        <w:ind w:left="2238" w:hanging="1242"/>
        <w:rPr>
          <w:rFonts w:ascii="Verdana" w:hAnsi="Verdana"/>
          <w:sz w:val="20"/>
          <w:szCs w:val="20"/>
        </w:rPr>
      </w:pPr>
      <w:r w:rsidRPr="00272379">
        <w:rPr>
          <w:rFonts w:ascii="Verdana" w:hAnsi="Verdana"/>
          <w:sz w:val="20"/>
          <w:szCs w:val="20"/>
          <w:lang w:val="es-ES"/>
        </w:rPr>
        <w:tab/>
      </w:r>
      <w:r w:rsidRPr="00272379">
        <w:rPr>
          <w:rFonts w:ascii="Verdana" w:hAnsi="Verdana"/>
          <w:b/>
          <w:sz w:val="20"/>
          <w:szCs w:val="20"/>
          <w:lang w:val="es-ES"/>
        </w:rPr>
        <w:t>“Días inhábiles</w:t>
      </w:r>
    </w:p>
    <w:p w:rsidR="00272379" w:rsidRPr="00272379" w:rsidRDefault="00272379" w:rsidP="00272379">
      <w:pPr>
        <w:pStyle w:val="texto"/>
        <w:tabs>
          <w:tab w:val="left" w:pos="1530"/>
          <w:tab w:val="right" w:leader="dot" w:pos="8827"/>
        </w:tabs>
        <w:spacing w:line="228" w:lineRule="exact"/>
        <w:ind w:left="2234" w:hanging="1080"/>
        <w:rPr>
          <w:rFonts w:ascii="Verdana" w:hAnsi="Verdana"/>
          <w:sz w:val="20"/>
          <w:szCs w:val="20"/>
        </w:rPr>
      </w:pPr>
      <w:r w:rsidRPr="00272379">
        <w:rPr>
          <w:rFonts w:ascii="Verdana" w:hAnsi="Verdana"/>
          <w:b/>
          <w:sz w:val="20"/>
          <w:szCs w:val="20"/>
          <w:lang w:val="es-ES"/>
        </w:rPr>
        <w:t>2.1.6.</w:t>
      </w:r>
      <w:r w:rsidRPr="00272379">
        <w:rPr>
          <w:rFonts w:ascii="Verdana" w:hAnsi="Verdana"/>
          <w:b/>
          <w:sz w:val="20"/>
          <w:szCs w:val="20"/>
          <w:lang w:val="es-ES"/>
        </w:rPr>
        <w:tab/>
      </w:r>
      <w:r w:rsidRPr="00272379">
        <w:rPr>
          <w:rFonts w:ascii="Verdana" w:hAnsi="Verdana"/>
          <w:b/>
          <w:sz w:val="20"/>
          <w:szCs w:val="20"/>
          <w:lang w:val="es-ES"/>
        </w:rPr>
        <w:tab/>
      </w:r>
      <w:r w:rsidRPr="00272379">
        <w:rPr>
          <w:rFonts w:ascii="Verdana" w:hAnsi="Verdana"/>
          <w:sz w:val="20"/>
          <w:szCs w:val="20"/>
          <w:lang w:val="es-ES"/>
        </w:rPr>
        <w:tab/>
      </w:r>
    </w:p>
    <w:p w:rsidR="00272379" w:rsidRPr="00272379" w:rsidRDefault="00272379" w:rsidP="00272379">
      <w:pPr>
        <w:pStyle w:val="texto"/>
        <w:spacing w:line="228" w:lineRule="exact"/>
        <w:ind w:left="2688" w:hanging="450"/>
        <w:rPr>
          <w:rFonts w:ascii="Verdana" w:hAnsi="Verdana"/>
          <w:sz w:val="20"/>
          <w:szCs w:val="20"/>
        </w:rPr>
      </w:pPr>
      <w:r w:rsidRPr="00272379">
        <w:rPr>
          <w:rFonts w:ascii="Verdana" w:hAnsi="Verdana"/>
          <w:b/>
          <w:sz w:val="20"/>
          <w:szCs w:val="20"/>
          <w:lang w:val="es-ES"/>
        </w:rPr>
        <w:t>III.</w:t>
      </w:r>
      <w:r w:rsidRPr="00272379">
        <w:rPr>
          <w:rFonts w:ascii="Verdana" w:hAnsi="Verdana"/>
          <w:b/>
          <w:sz w:val="20"/>
          <w:szCs w:val="20"/>
          <w:lang w:val="es-ES"/>
        </w:rPr>
        <w:tab/>
      </w:r>
      <w:r w:rsidRPr="00272379">
        <w:rPr>
          <w:rFonts w:ascii="Verdana" w:hAnsi="Verdana"/>
          <w:sz w:val="20"/>
          <w:szCs w:val="20"/>
          <w:lang w:val="es-ES"/>
        </w:rPr>
        <w:t xml:space="preserve">Considerando que los accesos al inmueble ubicado en calle José Luis </w:t>
      </w:r>
      <w:proofErr w:type="spellStart"/>
      <w:r w:rsidRPr="00272379">
        <w:rPr>
          <w:rFonts w:ascii="Verdana" w:hAnsi="Verdana"/>
          <w:sz w:val="20"/>
          <w:szCs w:val="20"/>
          <w:lang w:val="es-ES"/>
        </w:rPr>
        <w:t>Garizurieta</w:t>
      </w:r>
      <w:proofErr w:type="spellEnd"/>
      <w:r w:rsidRPr="00272379">
        <w:rPr>
          <w:rFonts w:ascii="Verdana" w:hAnsi="Verdana"/>
          <w:sz w:val="20"/>
          <w:szCs w:val="20"/>
          <w:lang w:val="es-ES"/>
        </w:rPr>
        <w:t xml:space="preserve">, número 40, colonia Centro, código postal 92800, Tuxpan, Veracruz, se encuentran bloqueados por factores externos no atribuibles a la autoridad fiscal, desde el día 1 de febrero de 2019, impidiendo el acceso a los expedientes físicos y electrónicos de los asuntos que se encuentran en proceso y a cargo de las Administraciones Desconcentradas de Servicios al Contribuyente, de Auditoría Fiscal, Jurídica y de Recaudación de Veracruz “5”, causa de fuerza mayor que hace imposible, material y jurídicamente, continuar con el ejercicio de sus facultades, los plazos a que se refiere la fracción II, segundo, tercero y quinto párrafos de esta regla, seguirán suspendidos respecto de dichas administraciones desconcentradas, desde el 1 de febrero de 2019, hasta que la causa que dio origen </w:t>
      </w:r>
      <w:r w:rsidRPr="00272379">
        <w:rPr>
          <w:rFonts w:ascii="Verdana" w:hAnsi="Verdana"/>
          <w:sz w:val="20"/>
          <w:szCs w:val="20"/>
        </w:rPr>
        <w:t>desaparezca</w:t>
      </w:r>
      <w:r w:rsidRPr="00272379">
        <w:rPr>
          <w:rFonts w:ascii="Verdana" w:hAnsi="Verdana"/>
          <w:sz w:val="20"/>
          <w:szCs w:val="20"/>
          <w:lang w:val="es-ES"/>
        </w:rPr>
        <w:t>.</w:t>
      </w:r>
    </w:p>
    <w:p w:rsidR="00272379" w:rsidRPr="00272379" w:rsidRDefault="00272379" w:rsidP="00272379">
      <w:pPr>
        <w:pStyle w:val="texto"/>
        <w:spacing w:line="228" w:lineRule="exact"/>
        <w:ind w:left="2688" w:hanging="450"/>
        <w:rPr>
          <w:rFonts w:ascii="Verdana" w:hAnsi="Verdana"/>
          <w:sz w:val="20"/>
          <w:szCs w:val="20"/>
        </w:rPr>
      </w:pPr>
      <w:r w:rsidRPr="00272379">
        <w:rPr>
          <w:rFonts w:ascii="Verdana" w:hAnsi="Verdana"/>
          <w:b/>
          <w:sz w:val="20"/>
          <w:szCs w:val="20"/>
          <w:lang w:val="es-ES"/>
        </w:rPr>
        <w:t>IV.</w:t>
      </w:r>
      <w:r w:rsidRPr="00272379">
        <w:rPr>
          <w:rFonts w:ascii="Verdana" w:hAnsi="Verdana"/>
          <w:sz w:val="20"/>
          <w:szCs w:val="20"/>
          <w:lang w:val="es-ES"/>
        </w:rPr>
        <w:tab/>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272379" w:rsidRPr="00272379" w:rsidRDefault="00272379" w:rsidP="00272379">
      <w:pPr>
        <w:pStyle w:val="texto"/>
        <w:spacing w:line="228" w:lineRule="exact"/>
        <w:ind w:left="2238"/>
        <w:rPr>
          <w:rFonts w:ascii="Verdana" w:hAnsi="Verdana"/>
          <w:sz w:val="20"/>
          <w:szCs w:val="20"/>
        </w:rPr>
      </w:pPr>
      <w:r w:rsidRPr="00272379">
        <w:rPr>
          <w:rFonts w:ascii="Verdana" w:hAnsi="Verdana"/>
          <w:i/>
          <w:sz w:val="20"/>
          <w:szCs w:val="20"/>
          <w:lang w:val="es-ES"/>
        </w:rPr>
        <w:t>CFF 5, 12, 13, 17-H, último párrafo, 22, 41, 41-A, 42, 46-A, 48, 49, 50,</w:t>
      </w:r>
      <w:r w:rsidRPr="00272379">
        <w:rPr>
          <w:rFonts w:ascii="Verdana" w:hAnsi="Verdana"/>
          <w:sz w:val="20"/>
          <w:szCs w:val="20"/>
          <w:lang w:val="es-ES"/>
        </w:rPr>
        <w:t xml:space="preserve"> </w:t>
      </w:r>
      <w:r w:rsidRPr="00272379">
        <w:rPr>
          <w:rFonts w:ascii="Verdana" w:hAnsi="Verdana"/>
          <w:i/>
          <w:sz w:val="20"/>
          <w:szCs w:val="20"/>
          <w:lang w:val="es-ES"/>
        </w:rPr>
        <w:t xml:space="preserve">52, 52-A, 53, 53-A, 63, segundo párrafo, 67, 69-B, 69-B </w:t>
      </w:r>
      <w:r w:rsidRPr="00272379">
        <w:rPr>
          <w:rFonts w:ascii="Verdana" w:hAnsi="Verdana"/>
          <w:i/>
          <w:sz w:val="20"/>
          <w:szCs w:val="20"/>
          <w:lang w:val="es-ES"/>
        </w:rPr>
        <w:lastRenderedPageBreak/>
        <w:t>Bis, 69-D, segundo párrafo, 121, LISR 91, Código Federal de Procedimientos Civiles 365, Ley de Coordinación Fiscal 13, 14</w:t>
      </w:r>
    </w:p>
    <w:p w:rsidR="00272379" w:rsidRPr="00272379" w:rsidRDefault="00272379" w:rsidP="00272379">
      <w:pPr>
        <w:pStyle w:val="texto"/>
        <w:spacing w:line="228" w:lineRule="exact"/>
        <w:ind w:left="2238" w:hanging="1242"/>
        <w:rPr>
          <w:rFonts w:ascii="Verdana" w:hAnsi="Verdana"/>
          <w:sz w:val="20"/>
          <w:szCs w:val="20"/>
        </w:rPr>
      </w:pPr>
      <w:r w:rsidRPr="00272379">
        <w:rPr>
          <w:rFonts w:ascii="Verdana" w:hAnsi="Verdana"/>
          <w:b/>
          <w:sz w:val="20"/>
          <w:szCs w:val="20"/>
          <w:lang w:val="es-ES"/>
        </w:rPr>
        <w:tab/>
        <w:t>Factor de acumulación por depósitos o inversiones en el extranjero</w:t>
      </w:r>
    </w:p>
    <w:p w:rsidR="00272379" w:rsidRPr="00272379" w:rsidRDefault="00272379" w:rsidP="00272379">
      <w:pPr>
        <w:pStyle w:val="texto"/>
        <w:spacing w:line="228" w:lineRule="exact"/>
        <w:ind w:left="2238" w:hanging="1080"/>
        <w:rPr>
          <w:rFonts w:ascii="Verdana" w:hAnsi="Verdana"/>
          <w:sz w:val="20"/>
          <w:szCs w:val="20"/>
        </w:rPr>
      </w:pPr>
      <w:r w:rsidRPr="00272379">
        <w:rPr>
          <w:rFonts w:ascii="Verdana" w:hAnsi="Verdana"/>
          <w:b/>
          <w:sz w:val="20"/>
          <w:szCs w:val="20"/>
          <w:lang w:val="es-ES"/>
        </w:rPr>
        <w:t>3.16.11.</w:t>
      </w:r>
      <w:r w:rsidRPr="00272379">
        <w:rPr>
          <w:rFonts w:ascii="Verdana" w:hAnsi="Verdana"/>
          <w:sz w:val="20"/>
          <w:szCs w:val="20"/>
          <w:lang w:val="es-ES"/>
        </w:rPr>
        <w:tab/>
        <w:t>Para los efectos del artículo 239 del Reglamento de la Ley del ISR, el factor de acumulación aplicable al monto del depósito o inversión al inicio del ejercicio fiscal de 2018, es de 0.0290.</w:t>
      </w:r>
    </w:p>
    <w:p w:rsidR="00272379" w:rsidRPr="00272379" w:rsidRDefault="00272379" w:rsidP="00272379">
      <w:pPr>
        <w:pStyle w:val="texto"/>
        <w:spacing w:line="228" w:lineRule="exact"/>
        <w:ind w:left="2238" w:hanging="1242"/>
        <w:rPr>
          <w:rFonts w:ascii="Verdana" w:hAnsi="Verdana"/>
          <w:sz w:val="20"/>
          <w:szCs w:val="20"/>
        </w:rPr>
      </w:pPr>
      <w:r w:rsidRPr="00272379">
        <w:rPr>
          <w:rFonts w:ascii="Verdana" w:hAnsi="Verdana"/>
          <w:i/>
          <w:sz w:val="20"/>
          <w:szCs w:val="20"/>
          <w:lang w:val="es-ES"/>
        </w:rPr>
        <w:tab/>
        <w:t>RLISR 239”</w:t>
      </w:r>
    </w:p>
    <w:p w:rsidR="00272379" w:rsidRPr="00272379" w:rsidRDefault="00272379" w:rsidP="00272379">
      <w:pPr>
        <w:pStyle w:val="texto"/>
        <w:spacing w:line="228" w:lineRule="exact"/>
        <w:ind w:left="2238" w:hanging="1242"/>
        <w:rPr>
          <w:rFonts w:ascii="Verdana" w:hAnsi="Verdana"/>
          <w:sz w:val="20"/>
          <w:szCs w:val="20"/>
        </w:rPr>
      </w:pPr>
      <w:r w:rsidRPr="00272379">
        <w:rPr>
          <w:rFonts w:ascii="Verdana" w:hAnsi="Verdana"/>
          <w:b/>
          <w:sz w:val="20"/>
          <w:szCs w:val="20"/>
          <w:lang w:val="es-ES"/>
        </w:rPr>
        <w:t>SEGUNDO.</w:t>
      </w:r>
      <w:r w:rsidRPr="00272379">
        <w:rPr>
          <w:rFonts w:ascii="Verdana" w:hAnsi="Verdana"/>
          <w:sz w:val="20"/>
          <w:szCs w:val="20"/>
          <w:lang w:val="es-ES"/>
        </w:rPr>
        <w:tab/>
        <w:t>De conformidad con lo dispuesto en el artículo 5 de la Ley Federal de los Derechos del Contribuyente, se da a conocer el texto actualizado de las reglas a que se refiere el Resolutivo Primero de la presente Resolución.</w:t>
      </w:r>
    </w:p>
    <w:p w:rsidR="00272379" w:rsidRPr="00272379" w:rsidRDefault="00272379" w:rsidP="00272379">
      <w:pPr>
        <w:pStyle w:val="texto"/>
        <w:spacing w:line="228" w:lineRule="exact"/>
        <w:ind w:left="2238" w:hanging="1242"/>
        <w:rPr>
          <w:rFonts w:ascii="Verdana" w:hAnsi="Verdana"/>
          <w:sz w:val="20"/>
          <w:szCs w:val="20"/>
        </w:rPr>
      </w:pPr>
      <w:r w:rsidRPr="00272379">
        <w:rPr>
          <w:rFonts w:ascii="Verdana" w:hAnsi="Verdana"/>
          <w:sz w:val="20"/>
          <w:szCs w:val="20"/>
          <w:lang w:val="es-ES"/>
        </w:rPr>
        <w:tab/>
        <w:t>En caso de discrepancia entre el contenido del Resolutivo Primero y del presente, prevalece el texto del Resolutivo Primero.</w:t>
      </w:r>
    </w:p>
    <w:p w:rsidR="00272379" w:rsidRPr="00272379" w:rsidRDefault="00272379" w:rsidP="00272379">
      <w:pPr>
        <w:pStyle w:val="texto"/>
        <w:tabs>
          <w:tab w:val="left" w:pos="1530"/>
        </w:tabs>
        <w:spacing w:line="228" w:lineRule="exact"/>
        <w:ind w:left="2238" w:hanging="1242"/>
        <w:rPr>
          <w:rFonts w:ascii="Verdana" w:hAnsi="Verdana"/>
          <w:sz w:val="20"/>
          <w:szCs w:val="20"/>
        </w:rPr>
      </w:pPr>
      <w:r w:rsidRPr="00272379">
        <w:rPr>
          <w:rFonts w:ascii="Verdana" w:hAnsi="Verdana"/>
          <w:sz w:val="20"/>
          <w:szCs w:val="20"/>
          <w:lang w:val="es-ES"/>
        </w:rPr>
        <w:tab/>
      </w:r>
      <w:r w:rsidRPr="00272379">
        <w:rPr>
          <w:rFonts w:ascii="Verdana" w:hAnsi="Verdana"/>
          <w:b/>
          <w:sz w:val="20"/>
          <w:szCs w:val="20"/>
          <w:lang w:val="es-ES"/>
        </w:rPr>
        <w:t>“Días inhábiles</w:t>
      </w:r>
    </w:p>
    <w:p w:rsidR="00272379" w:rsidRPr="00272379" w:rsidRDefault="00272379" w:rsidP="00272379">
      <w:pPr>
        <w:pStyle w:val="texto"/>
        <w:spacing w:line="228" w:lineRule="exact"/>
        <w:ind w:left="2238" w:hanging="1080"/>
        <w:rPr>
          <w:rFonts w:ascii="Verdana" w:hAnsi="Verdana"/>
          <w:sz w:val="20"/>
          <w:szCs w:val="20"/>
        </w:rPr>
      </w:pPr>
      <w:r w:rsidRPr="00272379">
        <w:rPr>
          <w:rFonts w:ascii="Verdana" w:hAnsi="Verdana"/>
          <w:b/>
          <w:sz w:val="20"/>
          <w:szCs w:val="20"/>
          <w:lang w:val="es-ES"/>
        </w:rPr>
        <w:t>2.1.6.</w:t>
      </w:r>
      <w:r w:rsidRPr="00272379">
        <w:rPr>
          <w:rFonts w:ascii="Verdana" w:hAnsi="Verdana"/>
          <w:sz w:val="20"/>
          <w:szCs w:val="20"/>
          <w:lang w:val="es-ES"/>
        </w:rPr>
        <w:tab/>
        <w:t>Para los efectos del artículo 12, primer y segundo párrafos del CFF, se estará a lo siguiente:</w:t>
      </w:r>
    </w:p>
    <w:p w:rsidR="00272379" w:rsidRPr="00272379" w:rsidRDefault="00272379" w:rsidP="00272379">
      <w:pPr>
        <w:pStyle w:val="texto"/>
        <w:spacing w:line="228" w:lineRule="exact"/>
        <w:ind w:left="2688" w:hanging="450"/>
        <w:rPr>
          <w:rFonts w:ascii="Verdana" w:hAnsi="Verdana"/>
          <w:sz w:val="20"/>
          <w:szCs w:val="20"/>
        </w:rPr>
      </w:pPr>
      <w:r w:rsidRPr="00272379">
        <w:rPr>
          <w:rFonts w:ascii="Verdana" w:hAnsi="Verdana"/>
          <w:b/>
          <w:sz w:val="20"/>
          <w:szCs w:val="20"/>
          <w:lang w:val="es-ES"/>
        </w:rPr>
        <w:t>I.</w:t>
      </w:r>
      <w:r w:rsidRPr="00272379">
        <w:rPr>
          <w:rFonts w:ascii="Verdana" w:hAnsi="Verdana"/>
          <w:sz w:val="20"/>
          <w:szCs w:val="20"/>
          <w:lang w:val="es-ES"/>
        </w:rPr>
        <w:tab/>
        <w:t>Son periodos generales de vacaciones para el SAT:</w:t>
      </w:r>
    </w:p>
    <w:p w:rsidR="00272379" w:rsidRPr="00272379" w:rsidRDefault="00272379" w:rsidP="00272379">
      <w:pPr>
        <w:pStyle w:val="texto"/>
        <w:spacing w:line="228" w:lineRule="exact"/>
        <w:ind w:left="3138" w:hanging="450"/>
        <w:rPr>
          <w:rFonts w:ascii="Verdana" w:hAnsi="Verdana"/>
          <w:sz w:val="20"/>
          <w:szCs w:val="20"/>
        </w:rPr>
      </w:pPr>
      <w:r w:rsidRPr="00272379">
        <w:rPr>
          <w:rFonts w:ascii="Verdana" w:hAnsi="Verdana"/>
          <w:b/>
          <w:sz w:val="20"/>
          <w:szCs w:val="20"/>
          <w:lang w:val="es-ES"/>
        </w:rPr>
        <w:t>a)</w:t>
      </w:r>
      <w:r w:rsidRPr="00272379">
        <w:rPr>
          <w:rFonts w:ascii="Verdana" w:hAnsi="Verdana"/>
          <w:sz w:val="20"/>
          <w:szCs w:val="20"/>
          <w:lang w:val="es-ES"/>
        </w:rPr>
        <w:tab/>
        <w:t>Segundo periodo del 2017 comprende los días del 26 de diciembre de 2017 al 5 de enero de 2018, así como el 27 y 28 de marzo de 2018.</w:t>
      </w:r>
    </w:p>
    <w:p w:rsidR="00272379" w:rsidRPr="00272379" w:rsidRDefault="00272379" w:rsidP="00272379">
      <w:pPr>
        <w:pStyle w:val="texto"/>
        <w:spacing w:line="228" w:lineRule="exact"/>
        <w:ind w:left="3138" w:hanging="450"/>
        <w:rPr>
          <w:rFonts w:ascii="Verdana" w:hAnsi="Verdana"/>
          <w:sz w:val="20"/>
          <w:szCs w:val="20"/>
        </w:rPr>
      </w:pPr>
      <w:r w:rsidRPr="00272379">
        <w:rPr>
          <w:rFonts w:ascii="Verdana" w:hAnsi="Verdana"/>
          <w:b/>
          <w:sz w:val="20"/>
          <w:szCs w:val="20"/>
          <w:lang w:val="es-ES"/>
        </w:rPr>
        <w:t>b)</w:t>
      </w:r>
      <w:r w:rsidRPr="00272379">
        <w:rPr>
          <w:rFonts w:ascii="Verdana" w:hAnsi="Verdana"/>
          <w:sz w:val="20"/>
          <w:szCs w:val="20"/>
          <w:lang w:val="es-ES"/>
        </w:rPr>
        <w:tab/>
        <w:t>Primer periodo del 2018 comprende los días del 16 al 27 de julio de 2018.</w:t>
      </w:r>
    </w:p>
    <w:p w:rsidR="00272379" w:rsidRPr="00272379" w:rsidRDefault="00272379" w:rsidP="00272379">
      <w:pPr>
        <w:pStyle w:val="texto"/>
        <w:spacing w:line="228" w:lineRule="exact"/>
        <w:ind w:left="3138" w:hanging="450"/>
        <w:rPr>
          <w:rFonts w:ascii="Verdana" w:hAnsi="Verdana"/>
          <w:sz w:val="20"/>
          <w:szCs w:val="20"/>
        </w:rPr>
      </w:pPr>
      <w:r w:rsidRPr="00272379">
        <w:rPr>
          <w:rFonts w:ascii="Verdana" w:hAnsi="Verdana"/>
          <w:b/>
          <w:sz w:val="20"/>
          <w:szCs w:val="20"/>
          <w:lang w:val="es-ES"/>
        </w:rPr>
        <w:t>c)</w:t>
      </w:r>
      <w:r w:rsidRPr="00272379">
        <w:rPr>
          <w:rFonts w:ascii="Verdana" w:hAnsi="Verdana"/>
          <w:b/>
          <w:sz w:val="20"/>
          <w:szCs w:val="20"/>
          <w:lang w:val="es-ES"/>
        </w:rPr>
        <w:tab/>
      </w:r>
      <w:r w:rsidRPr="00272379">
        <w:rPr>
          <w:rFonts w:ascii="Verdana" w:hAnsi="Verdana"/>
          <w:sz w:val="20"/>
          <w:szCs w:val="20"/>
          <w:lang w:val="es-ES"/>
        </w:rPr>
        <w:t>Segundo periodo del 2018 comprende los días del 20 de diciembre de 2018 al 4 de enero de 2019.</w:t>
      </w:r>
    </w:p>
    <w:p w:rsidR="00272379" w:rsidRPr="00272379" w:rsidRDefault="00272379" w:rsidP="00272379">
      <w:pPr>
        <w:pStyle w:val="texto"/>
        <w:tabs>
          <w:tab w:val="left" w:pos="1980"/>
        </w:tabs>
        <w:spacing w:line="217" w:lineRule="exact"/>
        <w:ind w:left="2688" w:hanging="450"/>
        <w:rPr>
          <w:rFonts w:ascii="Verdana" w:hAnsi="Verdana"/>
          <w:sz w:val="20"/>
          <w:szCs w:val="20"/>
        </w:rPr>
      </w:pPr>
      <w:r w:rsidRPr="00272379">
        <w:rPr>
          <w:rFonts w:ascii="Verdana" w:hAnsi="Verdana"/>
          <w:b/>
          <w:sz w:val="20"/>
          <w:szCs w:val="20"/>
          <w:lang w:val="es-ES"/>
        </w:rPr>
        <w:t>II.</w:t>
      </w:r>
      <w:r w:rsidRPr="00272379">
        <w:rPr>
          <w:rFonts w:ascii="Verdana" w:hAnsi="Verdana"/>
          <w:sz w:val="20"/>
          <w:szCs w:val="20"/>
          <w:lang w:val="es-ES"/>
        </w:rPr>
        <w:tab/>
        <w:t xml:space="preserve">Son días inhábiles para las Administraciones Desconcentradas de Servicios al Contribuyente, de Auditoría Fiscal, Jurídica y de Recaudación del SAT de </w:t>
      </w:r>
      <w:proofErr w:type="gramStart"/>
      <w:r w:rsidRPr="00272379">
        <w:rPr>
          <w:rFonts w:ascii="Verdana" w:hAnsi="Verdana"/>
          <w:sz w:val="20"/>
          <w:szCs w:val="20"/>
          <w:lang w:val="es-ES"/>
        </w:rPr>
        <w:t>Veracruz ”</w:t>
      </w:r>
      <w:proofErr w:type="gramEnd"/>
      <w:r w:rsidRPr="00272379">
        <w:rPr>
          <w:rFonts w:ascii="Verdana" w:hAnsi="Verdana"/>
          <w:sz w:val="20"/>
          <w:szCs w:val="20"/>
          <w:lang w:val="es-ES"/>
        </w:rPr>
        <w:t xml:space="preserve">3” y Veracruz “5” del </w:t>
      </w:r>
      <w:r w:rsidRPr="00272379">
        <w:rPr>
          <w:rFonts w:ascii="Verdana" w:hAnsi="Verdana"/>
          <w:color w:val="000000"/>
          <w:sz w:val="20"/>
          <w:szCs w:val="20"/>
          <w:lang w:val="es-ES"/>
        </w:rPr>
        <w:t>7 al 31 de enero de 2019.</w:t>
      </w:r>
    </w:p>
    <w:p w:rsidR="00272379" w:rsidRPr="00272379" w:rsidRDefault="00272379" w:rsidP="00272379">
      <w:pPr>
        <w:pStyle w:val="texto"/>
        <w:spacing w:line="217" w:lineRule="exact"/>
        <w:ind w:left="2688"/>
        <w:rPr>
          <w:rFonts w:ascii="Verdana" w:hAnsi="Verdana"/>
          <w:sz w:val="20"/>
          <w:szCs w:val="20"/>
        </w:rPr>
      </w:pPr>
      <w:r w:rsidRPr="00272379">
        <w:rPr>
          <w:rFonts w:ascii="Verdana" w:hAnsi="Verdana"/>
          <w:sz w:val="20"/>
          <w:szCs w:val="20"/>
          <w:lang w:val="es-ES"/>
        </w:rPr>
        <w:t>Para los efectos del artículo 46-A, segundo párrafo, fracción VI del CFF, en virtud de que los accesos a las instalaciones de las autoridades fiscales señaladas en el párrafo anterior fueron bloqueados por diversas personas, impidiendo el ejercicio de sus facultades, se suspenden los plazos para concluir las visitas domiciliarias o las revisiones de la contabilidad que, al 19 de diciembre de 2018, se encontraban iniciadas por las administraciones desconcentradas mencionadas en el párrafo anterior.</w:t>
      </w:r>
    </w:p>
    <w:p w:rsidR="00272379" w:rsidRPr="00272379" w:rsidRDefault="00272379" w:rsidP="00272379">
      <w:pPr>
        <w:pStyle w:val="texto"/>
        <w:spacing w:line="217" w:lineRule="exact"/>
        <w:ind w:left="2688"/>
        <w:rPr>
          <w:rFonts w:ascii="Verdana" w:hAnsi="Verdana"/>
          <w:sz w:val="20"/>
          <w:szCs w:val="20"/>
        </w:rPr>
      </w:pPr>
      <w:r w:rsidRPr="00272379">
        <w:rPr>
          <w:rFonts w:ascii="Verdana" w:hAnsi="Verdana"/>
          <w:sz w:val="20"/>
          <w:szCs w:val="20"/>
          <w:lang w:val="es-ES"/>
        </w:rPr>
        <w:lastRenderedPageBreak/>
        <w:t>Asimismo, para los efectos de los artículos 17-H, último párrafo, 22, 41, 41-A, 48, 49, 50, 52, 52-A, 53, 53-A, 63, segundo párrafo, 67, 69-B, 69-B Bis, 69-D, segundo párrafo, 121, así como 91 de la Ley del ISR, en relación con el artículo 365 del Código Federal de Procedimientos Civiles, aplicado supletoriamente de conformidad con el artículo 5 del CFF, por los motivos señalados en el párrafo anterior, se suspenden los plazos contenidos en los citados preceptos legales que al 19 de diciembre de 2018 se encontraban transcurriendo en las administraciones desconcentradas señaladas en el primer párrafo de la presente fracción.</w:t>
      </w:r>
    </w:p>
    <w:p w:rsidR="00272379" w:rsidRPr="00272379" w:rsidRDefault="00272379" w:rsidP="00272379">
      <w:pPr>
        <w:pStyle w:val="texto"/>
        <w:spacing w:line="217" w:lineRule="exact"/>
        <w:ind w:left="2688"/>
        <w:rPr>
          <w:rFonts w:ascii="Verdana" w:hAnsi="Verdana"/>
          <w:sz w:val="20"/>
          <w:szCs w:val="20"/>
        </w:rPr>
      </w:pPr>
      <w:r w:rsidRPr="00272379">
        <w:rPr>
          <w:rFonts w:ascii="Verdana" w:hAnsi="Verdana"/>
          <w:sz w:val="20"/>
          <w:szCs w:val="20"/>
          <w:lang w:val="es-ES"/>
        </w:rPr>
        <w:t>Las suspensiones a que se refiere esta fracción inician el 7 de enero de 2019 y terminan el 31 de enero del propio año.</w:t>
      </w:r>
    </w:p>
    <w:p w:rsidR="00272379" w:rsidRPr="00272379" w:rsidRDefault="00272379" w:rsidP="00272379">
      <w:pPr>
        <w:pStyle w:val="texto"/>
        <w:spacing w:line="217" w:lineRule="exact"/>
        <w:ind w:left="2688"/>
        <w:rPr>
          <w:rFonts w:ascii="Verdana" w:hAnsi="Verdana"/>
          <w:sz w:val="20"/>
          <w:szCs w:val="20"/>
        </w:rPr>
      </w:pPr>
      <w:r w:rsidRPr="00272379">
        <w:rPr>
          <w:rFonts w:ascii="Verdana" w:hAnsi="Verdana"/>
          <w:sz w:val="20"/>
          <w:szCs w:val="20"/>
          <w:lang w:val="es-ES"/>
        </w:rPr>
        <w:t>En virtud de las suspensiones a que se refiere la presente regla, no correrán los plazos otorgados en los preceptos legales citados en la presente fracción para el cumplimiento de obligaciones a cargo de los contribuyentes, responsables solidaros o terceros con ellos relacionados, así como contadores públicos inscritos, con motivo de las facultades de comprobación ejercidas por las citadas autoridades que se encontrarán transcurriendo del 7 de enero de 2019 al 31 de enero del mismo año.</w:t>
      </w:r>
    </w:p>
    <w:p w:rsidR="00272379" w:rsidRPr="00272379" w:rsidRDefault="00272379" w:rsidP="00272379">
      <w:pPr>
        <w:pStyle w:val="texto"/>
        <w:tabs>
          <w:tab w:val="left" w:pos="1980"/>
        </w:tabs>
        <w:spacing w:line="217" w:lineRule="exact"/>
        <w:ind w:left="2688" w:hanging="450"/>
        <w:rPr>
          <w:rFonts w:ascii="Verdana" w:hAnsi="Verdana"/>
          <w:sz w:val="20"/>
          <w:szCs w:val="20"/>
        </w:rPr>
      </w:pPr>
      <w:r w:rsidRPr="00272379">
        <w:rPr>
          <w:rFonts w:ascii="Verdana" w:hAnsi="Verdana"/>
          <w:b/>
          <w:sz w:val="20"/>
          <w:szCs w:val="20"/>
          <w:lang w:val="es-ES"/>
        </w:rPr>
        <w:t>III.</w:t>
      </w:r>
      <w:r w:rsidRPr="00272379">
        <w:rPr>
          <w:rFonts w:ascii="Verdana" w:hAnsi="Verdana"/>
          <w:b/>
          <w:sz w:val="20"/>
          <w:szCs w:val="20"/>
          <w:lang w:val="es-ES"/>
        </w:rPr>
        <w:tab/>
      </w:r>
      <w:r w:rsidRPr="00272379">
        <w:rPr>
          <w:rFonts w:ascii="Verdana" w:hAnsi="Verdana"/>
          <w:sz w:val="20"/>
          <w:szCs w:val="20"/>
          <w:lang w:val="es-ES"/>
        </w:rPr>
        <w:t xml:space="preserve">Considerando que los accesos al inmueble ubicado en calle José Luis </w:t>
      </w:r>
      <w:proofErr w:type="spellStart"/>
      <w:r w:rsidRPr="00272379">
        <w:rPr>
          <w:rFonts w:ascii="Verdana" w:hAnsi="Verdana"/>
          <w:sz w:val="20"/>
          <w:szCs w:val="20"/>
          <w:lang w:val="es-ES"/>
        </w:rPr>
        <w:t>Garizurieta</w:t>
      </w:r>
      <w:proofErr w:type="spellEnd"/>
      <w:r w:rsidRPr="00272379">
        <w:rPr>
          <w:rFonts w:ascii="Verdana" w:hAnsi="Verdana"/>
          <w:sz w:val="20"/>
          <w:szCs w:val="20"/>
          <w:lang w:val="es-ES"/>
        </w:rPr>
        <w:t>, número 40, colonia Centro, código postal 92800, Tuxpan, Veracruz, se encuentran bloqueados por factores externos no atribuibles a la autoridad fiscal, desde el día 1 de febrero de 2019, impidiendo el acceso a los expedientes físicos y electrónicos de los asuntos que se encuentran en proceso y a cargo de las Administraciones Desconcentradas de Servicios al Contribuyente, de Auditoría Fiscal, Jurídica y de Recaudación de Veracruz “5”, causa de fuerza mayor que hace imposible, material y jurídicamente, continuar con el ejercicio de sus facultades, los plazos a que se refiere la fracción II, segundo, tercero y quinto párrafos de esta regla, seguirán suspendidos respecto de dichas administraciones desconcentradas, desde el 1 de febrero de 2019, hasta que la causa que dio origen desaparezca.</w:t>
      </w:r>
    </w:p>
    <w:p w:rsidR="00272379" w:rsidRPr="00272379" w:rsidRDefault="00272379" w:rsidP="00272379">
      <w:pPr>
        <w:pStyle w:val="texto"/>
        <w:tabs>
          <w:tab w:val="left" w:pos="1980"/>
        </w:tabs>
        <w:spacing w:line="217" w:lineRule="exact"/>
        <w:ind w:left="2688" w:hanging="450"/>
        <w:rPr>
          <w:rFonts w:ascii="Verdana" w:hAnsi="Verdana"/>
          <w:sz w:val="20"/>
          <w:szCs w:val="20"/>
        </w:rPr>
      </w:pPr>
      <w:r w:rsidRPr="00272379">
        <w:rPr>
          <w:rFonts w:ascii="Verdana" w:hAnsi="Verdana"/>
          <w:b/>
          <w:sz w:val="20"/>
          <w:szCs w:val="20"/>
          <w:lang w:val="es-ES"/>
        </w:rPr>
        <w:t>IV.</w:t>
      </w:r>
      <w:r w:rsidRPr="00272379">
        <w:rPr>
          <w:rFonts w:ascii="Verdana" w:hAnsi="Verdana"/>
          <w:sz w:val="20"/>
          <w:szCs w:val="20"/>
          <w:lang w:val="es-ES"/>
        </w:rPr>
        <w:tab/>
        <w:t>Las autoridades estatales y municipales que actúen como coordinadas en materia fiscal en términos de los artículos 13 y 14 de la Ley de Coordinación Fiscal, podrán considerar los días inhábiles señalados en esta regla, siempre que los den a conocer con ese carácter en su órgano o medio de difusión oficial, de acuerdo a las disposiciones legales y administrativas que las rigen.</w:t>
      </w:r>
    </w:p>
    <w:p w:rsidR="00272379" w:rsidRPr="00272379" w:rsidRDefault="00272379" w:rsidP="00272379">
      <w:pPr>
        <w:pStyle w:val="texto"/>
        <w:spacing w:line="217" w:lineRule="exact"/>
        <w:ind w:left="2238"/>
        <w:rPr>
          <w:rFonts w:ascii="Verdana" w:hAnsi="Verdana"/>
          <w:sz w:val="20"/>
          <w:szCs w:val="20"/>
        </w:rPr>
      </w:pPr>
      <w:r w:rsidRPr="00272379">
        <w:rPr>
          <w:rFonts w:ascii="Verdana" w:hAnsi="Verdana"/>
          <w:i/>
          <w:sz w:val="20"/>
          <w:szCs w:val="20"/>
          <w:lang w:val="es-ES"/>
        </w:rPr>
        <w:t>CFF 5, 12, 13, 17-H, último párrafo, 22, 41, 41-A, 42, 46-A, 48, 49, 50,</w:t>
      </w:r>
      <w:r w:rsidRPr="00272379">
        <w:rPr>
          <w:rFonts w:ascii="Verdana" w:hAnsi="Verdana"/>
          <w:sz w:val="20"/>
          <w:szCs w:val="20"/>
          <w:lang w:val="es-ES"/>
        </w:rPr>
        <w:t xml:space="preserve"> </w:t>
      </w:r>
      <w:r w:rsidRPr="00272379">
        <w:rPr>
          <w:rFonts w:ascii="Verdana" w:hAnsi="Verdana"/>
          <w:i/>
          <w:sz w:val="20"/>
          <w:szCs w:val="20"/>
          <w:lang w:val="es-ES"/>
        </w:rPr>
        <w:t>52, 52-A, 53, 53-A, 63, segundo párrafo, 67, 69-B, 69-B Bis, 69-D, segundo párrafo, 121, LISR 91, Código Federal de Procedimientos Civiles 365, Ley de Coordinación Fiscal 13, 14</w:t>
      </w:r>
    </w:p>
    <w:p w:rsidR="00272379" w:rsidRPr="00272379" w:rsidRDefault="00272379" w:rsidP="00272379">
      <w:pPr>
        <w:pStyle w:val="texto"/>
        <w:spacing w:line="217" w:lineRule="exact"/>
        <w:ind w:left="2238"/>
        <w:rPr>
          <w:rFonts w:ascii="Verdana" w:hAnsi="Verdana"/>
          <w:sz w:val="20"/>
          <w:szCs w:val="20"/>
        </w:rPr>
      </w:pPr>
      <w:r w:rsidRPr="00272379">
        <w:rPr>
          <w:rFonts w:ascii="Verdana" w:hAnsi="Verdana"/>
          <w:b/>
          <w:sz w:val="20"/>
          <w:szCs w:val="20"/>
          <w:lang w:val="es-ES"/>
        </w:rPr>
        <w:t>Factor de acumulación por depósitos o inversiones en el extranjero</w:t>
      </w:r>
    </w:p>
    <w:p w:rsidR="00272379" w:rsidRPr="00272379" w:rsidRDefault="00272379" w:rsidP="00272379">
      <w:pPr>
        <w:pStyle w:val="texto"/>
        <w:tabs>
          <w:tab w:val="left" w:pos="1530"/>
        </w:tabs>
        <w:spacing w:line="217" w:lineRule="exact"/>
        <w:ind w:left="2238" w:hanging="1080"/>
        <w:rPr>
          <w:rFonts w:ascii="Verdana" w:hAnsi="Verdana"/>
          <w:sz w:val="20"/>
          <w:szCs w:val="20"/>
        </w:rPr>
      </w:pPr>
      <w:r w:rsidRPr="00272379">
        <w:rPr>
          <w:rFonts w:ascii="Verdana" w:hAnsi="Verdana"/>
          <w:b/>
          <w:sz w:val="20"/>
          <w:szCs w:val="20"/>
          <w:lang w:val="es-ES"/>
        </w:rPr>
        <w:lastRenderedPageBreak/>
        <w:t>3.16.11.</w:t>
      </w:r>
      <w:r w:rsidRPr="00272379">
        <w:rPr>
          <w:rFonts w:ascii="Verdana" w:hAnsi="Verdana"/>
          <w:sz w:val="20"/>
          <w:szCs w:val="20"/>
          <w:lang w:val="es-ES"/>
        </w:rPr>
        <w:tab/>
        <w:t>Para los efectos del artículo 239 del Reglamento de la Ley del ISR, el factor de acumulación aplicable al monto del depósito o inversión al inicio del ejercicio fiscal de 2018, es de 0.0290.</w:t>
      </w:r>
    </w:p>
    <w:p w:rsidR="00272379" w:rsidRPr="00272379" w:rsidRDefault="00272379" w:rsidP="00272379">
      <w:pPr>
        <w:pStyle w:val="texto"/>
        <w:spacing w:line="217" w:lineRule="exact"/>
        <w:ind w:left="2238" w:hanging="1242"/>
        <w:rPr>
          <w:rFonts w:ascii="Verdana" w:hAnsi="Verdana"/>
          <w:sz w:val="20"/>
          <w:szCs w:val="20"/>
        </w:rPr>
      </w:pPr>
      <w:r w:rsidRPr="00272379">
        <w:rPr>
          <w:rFonts w:ascii="Verdana" w:hAnsi="Verdana"/>
          <w:i/>
          <w:sz w:val="20"/>
          <w:szCs w:val="20"/>
          <w:lang w:val="es-ES"/>
        </w:rPr>
        <w:tab/>
        <w:t>RLISR 239”</w:t>
      </w:r>
    </w:p>
    <w:p w:rsidR="00272379" w:rsidRPr="00272379" w:rsidRDefault="00272379" w:rsidP="00272379">
      <w:pPr>
        <w:pStyle w:val="anotacion"/>
        <w:spacing w:line="217" w:lineRule="exact"/>
        <w:ind w:left="708"/>
        <w:rPr>
          <w:rFonts w:ascii="Verdana" w:hAnsi="Verdana"/>
          <w:sz w:val="20"/>
          <w:szCs w:val="20"/>
        </w:rPr>
      </w:pPr>
      <w:r w:rsidRPr="00272379">
        <w:rPr>
          <w:rFonts w:ascii="Verdana" w:hAnsi="Verdana"/>
          <w:sz w:val="20"/>
          <w:szCs w:val="20"/>
          <w:lang w:val="es-ES_tradnl"/>
        </w:rPr>
        <w:t>Transitorios</w:t>
      </w:r>
    </w:p>
    <w:p w:rsidR="00272379" w:rsidRPr="00272379" w:rsidRDefault="00272379" w:rsidP="00272379">
      <w:pPr>
        <w:pStyle w:val="texto"/>
        <w:tabs>
          <w:tab w:val="left" w:pos="1530"/>
        </w:tabs>
        <w:spacing w:line="217" w:lineRule="exact"/>
        <w:ind w:left="2238" w:hanging="1242"/>
        <w:rPr>
          <w:rFonts w:ascii="Verdana" w:hAnsi="Verdana"/>
          <w:sz w:val="20"/>
          <w:szCs w:val="20"/>
        </w:rPr>
      </w:pPr>
      <w:r w:rsidRPr="00272379">
        <w:rPr>
          <w:rFonts w:ascii="Verdana" w:hAnsi="Verdana"/>
          <w:b/>
          <w:sz w:val="20"/>
          <w:szCs w:val="20"/>
          <w:lang w:val="es-ES"/>
        </w:rPr>
        <w:t>Primero.</w:t>
      </w:r>
      <w:r w:rsidRPr="00272379">
        <w:rPr>
          <w:rFonts w:ascii="Verdana" w:hAnsi="Verdana"/>
          <w:b/>
          <w:sz w:val="20"/>
          <w:szCs w:val="20"/>
          <w:lang w:val="es-ES"/>
        </w:rPr>
        <w:tab/>
      </w:r>
      <w:r w:rsidRPr="00272379">
        <w:rPr>
          <w:rFonts w:ascii="Verdana" w:hAnsi="Verdana"/>
          <w:sz w:val="20"/>
          <w:szCs w:val="20"/>
          <w:lang w:val="es-ES"/>
        </w:rPr>
        <w:t>La presente Resolución entrará en vigor el día siguiente al de su publicación en el DOF.</w:t>
      </w:r>
    </w:p>
    <w:p w:rsidR="00272379" w:rsidRPr="00272379" w:rsidRDefault="00272379" w:rsidP="00272379">
      <w:pPr>
        <w:pStyle w:val="texto"/>
        <w:spacing w:line="217" w:lineRule="exact"/>
        <w:ind w:left="708"/>
        <w:rPr>
          <w:rFonts w:ascii="Verdana" w:hAnsi="Verdana"/>
          <w:sz w:val="20"/>
          <w:szCs w:val="20"/>
        </w:rPr>
      </w:pPr>
      <w:r w:rsidRPr="00272379">
        <w:rPr>
          <w:rFonts w:ascii="Verdana" w:hAnsi="Verdana"/>
          <w:sz w:val="20"/>
          <w:szCs w:val="20"/>
          <w:lang w:val="es-ES"/>
        </w:rPr>
        <w:t>Atentamente</w:t>
      </w:r>
    </w:p>
    <w:p w:rsidR="00272379" w:rsidRPr="00272379" w:rsidRDefault="00272379" w:rsidP="00272379">
      <w:pPr>
        <w:pStyle w:val="texto"/>
        <w:spacing w:line="217" w:lineRule="exact"/>
        <w:ind w:left="708"/>
        <w:rPr>
          <w:rFonts w:ascii="Verdana" w:hAnsi="Verdana"/>
          <w:sz w:val="20"/>
          <w:szCs w:val="20"/>
        </w:rPr>
      </w:pPr>
      <w:r w:rsidRPr="00272379">
        <w:rPr>
          <w:rFonts w:ascii="Verdana" w:hAnsi="Verdana"/>
          <w:sz w:val="20"/>
          <w:szCs w:val="20"/>
          <w:lang w:val="es-ES"/>
        </w:rPr>
        <w:t xml:space="preserve">Ciudad de México, a 12 de febrero de 2019.- La Jefa del Servicio de Administración Tributaria, </w:t>
      </w:r>
      <w:r w:rsidRPr="00272379">
        <w:rPr>
          <w:rFonts w:ascii="Verdana" w:hAnsi="Verdana"/>
          <w:b/>
          <w:sz w:val="20"/>
          <w:szCs w:val="20"/>
          <w:lang w:val="es-ES"/>
        </w:rPr>
        <w:t xml:space="preserve">Ana Margarita Ríos </w:t>
      </w:r>
      <w:proofErr w:type="spellStart"/>
      <w:r w:rsidRPr="00272379">
        <w:rPr>
          <w:rFonts w:ascii="Verdana" w:hAnsi="Verdana"/>
          <w:b/>
          <w:sz w:val="20"/>
          <w:szCs w:val="20"/>
          <w:lang w:val="es-ES"/>
        </w:rPr>
        <w:t>Farjat</w:t>
      </w:r>
      <w:proofErr w:type="spellEnd"/>
      <w:r w:rsidRPr="00272379">
        <w:rPr>
          <w:rFonts w:ascii="Verdana" w:hAnsi="Verdana"/>
          <w:sz w:val="20"/>
          <w:szCs w:val="20"/>
          <w:lang w:val="es-ES"/>
        </w:rPr>
        <w:t>.- Rúbrica.</w:t>
      </w:r>
    </w:p>
    <w:p w:rsidR="00272379" w:rsidRPr="00272379" w:rsidRDefault="00272379" w:rsidP="00272379">
      <w:pPr>
        <w:pStyle w:val="texto"/>
        <w:spacing w:line="217" w:lineRule="exact"/>
        <w:ind w:left="708"/>
        <w:rPr>
          <w:rFonts w:ascii="Verdana" w:hAnsi="Verdana"/>
        </w:rPr>
      </w:pPr>
      <w:r w:rsidRPr="00272379">
        <w:rPr>
          <w:rFonts w:ascii="Verdana" w:hAnsi="Verdana"/>
          <w:sz w:val="20"/>
          <w:szCs w:val="20"/>
          <w:lang w:val="es-ES"/>
        </w:rPr>
        <w:t> </w:t>
      </w:r>
    </w:p>
    <w:p w:rsidR="008615B1" w:rsidRPr="00272379" w:rsidRDefault="008615B1">
      <w:pPr>
        <w:rPr>
          <w:rFonts w:ascii="Verdana" w:hAnsi="Verdana"/>
        </w:rPr>
      </w:pPr>
    </w:p>
    <w:sectPr w:rsidR="008615B1" w:rsidRPr="002723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79"/>
    <w:rsid w:val="00272379"/>
    <w:rsid w:val="00861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7237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93967">
      <w:bodyDiv w:val="1"/>
      <w:marLeft w:val="0"/>
      <w:marRight w:val="0"/>
      <w:marTop w:val="0"/>
      <w:marBottom w:val="0"/>
      <w:divBdr>
        <w:top w:val="none" w:sz="0" w:space="0" w:color="auto"/>
        <w:left w:val="none" w:sz="0" w:space="0" w:color="auto"/>
        <w:bottom w:val="none" w:sz="0" w:space="0" w:color="auto"/>
        <w:right w:val="none" w:sz="0" w:space="0" w:color="auto"/>
      </w:divBdr>
      <w:divsChild>
        <w:div w:id="357513547">
          <w:marLeft w:val="0"/>
          <w:marRight w:val="0"/>
          <w:marTop w:val="0"/>
          <w:marBottom w:val="0"/>
          <w:divBdr>
            <w:top w:val="none" w:sz="0" w:space="0" w:color="auto"/>
            <w:left w:val="none" w:sz="0" w:space="0" w:color="auto"/>
            <w:bottom w:val="single" w:sz="12" w:space="1" w:color="auto"/>
            <w:right w:val="none" w:sz="0" w:space="0" w:color="auto"/>
          </w:divBdr>
        </w:div>
        <w:div w:id="7949589">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6415</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2019-02-21T14:26:00Z</dcterms:created>
  <dcterms:modified xsi:type="dcterms:W3CDTF">2019-02-21T15:35:00Z</dcterms:modified>
</cp:coreProperties>
</file>