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Tlaxcala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TLAXCALA.</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Tlaxcala,</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Tlaxcala</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57, 67, 69, 70, fracción XXXVI, 91, fracción III y 101, fracción V de la Constitución Política del Estado Libre y Soberano de Tlaxcala, y 1, 3, 8, 11, 15, 19, 27, 28, fracción IV, 31 y 32, fracciones I, III, IV y VII de la Ley Orgánica de la Administración Pública del Estado de Tlaxcala, ambas partes</w:t>
      </w:r>
    </w:p>
    <w:p w:rsidR="00000000" w:rsidDel="00000000" w:rsidP="00000000" w:rsidRDefault="00000000" w:rsidRPr="00000000" w14:paraId="0000000E">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i2014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Tlaxcala</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w:t>
      </w:r>
    </w:p>
    <w:p w:rsidR="00000000" w:rsidDel="00000000" w:rsidP="00000000" w:rsidRDefault="00000000" w:rsidRPr="00000000" w14:paraId="00000011">
      <w:pPr>
        <w:shd w:fill="ffffff" w:val="clea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it-1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i2014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marzo de 2020.- Por el Estado: el Gobernador Constitucional, </w:t>
      </w:r>
      <w:r w:rsidDel="00000000" w:rsidR="00000000" w:rsidRPr="00000000">
        <w:rPr>
          <w:rFonts w:ascii="Verdana" w:cs="Verdana" w:eastAsia="Verdana" w:hAnsi="Verdana"/>
          <w:b w:val="1"/>
          <w:color w:val="2f2f2f"/>
          <w:sz w:val="20"/>
          <w:szCs w:val="20"/>
          <w:rtl w:val="0"/>
        </w:rPr>
        <w:t xml:space="preserve">Marco Antonio Mena Rodríguez</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José Aarón Pérez Carro</w:t>
      </w:r>
      <w:r w:rsidDel="00000000" w:rsidR="00000000" w:rsidRPr="00000000">
        <w:rPr>
          <w:rFonts w:ascii="Verdana" w:cs="Verdana" w:eastAsia="Verdana" w:hAnsi="Verdana"/>
          <w:color w:val="2f2f2f"/>
          <w:sz w:val="20"/>
          <w:szCs w:val="20"/>
          <w:rtl w:val="0"/>
        </w:rPr>
        <w:t xml:space="preserve">.- Rúbrica.- La Secretaria de Planeación y Finanzas, </w:t>
      </w:r>
      <w:r w:rsidDel="00000000" w:rsidR="00000000" w:rsidRPr="00000000">
        <w:rPr>
          <w:rFonts w:ascii="Verdana" w:cs="Verdana" w:eastAsia="Verdana" w:hAnsi="Verdana"/>
          <w:b w:val="1"/>
          <w:color w:val="2f2f2f"/>
          <w:sz w:val="20"/>
          <w:szCs w:val="20"/>
          <w:rtl w:val="0"/>
        </w:rPr>
        <w:t xml:space="preserve">María Alejandra Marisela Nande Islas</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rPr>
          <w:rFonts w:ascii="Verdana" w:cs="Verdana" w:eastAsia="Verdana" w:hAnsi="Verdana"/>
          <w:b w:val="1"/>
          <w:color w:val="2f2f2f"/>
          <w:sz w:val="20"/>
          <w:szCs w:val="20"/>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