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6E" w:rsidRDefault="009F5A6E" w:rsidP="009F5A6E">
      <w:pPr>
        <w:jc w:val="center"/>
        <w:rPr>
          <w:rFonts w:ascii="Verdana" w:hAnsi="Verdana"/>
          <w:b/>
          <w:bCs/>
          <w:color w:val="0070C0"/>
          <w:sz w:val="24"/>
        </w:rPr>
      </w:pPr>
      <w:r w:rsidRPr="009F5A6E">
        <w:rPr>
          <w:rFonts w:ascii="Verdana" w:hAnsi="Verdana"/>
          <w:b/>
          <w:bCs/>
          <w:color w:val="0070C0"/>
          <w:sz w:val="24"/>
        </w:rPr>
        <w:t>Acuerdo por el que se da a conocer el domicilio ofici</w:t>
      </w:r>
      <w:r>
        <w:rPr>
          <w:rFonts w:ascii="Verdana" w:hAnsi="Verdana"/>
          <w:b/>
          <w:bCs/>
          <w:color w:val="0070C0"/>
          <w:sz w:val="24"/>
        </w:rPr>
        <w:t>al de la Secretaría de Economía</w:t>
      </w:r>
    </w:p>
    <w:p w:rsidR="009F5A6E" w:rsidRDefault="009F5A6E" w:rsidP="009F5A6E">
      <w:pPr>
        <w:jc w:val="center"/>
        <w:rPr>
          <w:rFonts w:ascii="Verdana" w:hAnsi="Verdana"/>
          <w:b/>
          <w:bCs/>
          <w:color w:val="0070C0"/>
          <w:sz w:val="24"/>
        </w:rPr>
      </w:pPr>
      <w:r>
        <w:rPr>
          <w:rFonts w:ascii="Verdana" w:hAnsi="Verdana"/>
          <w:b/>
          <w:bCs/>
          <w:color w:val="0070C0"/>
          <w:sz w:val="24"/>
        </w:rPr>
        <w:t>(DOF del 26 de septiembre de 2018)</w:t>
      </w:r>
    </w:p>
    <w:p w:rsidR="009F5A6E" w:rsidRPr="009F5A6E" w:rsidRDefault="009F5A6E" w:rsidP="009F5A6E">
      <w:pPr>
        <w:jc w:val="both"/>
        <w:rPr>
          <w:rFonts w:ascii="Verdana" w:hAnsi="Verdana"/>
          <w:b/>
          <w:bCs/>
          <w:sz w:val="20"/>
        </w:rPr>
      </w:pPr>
      <w:r w:rsidRPr="009F5A6E">
        <w:rPr>
          <w:rFonts w:ascii="Verdana" w:hAnsi="Verdana"/>
          <w:b/>
          <w:bCs/>
          <w:sz w:val="20"/>
        </w:rPr>
        <w:t>Al margen un sello con el Escudo Nacional, que dice: Estados Unidos Mexicanos.- Secretaría de Economía.</w:t>
      </w:r>
    </w:p>
    <w:p w:rsidR="009F5A6E" w:rsidRPr="009F5A6E" w:rsidRDefault="009F5A6E" w:rsidP="009F5A6E">
      <w:pPr>
        <w:jc w:val="both"/>
        <w:rPr>
          <w:rFonts w:ascii="Verdana" w:hAnsi="Verdana"/>
          <w:bCs/>
          <w:sz w:val="20"/>
        </w:rPr>
      </w:pPr>
      <w:r w:rsidRPr="009F5A6E">
        <w:rPr>
          <w:rFonts w:ascii="Verdana" w:hAnsi="Verdana"/>
          <w:bCs/>
          <w:sz w:val="20"/>
        </w:rPr>
        <w:t>Con fundamento en los artículos 34 fracción XXXIII de la Ley Orgánica de la Administración Pública Federal; 4 y 42 de la Ley Federal de Procedimiento Administrativo; 31 fracción VI del Código Civil Federal, 70 fracción XIII de la Ley General de Transparencia y Acceso a la Información Pública; 5 fracción XVII del Reglamento Interior de la Secretaría de Economía, y</w:t>
      </w:r>
    </w:p>
    <w:p w:rsidR="009F5A6E" w:rsidRPr="009F5A6E" w:rsidRDefault="009F5A6E" w:rsidP="009F5A6E">
      <w:pPr>
        <w:jc w:val="both"/>
        <w:rPr>
          <w:rFonts w:ascii="Verdana" w:hAnsi="Verdana"/>
          <w:b/>
          <w:bCs/>
          <w:sz w:val="20"/>
        </w:rPr>
      </w:pPr>
      <w:r w:rsidRPr="009F5A6E">
        <w:rPr>
          <w:rFonts w:ascii="Verdana" w:hAnsi="Verdana"/>
          <w:b/>
          <w:bCs/>
          <w:sz w:val="20"/>
        </w:rPr>
        <w:t>CONSIDERANDO</w:t>
      </w:r>
    </w:p>
    <w:p w:rsidR="009F5A6E" w:rsidRPr="009F5A6E" w:rsidRDefault="009F5A6E" w:rsidP="009F5A6E">
      <w:pPr>
        <w:jc w:val="both"/>
        <w:rPr>
          <w:rFonts w:ascii="Verdana" w:hAnsi="Verdana"/>
          <w:bCs/>
          <w:sz w:val="20"/>
        </w:rPr>
      </w:pPr>
      <w:r w:rsidRPr="009F5A6E">
        <w:rPr>
          <w:rFonts w:ascii="Verdana" w:hAnsi="Verdana"/>
          <w:bCs/>
          <w:sz w:val="20"/>
        </w:rPr>
        <w:t>Que la Secretaría de Economía es una Dependencia de la Administración Pública Federal centralizada en términos de los artículos 2 fracción I y 26 de la Ley Orgánica de la Administración Pública Federal, y a la misma le compete el despacho de los asuntos a que se refiere el artículo 34 de esa Ley.</w:t>
      </w:r>
    </w:p>
    <w:p w:rsidR="009F5A6E" w:rsidRPr="009F5A6E" w:rsidRDefault="009F5A6E" w:rsidP="009F5A6E">
      <w:pPr>
        <w:jc w:val="both"/>
        <w:rPr>
          <w:rFonts w:ascii="Verdana" w:hAnsi="Verdana"/>
          <w:bCs/>
          <w:sz w:val="20"/>
        </w:rPr>
      </w:pPr>
      <w:r w:rsidRPr="009F5A6E">
        <w:rPr>
          <w:rFonts w:ascii="Verdana" w:hAnsi="Verdana"/>
          <w:bCs/>
          <w:sz w:val="20"/>
        </w:rPr>
        <w:t>Que conforme a lo previsto en la Ley Federal de Procedimiento Administrativo, la Administración Pública Federal debe establecer las oficinas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rsidR="009F5A6E" w:rsidRPr="009F5A6E" w:rsidRDefault="009F5A6E" w:rsidP="009F5A6E">
      <w:pPr>
        <w:jc w:val="both"/>
        <w:rPr>
          <w:rFonts w:ascii="Verdana" w:hAnsi="Verdana"/>
          <w:bCs/>
          <w:sz w:val="20"/>
        </w:rPr>
      </w:pPr>
      <w:r w:rsidRPr="009F5A6E">
        <w:rPr>
          <w:rFonts w:ascii="Verdana" w:hAnsi="Verdana"/>
          <w:bCs/>
          <w:sz w:val="20"/>
        </w:rPr>
        <w:t>Que el Código Civil Federal establece que será considerado como domicilio legal, para el caso de los servidores públicos, el lugar donde desempeñan sus funciones por más de seis meses.</w:t>
      </w:r>
    </w:p>
    <w:p w:rsidR="009F5A6E" w:rsidRPr="009F5A6E" w:rsidRDefault="009F5A6E" w:rsidP="009F5A6E">
      <w:pPr>
        <w:jc w:val="both"/>
        <w:rPr>
          <w:rFonts w:ascii="Verdana" w:hAnsi="Verdana"/>
          <w:bCs/>
          <w:sz w:val="20"/>
        </w:rPr>
      </w:pPr>
      <w:r w:rsidRPr="009F5A6E">
        <w:rPr>
          <w:rFonts w:ascii="Verdana" w:hAnsi="Verdana"/>
          <w:bCs/>
          <w:sz w:val="20"/>
        </w:rPr>
        <w:t>Que de conformidad con la Ley General de Transparencia y Acceso a la Información Pública, la Secretaría de Economía, como sujeto obligado de la misma debe poner a disposición del público y actualizar, entre otras, la información relativa al domicilio de su Unidad de Transparencia.</w:t>
      </w:r>
    </w:p>
    <w:p w:rsidR="009F5A6E" w:rsidRPr="009F5A6E" w:rsidRDefault="009F5A6E" w:rsidP="009F5A6E">
      <w:pPr>
        <w:jc w:val="both"/>
        <w:rPr>
          <w:rFonts w:ascii="Verdana" w:hAnsi="Verdana"/>
          <w:bCs/>
          <w:sz w:val="20"/>
        </w:rPr>
      </w:pPr>
      <w:r w:rsidRPr="009F5A6E">
        <w:rPr>
          <w:rFonts w:ascii="Verdana" w:hAnsi="Verdana"/>
          <w:bCs/>
          <w:sz w:val="20"/>
        </w:rPr>
        <w:t>Que el 29 de enero de 2016 se publicó en el Diario Oficial de la Federación el Acuerdo por el que se da a conocer el cambio de domicilio de la Secretaría de Economía, el cual tuvo como propósito dar a conocer la sede temporal de dicha Dependencia, ubicada en Avenida Paseo de la Reforma número 296, Colonia Juárez, Delegación Cuauhtémoc (ahora Demarcación Territorial), Código Postal 06600, Ciudad de México.</w:t>
      </w:r>
    </w:p>
    <w:p w:rsidR="009F5A6E" w:rsidRPr="009F5A6E" w:rsidRDefault="009F5A6E" w:rsidP="009F5A6E">
      <w:pPr>
        <w:jc w:val="both"/>
        <w:rPr>
          <w:rFonts w:ascii="Verdana" w:hAnsi="Verdana"/>
          <w:bCs/>
          <w:sz w:val="20"/>
        </w:rPr>
      </w:pPr>
      <w:r w:rsidRPr="009F5A6E">
        <w:rPr>
          <w:rFonts w:ascii="Verdana" w:hAnsi="Verdana"/>
          <w:bCs/>
          <w:sz w:val="20"/>
        </w:rPr>
        <w:t>Que por lo anterior, y con el propósito de dar cumplimiento a las diversas disposiciones jurídicas aplicables que imponen la obligación a esta Secretaría de señalar su domicilio oficial para todos los efectos a que haya lugar, se emite el siguiente:</w:t>
      </w:r>
    </w:p>
    <w:p w:rsidR="009F5A6E" w:rsidRPr="009F5A6E" w:rsidRDefault="009F5A6E" w:rsidP="009F5A6E">
      <w:pPr>
        <w:jc w:val="both"/>
        <w:rPr>
          <w:rFonts w:ascii="Verdana" w:hAnsi="Verdana"/>
          <w:b/>
          <w:bCs/>
          <w:sz w:val="20"/>
        </w:rPr>
      </w:pPr>
      <w:r w:rsidRPr="009F5A6E">
        <w:rPr>
          <w:rFonts w:ascii="Verdana" w:hAnsi="Verdana"/>
          <w:b/>
          <w:bCs/>
          <w:sz w:val="20"/>
        </w:rPr>
        <w:t>ACUERDO POR EL QUE SE DA A CONOCER EL DOMICILIO OFICIAL DE LA SECRETARÍA DE</w:t>
      </w:r>
      <w:r w:rsidRPr="009F5A6E">
        <w:rPr>
          <w:rFonts w:ascii="Verdana" w:hAnsi="Verdana"/>
          <w:b/>
          <w:bCs/>
          <w:sz w:val="20"/>
        </w:rPr>
        <w:br/>
        <w:t>ECONOMÍA</w:t>
      </w:r>
    </w:p>
    <w:p w:rsidR="009F5A6E" w:rsidRPr="009F5A6E" w:rsidRDefault="009F5A6E" w:rsidP="009F5A6E">
      <w:pPr>
        <w:jc w:val="both"/>
        <w:rPr>
          <w:rFonts w:ascii="Verdana" w:hAnsi="Verdana"/>
          <w:bCs/>
          <w:sz w:val="20"/>
        </w:rPr>
      </w:pPr>
      <w:r w:rsidRPr="009F5A6E">
        <w:rPr>
          <w:rFonts w:ascii="Verdana" w:hAnsi="Verdana"/>
          <w:b/>
          <w:bCs/>
          <w:sz w:val="20"/>
        </w:rPr>
        <w:lastRenderedPageBreak/>
        <w:t>Primero.-</w:t>
      </w:r>
      <w:r w:rsidRPr="009F5A6E">
        <w:rPr>
          <w:rFonts w:ascii="Verdana" w:hAnsi="Verdana"/>
          <w:bCs/>
          <w:sz w:val="20"/>
        </w:rPr>
        <w:t> A partir del 1 de octubre de 2018, el domicilio oficial de la Secretaría de Economía será el inmueble que se ubica en Calle Pachuca número 189, Colonia Condesa, Demarcación Territorial Cuauhtémoc, Código Postal 06140, en la Ciudad de México, para todos los efectos legales a que haya lugar.</w:t>
      </w:r>
    </w:p>
    <w:p w:rsidR="009F5A6E" w:rsidRPr="009F5A6E" w:rsidRDefault="009F5A6E" w:rsidP="009F5A6E">
      <w:pPr>
        <w:jc w:val="both"/>
        <w:rPr>
          <w:rFonts w:ascii="Verdana" w:hAnsi="Verdana"/>
          <w:bCs/>
          <w:sz w:val="20"/>
        </w:rPr>
      </w:pPr>
      <w:r w:rsidRPr="009F5A6E">
        <w:rPr>
          <w:rFonts w:ascii="Verdana" w:hAnsi="Verdana"/>
          <w:b/>
          <w:bCs/>
          <w:sz w:val="20"/>
        </w:rPr>
        <w:t>Segundo.-</w:t>
      </w:r>
      <w:r w:rsidRPr="009F5A6E">
        <w:rPr>
          <w:rFonts w:ascii="Verdana" w:hAnsi="Verdana"/>
          <w:bCs/>
          <w:sz w:val="20"/>
        </w:rPr>
        <w:t> Las unidades administrativas de la Secretaría de Economía que se ubicarán en el domicilio señalado en el punto anterior, son las que a continuación se indican:</w:t>
      </w:r>
    </w:p>
    <w:p w:rsidR="009F5A6E" w:rsidRPr="009F5A6E" w:rsidRDefault="009F5A6E" w:rsidP="009F5A6E">
      <w:pPr>
        <w:jc w:val="both"/>
        <w:rPr>
          <w:rFonts w:ascii="Verdana" w:hAnsi="Verdana"/>
          <w:bCs/>
          <w:sz w:val="20"/>
        </w:rPr>
      </w:pPr>
      <w:r w:rsidRPr="009F5A6E">
        <w:rPr>
          <w:rFonts w:ascii="Verdana" w:hAnsi="Verdana"/>
          <w:b/>
          <w:bCs/>
          <w:sz w:val="20"/>
        </w:rPr>
        <w:t>1.</w:t>
      </w:r>
      <w:r w:rsidRPr="009F5A6E">
        <w:rPr>
          <w:rFonts w:ascii="Verdana" w:hAnsi="Verdana"/>
          <w:bCs/>
          <w:sz w:val="20"/>
        </w:rPr>
        <w:t>     Oficina del Secretario;</w:t>
      </w:r>
    </w:p>
    <w:p w:rsidR="009F5A6E" w:rsidRPr="009F5A6E" w:rsidRDefault="009F5A6E" w:rsidP="009F5A6E">
      <w:pPr>
        <w:jc w:val="both"/>
        <w:rPr>
          <w:rFonts w:ascii="Verdana" w:hAnsi="Verdana"/>
          <w:bCs/>
          <w:sz w:val="20"/>
        </w:rPr>
      </w:pPr>
      <w:r w:rsidRPr="009F5A6E">
        <w:rPr>
          <w:rFonts w:ascii="Verdana" w:hAnsi="Verdana"/>
          <w:b/>
          <w:bCs/>
          <w:sz w:val="20"/>
        </w:rPr>
        <w:t>a)</w:t>
      </w:r>
      <w:r w:rsidRPr="009F5A6E">
        <w:rPr>
          <w:rFonts w:ascii="Verdana" w:hAnsi="Verdana"/>
          <w:bCs/>
          <w:sz w:val="20"/>
        </w:rPr>
        <w:t>    Coordinación General de Delegaciones Federales;</w:t>
      </w:r>
    </w:p>
    <w:p w:rsidR="009F5A6E" w:rsidRPr="009F5A6E" w:rsidRDefault="009F5A6E" w:rsidP="009F5A6E">
      <w:pPr>
        <w:jc w:val="both"/>
        <w:rPr>
          <w:rFonts w:ascii="Verdana" w:hAnsi="Verdana"/>
          <w:bCs/>
          <w:sz w:val="20"/>
        </w:rPr>
      </w:pPr>
      <w:r w:rsidRPr="009F5A6E">
        <w:rPr>
          <w:rFonts w:ascii="Verdana" w:hAnsi="Verdana"/>
          <w:b/>
          <w:bCs/>
          <w:sz w:val="20"/>
        </w:rPr>
        <w:t>b)</w:t>
      </w:r>
      <w:r w:rsidRPr="009F5A6E">
        <w:rPr>
          <w:rFonts w:ascii="Verdana" w:hAnsi="Verdana"/>
          <w:bCs/>
          <w:sz w:val="20"/>
        </w:rPr>
        <w:t>    Dirección General de Planeación y Evaluación;</w:t>
      </w:r>
    </w:p>
    <w:p w:rsidR="009F5A6E" w:rsidRPr="009F5A6E" w:rsidRDefault="009F5A6E" w:rsidP="009F5A6E">
      <w:pPr>
        <w:jc w:val="both"/>
        <w:rPr>
          <w:rFonts w:ascii="Verdana" w:hAnsi="Verdana"/>
          <w:bCs/>
          <w:sz w:val="20"/>
        </w:rPr>
      </w:pPr>
      <w:r w:rsidRPr="009F5A6E">
        <w:rPr>
          <w:rFonts w:ascii="Verdana" w:hAnsi="Verdana"/>
          <w:b/>
          <w:bCs/>
          <w:sz w:val="20"/>
        </w:rPr>
        <w:t>c)</w:t>
      </w:r>
      <w:r w:rsidRPr="009F5A6E">
        <w:rPr>
          <w:rFonts w:ascii="Verdana" w:hAnsi="Verdana"/>
          <w:bCs/>
          <w:sz w:val="20"/>
        </w:rPr>
        <w:t>    Dirección General de Comunicación Social, y</w:t>
      </w:r>
    </w:p>
    <w:p w:rsidR="009F5A6E" w:rsidRPr="009F5A6E" w:rsidRDefault="009F5A6E" w:rsidP="009F5A6E">
      <w:pPr>
        <w:jc w:val="both"/>
        <w:rPr>
          <w:rFonts w:ascii="Verdana" w:hAnsi="Verdana"/>
          <w:bCs/>
          <w:sz w:val="20"/>
        </w:rPr>
      </w:pPr>
      <w:r w:rsidRPr="009F5A6E">
        <w:rPr>
          <w:rFonts w:ascii="Verdana" w:hAnsi="Verdana"/>
          <w:b/>
          <w:bCs/>
          <w:sz w:val="20"/>
        </w:rPr>
        <w:t>d)</w:t>
      </w:r>
      <w:r w:rsidRPr="009F5A6E">
        <w:rPr>
          <w:rFonts w:ascii="Verdana" w:hAnsi="Verdana"/>
          <w:bCs/>
          <w:sz w:val="20"/>
        </w:rPr>
        <w:t>    Dirección General de Vinculación Política.</w:t>
      </w:r>
    </w:p>
    <w:p w:rsidR="009F5A6E" w:rsidRPr="009F5A6E" w:rsidRDefault="009F5A6E" w:rsidP="009F5A6E">
      <w:pPr>
        <w:jc w:val="both"/>
        <w:rPr>
          <w:rFonts w:ascii="Verdana" w:hAnsi="Verdana"/>
          <w:bCs/>
          <w:sz w:val="20"/>
        </w:rPr>
      </w:pPr>
      <w:r w:rsidRPr="009F5A6E">
        <w:rPr>
          <w:rFonts w:ascii="Verdana" w:hAnsi="Verdana"/>
          <w:b/>
          <w:bCs/>
          <w:sz w:val="20"/>
        </w:rPr>
        <w:t>2.</w:t>
      </w:r>
      <w:r w:rsidRPr="009F5A6E">
        <w:rPr>
          <w:rFonts w:ascii="Verdana" w:hAnsi="Verdana"/>
          <w:bCs/>
          <w:sz w:val="20"/>
        </w:rPr>
        <w:t>     Subsecretaría de Competitividad y Normatividad:</w:t>
      </w:r>
    </w:p>
    <w:p w:rsidR="009F5A6E" w:rsidRPr="009F5A6E" w:rsidRDefault="009F5A6E" w:rsidP="009F5A6E">
      <w:pPr>
        <w:jc w:val="both"/>
        <w:rPr>
          <w:rFonts w:ascii="Verdana" w:hAnsi="Verdana"/>
          <w:bCs/>
          <w:sz w:val="20"/>
        </w:rPr>
      </w:pPr>
      <w:r w:rsidRPr="009F5A6E">
        <w:rPr>
          <w:rFonts w:ascii="Verdana" w:hAnsi="Verdana"/>
          <w:b/>
          <w:bCs/>
          <w:sz w:val="20"/>
        </w:rPr>
        <w:t>a)</w:t>
      </w:r>
      <w:r w:rsidRPr="009F5A6E">
        <w:rPr>
          <w:rFonts w:ascii="Verdana" w:hAnsi="Verdana"/>
          <w:bCs/>
          <w:sz w:val="20"/>
        </w:rPr>
        <w:t>    Unidad de Competencia y Políticas Públicas para la eficiencia de los mercados;</w:t>
      </w:r>
    </w:p>
    <w:p w:rsidR="009F5A6E" w:rsidRPr="009F5A6E" w:rsidRDefault="009F5A6E" w:rsidP="009F5A6E">
      <w:pPr>
        <w:jc w:val="both"/>
        <w:rPr>
          <w:rFonts w:ascii="Verdana" w:hAnsi="Verdana"/>
          <w:bCs/>
          <w:sz w:val="20"/>
        </w:rPr>
      </w:pPr>
      <w:r w:rsidRPr="009F5A6E">
        <w:rPr>
          <w:rFonts w:ascii="Verdana" w:hAnsi="Verdana"/>
          <w:b/>
          <w:bCs/>
          <w:sz w:val="20"/>
        </w:rPr>
        <w:t>b)</w:t>
      </w:r>
      <w:r w:rsidRPr="009F5A6E">
        <w:rPr>
          <w:rFonts w:ascii="Verdana" w:hAnsi="Verdana"/>
          <w:bCs/>
          <w:sz w:val="20"/>
        </w:rPr>
        <w:t>    Unidad de Competitividad, y</w:t>
      </w:r>
    </w:p>
    <w:p w:rsidR="009F5A6E" w:rsidRPr="009F5A6E" w:rsidRDefault="009F5A6E" w:rsidP="009F5A6E">
      <w:pPr>
        <w:jc w:val="both"/>
        <w:rPr>
          <w:rFonts w:ascii="Verdana" w:hAnsi="Verdana"/>
          <w:bCs/>
          <w:sz w:val="20"/>
        </w:rPr>
      </w:pPr>
      <w:r w:rsidRPr="009F5A6E">
        <w:rPr>
          <w:rFonts w:ascii="Verdana" w:hAnsi="Verdana"/>
          <w:b/>
          <w:bCs/>
          <w:sz w:val="20"/>
        </w:rPr>
        <w:t>c)</w:t>
      </w:r>
      <w:r w:rsidRPr="009F5A6E">
        <w:rPr>
          <w:rFonts w:ascii="Verdana" w:hAnsi="Verdana"/>
          <w:bCs/>
          <w:sz w:val="20"/>
        </w:rPr>
        <w:t>    Dirección General de Normas.</w:t>
      </w:r>
    </w:p>
    <w:p w:rsidR="009F5A6E" w:rsidRPr="009F5A6E" w:rsidRDefault="009F5A6E" w:rsidP="009F5A6E">
      <w:pPr>
        <w:jc w:val="both"/>
        <w:rPr>
          <w:rFonts w:ascii="Verdana" w:hAnsi="Verdana"/>
          <w:bCs/>
          <w:sz w:val="20"/>
        </w:rPr>
      </w:pPr>
      <w:r w:rsidRPr="009F5A6E">
        <w:rPr>
          <w:rFonts w:ascii="Verdana" w:hAnsi="Verdana"/>
          <w:bCs/>
          <w:sz w:val="20"/>
        </w:rPr>
        <w:t> </w:t>
      </w:r>
    </w:p>
    <w:p w:rsidR="009F5A6E" w:rsidRPr="009F5A6E" w:rsidRDefault="009F5A6E" w:rsidP="009F5A6E">
      <w:pPr>
        <w:jc w:val="both"/>
        <w:rPr>
          <w:rFonts w:ascii="Verdana" w:hAnsi="Verdana"/>
          <w:bCs/>
          <w:sz w:val="20"/>
        </w:rPr>
      </w:pPr>
      <w:r w:rsidRPr="009F5A6E">
        <w:rPr>
          <w:rFonts w:ascii="Verdana" w:hAnsi="Verdana"/>
          <w:b/>
          <w:bCs/>
          <w:sz w:val="20"/>
        </w:rPr>
        <w:t>3.</w:t>
      </w:r>
      <w:r w:rsidRPr="009F5A6E">
        <w:rPr>
          <w:rFonts w:ascii="Verdana" w:hAnsi="Verdana"/>
          <w:bCs/>
          <w:sz w:val="20"/>
        </w:rPr>
        <w:t>     Subsecretaría de Industria y Comercio:</w:t>
      </w:r>
    </w:p>
    <w:p w:rsidR="009F5A6E" w:rsidRPr="009F5A6E" w:rsidRDefault="009F5A6E" w:rsidP="009F5A6E">
      <w:pPr>
        <w:jc w:val="both"/>
        <w:rPr>
          <w:rFonts w:ascii="Verdana" w:hAnsi="Verdana"/>
          <w:bCs/>
          <w:sz w:val="20"/>
        </w:rPr>
      </w:pPr>
      <w:r w:rsidRPr="009F5A6E">
        <w:rPr>
          <w:rFonts w:ascii="Verdana" w:hAnsi="Verdana"/>
          <w:b/>
          <w:bCs/>
          <w:sz w:val="20"/>
        </w:rPr>
        <w:t>a)</w:t>
      </w:r>
      <w:r w:rsidRPr="009F5A6E">
        <w:rPr>
          <w:rFonts w:ascii="Verdana" w:hAnsi="Verdana"/>
          <w:bCs/>
          <w:sz w:val="20"/>
        </w:rPr>
        <w:t>    Unidad de Compras de Gobierno;</w:t>
      </w:r>
    </w:p>
    <w:p w:rsidR="009F5A6E" w:rsidRPr="009F5A6E" w:rsidRDefault="009F5A6E" w:rsidP="009F5A6E">
      <w:pPr>
        <w:jc w:val="both"/>
        <w:rPr>
          <w:rFonts w:ascii="Verdana" w:hAnsi="Verdana"/>
          <w:bCs/>
          <w:sz w:val="20"/>
        </w:rPr>
      </w:pPr>
      <w:r w:rsidRPr="009F5A6E">
        <w:rPr>
          <w:rFonts w:ascii="Verdana" w:hAnsi="Verdana"/>
          <w:b/>
          <w:bCs/>
          <w:sz w:val="20"/>
        </w:rPr>
        <w:t>b)</w:t>
      </w:r>
      <w:r w:rsidRPr="009F5A6E">
        <w:rPr>
          <w:rFonts w:ascii="Verdana" w:hAnsi="Verdana"/>
          <w:bCs/>
          <w:sz w:val="20"/>
        </w:rPr>
        <w:t>    Unidad de Contenido Nacional y Fomento de Cadenas Productivas e Inversión en el Sector Energético;</w:t>
      </w:r>
    </w:p>
    <w:p w:rsidR="009F5A6E" w:rsidRPr="009F5A6E" w:rsidRDefault="009F5A6E" w:rsidP="009F5A6E">
      <w:pPr>
        <w:jc w:val="both"/>
        <w:rPr>
          <w:rFonts w:ascii="Verdana" w:hAnsi="Verdana"/>
          <w:bCs/>
          <w:sz w:val="20"/>
        </w:rPr>
      </w:pPr>
      <w:r w:rsidRPr="009F5A6E">
        <w:rPr>
          <w:rFonts w:ascii="Verdana" w:hAnsi="Verdana"/>
          <w:b/>
          <w:bCs/>
          <w:sz w:val="20"/>
        </w:rPr>
        <w:t>c)</w:t>
      </w:r>
      <w:r w:rsidRPr="009F5A6E">
        <w:rPr>
          <w:rFonts w:ascii="Verdana" w:hAnsi="Verdana"/>
          <w:bCs/>
          <w:sz w:val="20"/>
        </w:rPr>
        <w:t>    Dirección General de Fomento de Cadenas Productivas e Inversión en el Sector Energético;</w:t>
      </w:r>
    </w:p>
    <w:p w:rsidR="009F5A6E" w:rsidRPr="009F5A6E" w:rsidRDefault="009F5A6E" w:rsidP="009F5A6E">
      <w:pPr>
        <w:jc w:val="both"/>
        <w:rPr>
          <w:rFonts w:ascii="Verdana" w:hAnsi="Verdana"/>
          <w:bCs/>
          <w:sz w:val="20"/>
        </w:rPr>
      </w:pPr>
      <w:r w:rsidRPr="009F5A6E">
        <w:rPr>
          <w:rFonts w:ascii="Verdana" w:hAnsi="Verdana"/>
          <w:b/>
          <w:bCs/>
          <w:sz w:val="20"/>
        </w:rPr>
        <w:t>d)</w:t>
      </w:r>
      <w:r w:rsidRPr="009F5A6E">
        <w:rPr>
          <w:rFonts w:ascii="Verdana" w:hAnsi="Verdana"/>
          <w:bCs/>
          <w:sz w:val="20"/>
        </w:rPr>
        <w:t>    Dirección General de Contenido Nacional en el Sector Energético;</w:t>
      </w:r>
    </w:p>
    <w:p w:rsidR="009F5A6E" w:rsidRPr="009F5A6E" w:rsidRDefault="009F5A6E" w:rsidP="009F5A6E">
      <w:pPr>
        <w:jc w:val="both"/>
        <w:rPr>
          <w:rFonts w:ascii="Verdana" w:hAnsi="Verdana"/>
          <w:bCs/>
          <w:sz w:val="20"/>
        </w:rPr>
      </w:pPr>
      <w:r w:rsidRPr="009F5A6E">
        <w:rPr>
          <w:rFonts w:ascii="Verdana" w:hAnsi="Verdana"/>
          <w:b/>
          <w:bCs/>
          <w:sz w:val="20"/>
        </w:rPr>
        <w:t>e)</w:t>
      </w:r>
      <w:r w:rsidRPr="009F5A6E">
        <w:rPr>
          <w:rFonts w:ascii="Verdana" w:hAnsi="Verdana"/>
          <w:bCs/>
          <w:sz w:val="20"/>
        </w:rPr>
        <w:t>    Dirección General de Procesos y Programas de Apoyo, y</w:t>
      </w:r>
    </w:p>
    <w:p w:rsidR="009F5A6E" w:rsidRPr="009F5A6E" w:rsidRDefault="009F5A6E" w:rsidP="009F5A6E">
      <w:pPr>
        <w:jc w:val="both"/>
        <w:rPr>
          <w:rFonts w:ascii="Verdana" w:hAnsi="Verdana"/>
          <w:bCs/>
          <w:sz w:val="20"/>
        </w:rPr>
      </w:pPr>
      <w:r w:rsidRPr="009F5A6E">
        <w:rPr>
          <w:rFonts w:ascii="Verdana" w:hAnsi="Verdana"/>
          <w:b/>
          <w:bCs/>
          <w:sz w:val="20"/>
        </w:rPr>
        <w:t>f)</w:t>
      </w:r>
      <w:r w:rsidRPr="009F5A6E">
        <w:rPr>
          <w:rFonts w:ascii="Verdana" w:hAnsi="Verdana"/>
          <w:bCs/>
          <w:sz w:val="20"/>
        </w:rPr>
        <w:t>     Dirección General de Promoción de Inversiones en el Sector Energético.</w:t>
      </w:r>
    </w:p>
    <w:p w:rsidR="009F5A6E" w:rsidRPr="009F5A6E" w:rsidRDefault="009F5A6E" w:rsidP="009F5A6E">
      <w:pPr>
        <w:jc w:val="both"/>
        <w:rPr>
          <w:rFonts w:ascii="Verdana" w:hAnsi="Verdana"/>
          <w:bCs/>
          <w:sz w:val="20"/>
        </w:rPr>
      </w:pPr>
      <w:r w:rsidRPr="009F5A6E">
        <w:rPr>
          <w:rFonts w:ascii="Verdana" w:hAnsi="Verdana"/>
          <w:b/>
          <w:bCs/>
          <w:sz w:val="20"/>
        </w:rPr>
        <w:t>4.</w:t>
      </w:r>
      <w:r w:rsidRPr="009F5A6E">
        <w:rPr>
          <w:rFonts w:ascii="Verdana" w:hAnsi="Verdana"/>
          <w:bCs/>
          <w:sz w:val="20"/>
        </w:rPr>
        <w:t>     Subsecretaría de Comercio Exterior:</w:t>
      </w:r>
    </w:p>
    <w:p w:rsidR="009F5A6E" w:rsidRPr="009F5A6E" w:rsidRDefault="009F5A6E" w:rsidP="009F5A6E">
      <w:pPr>
        <w:jc w:val="both"/>
        <w:rPr>
          <w:rFonts w:ascii="Verdana" w:hAnsi="Verdana"/>
          <w:bCs/>
          <w:sz w:val="20"/>
        </w:rPr>
      </w:pPr>
      <w:r w:rsidRPr="009F5A6E">
        <w:rPr>
          <w:rFonts w:ascii="Verdana" w:hAnsi="Verdana"/>
          <w:b/>
          <w:bCs/>
          <w:sz w:val="20"/>
        </w:rPr>
        <w:t>a)</w:t>
      </w:r>
      <w:r w:rsidRPr="009F5A6E">
        <w:rPr>
          <w:rFonts w:ascii="Verdana" w:hAnsi="Verdana"/>
          <w:bCs/>
          <w:sz w:val="20"/>
        </w:rPr>
        <w:t>    Unidad de Negociaciones Internacionales;</w:t>
      </w:r>
    </w:p>
    <w:p w:rsidR="009F5A6E" w:rsidRPr="009F5A6E" w:rsidRDefault="009F5A6E" w:rsidP="009F5A6E">
      <w:pPr>
        <w:jc w:val="both"/>
        <w:rPr>
          <w:rFonts w:ascii="Verdana" w:hAnsi="Verdana"/>
          <w:bCs/>
          <w:sz w:val="20"/>
        </w:rPr>
      </w:pPr>
      <w:r w:rsidRPr="009F5A6E">
        <w:rPr>
          <w:rFonts w:ascii="Verdana" w:hAnsi="Verdana"/>
          <w:b/>
          <w:bCs/>
          <w:sz w:val="20"/>
        </w:rPr>
        <w:t>b)</w:t>
      </w:r>
      <w:r w:rsidRPr="009F5A6E">
        <w:rPr>
          <w:rFonts w:ascii="Verdana" w:hAnsi="Verdana"/>
          <w:bCs/>
          <w:sz w:val="20"/>
        </w:rPr>
        <w:t>    Dirección General de Consultoría Jurídica de Comercio Internacional;</w:t>
      </w:r>
    </w:p>
    <w:p w:rsidR="009F5A6E" w:rsidRPr="009F5A6E" w:rsidRDefault="009F5A6E" w:rsidP="009F5A6E">
      <w:pPr>
        <w:jc w:val="both"/>
        <w:rPr>
          <w:rFonts w:ascii="Verdana" w:hAnsi="Verdana"/>
          <w:bCs/>
          <w:sz w:val="20"/>
        </w:rPr>
      </w:pPr>
      <w:r w:rsidRPr="009F5A6E">
        <w:rPr>
          <w:rFonts w:ascii="Verdana" w:hAnsi="Verdana"/>
          <w:b/>
          <w:bCs/>
          <w:sz w:val="20"/>
        </w:rPr>
        <w:t>c)</w:t>
      </w:r>
      <w:r w:rsidRPr="009F5A6E">
        <w:rPr>
          <w:rFonts w:ascii="Verdana" w:hAnsi="Verdana"/>
          <w:bCs/>
          <w:sz w:val="20"/>
        </w:rPr>
        <w:t>    Dirección General para América del Norte;</w:t>
      </w:r>
    </w:p>
    <w:p w:rsidR="009F5A6E" w:rsidRPr="009F5A6E" w:rsidRDefault="009F5A6E" w:rsidP="009F5A6E">
      <w:pPr>
        <w:jc w:val="both"/>
        <w:rPr>
          <w:rFonts w:ascii="Verdana" w:hAnsi="Verdana"/>
          <w:bCs/>
          <w:sz w:val="20"/>
        </w:rPr>
      </w:pPr>
      <w:r w:rsidRPr="009F5A6E">
        <w:rPr>
          <w:rFonts w:ascii="Verdana" w:hAnsi="Verdana"/>
          <w:b/>
          <w:bCs/>
          <w:sz w:val="20"/>
        </w:rPr>
        <w:t>d)</w:t>
      </w:r>
      <w:r w:rsidRPr="009F5A6E">
        <w:rPr>
          <w:rFonts w:ascii="Verdana" w:hAnsi="Verdana"/>
          <w:bCs/>
          <w:sz w:val="20"/>
        </w:rPr>
        <w:t>    Dirección General para Europa y África;</w:t>
      </w:r>
    </w:p>
    <w:p w:rsidR="009F5A6E" w:rsidRPr="009F5A6E" w:rsidRDefault="009F5A6E" w:rsidP="009F5A6E">
      <w:pPr>
        <w:jc w:val="both"/>
        <w:rPr>
          <w:rFonts w:ascii="Verdana" w:hAnsi="Verdana"/>
          <w:bCs/>
          <w:sz w:val="20"/>
        </w:rPr>
      </w:pPr>
      <w:r w:rsidRPr="009F5A6E">
        <w:rPr>
          <w:rFonts w:ascii="Verdana" w:hAnsi="Verdana"/>
          <w:b/>
          <w:bCs/>
          <w:sz w:val="20"/>
        </w:rPr>
        <w:lastRenderedPageBreak/>
        <w:t>e)</w:t>
      </w:r>
      <w:r w:rsidRPr="009F5A6E">
        <w:rPr>
          <w:rFonts w:ascii="Verdana" w:hAnsi="Verdana"/>
          <w:bCs/>
          <w:sz w:val="20"/>
        </w:rPr>
        <w:t>    Dirección General para Asia, Oceanía y Organismos Multilaterales;</w:t>
      </w:r>
      <w:bookmarkStart w:id="0" w:name="_GoBack"/>
    </w:p>
    <w:p w:rsidR="009F5A6E" w:rsidRPr="009F5A6E" w:rsidRDefault="009F5A6E" w:rsidP="009F5A6E">
      <w:pPr>
        <w:jc w:val="both"/>
        <w:rPr>
          <w:rFonts w:ascii="Verdana" w:hAnsi="Verdana"/>
          <w:bCs/>
          <w:sz w:val="20"/>
        </w:rPr>
      </w:pPr>
      <w:r w:rsidRPr="009F5A6E">
        <w:rPr>
          <w:rFonts w:ascii="Verdana" w:hAnsi="Verdana"/>
          <w:b/>
          <w:bCs/>
          <w:sz w:val="20"/>
        </w:rPr>
        <w:t>f)</w:t>
      </w:r>
      <w:r w:rsidRPr="009F5A6E">
        <w:rPr>
          <w:rFonts w:ascii="Verdana" w:hAnsi="Verdana"/>
          <w:bCs/>
          <w:sz w:val="20"/>
        </w:rPr>
        <w:t>     Dirección General de Comercio Internacional de Bienes;</w:t>
      </w:r>
    </w:p>
    <w:p w:rsidR="009F5A6E" w:rsidRPr="009F5A6E" w:rsidRDefault="009F5A6E" w:rsidP="009F5A6E">
      <w:pPr>
        <w:jc w:val="both"/>
        <w:rPr>
          <w:rFonts w:ascii="Verdana" w:hAnsi="Verdana"/>
          <w:bCs/>
          <w:sz w:val="20"/>
        </w:rPr>
      </w:pPr>
      <w:r w:rsidRPr="009F5A6E">
        <w:rPr>
          <w:rFonts w:ascii="Verdana" w:hAnsi="Verdana"/>
          <w:b/>
          <w:bCs/>
          <w:sz w:val="20"/>
        </w:rPr>
        <w:t>g)</w:t>
      </w:r>
      <w:r w:rsidRPr="009F5A6E">
        <w:rPr>
          <w:rFonts w:ascii="Verdana" w:hAnsi="Verdana"/>
          <w:bCs/>
          <w:sz w:val="20"/>
        </w:rPr>
        <w:t>    Dirección General de Comercio Internacional de Servicios e Inversión, y</w:t>
      </w:r>
    </w:p>
    <w:bookmarkEnd w:id="0"/>
    <w:p w:rsidR="009F5A6E" w:rsidRPr="009F5A6E" w:rsidRDefault="009F5A6E" w:rsidP="009F5A6E">
      <w:pPr>
        <w:jc w:val="both"/>
        <w:rPr>
          <w:rFonts w:ascii="Verdana" w:hAnsi="Verdana"/>
          <w:bCs/>
          <w:sz w:val="20"/>
        </w:rPr>
      </w:pPr>
      <w:r w:rsidRPr="009F5A6E">
        <w:rPr>
          <w:rFonts w:ascii="Verdana" w:hAnsi="Verdana"/>
          <w:b/>
          <w:bCs/>
          <w:sz w:val="20"/>
        </w:rPr>
        <w:t>h)</w:t>
      </w:r>
      <w:r w:rsidRPr="009F5A6E">
        <w:rPr>
          <w:rFonts w:ascii="Verdana" w:hAnsi="Verdana"/>
          <w:bCs/>
          <w:sz w:val="20"/>
        </w:rPr>
        <w:t>    Dirección General de Reglas de Comercio Internacional.</w:t>
      </w:r>
    </w:p>
    <w:p w:rsidR="009F5A6E" w:rsidRPr="009F5A6E" w:rsidRDefault="009F5A6E" w:rsidP="009F5A6E">
      <w:pPr>
        <w:jc w:val="both"/>
        <w:rPr>
          <w:rFonts w:ascii="Verdana" w:hAnsi="Verdana"/>
          <w:bCs/>
          <w:sz w:val="20"/>
        </w:rPr>
      </w:pPr>
      <w:r w:rsidRPr="009F5A6E">
        <w:rPr>
          <w:rFonts w:ascii="Verdana" w:hAnsi="Verdana"/>
          <w:b/>
          <w:bCs/>
          <w:sz w:val="20"/>
        </w:rPr>
        <w:t>5.</w:t>
      </w:r>
      <w:r w:rsidRPr="009F5A6E">
        <w:rPr>
          <w:rFonts w:ascii="Verdana" w:hAnsi="Verdana"/>
          <w:bCs/>
          <w:sz w:val="20"/>
        </w:rPr>
        <w:t>     Oficialía Mayor:</w:t>
      </w:r>
    </w:p>
    <w:p w:rsidR="009F5A6E" w:rsidRPr="009F5A6E" w:rsidRDefault="009F5A6E" w:rsidP="009F5A6E">
      <w:pPr>
        <w:jc w:val="both"/>
        <w:rPr>
          <w:rFonts w:ascii="Verdana" w:hAnsi="Verdana"/>
          <w:bCs/>
          <w:sz w:val="20"/>
        </w:rPr>
      </w:pPr>
      <w:r w:rsidRPr="009F5A6E">
        <w:rPr>
          <w:rFonts w:ascii="Verdana" w:hAnsi="Verdana"/>
          <w:b/>
          <w:bCs/>
          <w:sz w:val="20"/>
        </w:rPr>
        <w:t>a)</w:t>
      </w:r>
      <w:r w:rsidRPr="009F5A6E">
        <w:rPr>
          <w:rFonts w:ascii="Verdana" w:hAnsi="Verdana"/>
          <w:bCs/>
          <w:sz w:val="20"/>
        </w:rPr>
        <w:t>    Dirección General de Programación, Organización y Presupuesto.</w:t>
      </w:r>
    </w:p>
    <w:p w:rsidR="009F5A6E" w:rsidRPr="009F5A6E" w:rsidRDefault="009F5A6E" w:rsidP="009F5A6E">
      <w:pPr>
        <w:jc w:val="both"/>
        <w:rPr>
          <w:rFonts w:ascii="Verdana" w:hAnsi="Verdana"/>
          <w:bCs/>
          <w:sz w:val="20"/>
        </w:rPr>
      </w:pPr>
      <w:r w:rsidRPr="009F5A6E">
        <w:rPr>
          <w:rFonts w:ascii="Verdana" w:hAnsi="Verdana"/>
          <w:b/>
          <w:bCs/>
          <w:sz w:val="20"/>
        </w:rPr>
        <w:t>6.</w:t>
      </w:r>
      <w:r w:rsidRPr="009F5A6E">
        <w:rPr>
          <w:rFonts w:ascii="Verdana" w:hAnsi="Verdana"/>
          <w:bCs/>
          <w:sz w:val="20"/>
        </w:rPr>
        <w:t>     Oficina del Abogado General.</w:t>
      </w:r>
    </w:p>
    <w:p w:rsidR="009F5A6E" w:rsidRPr="009F5A6E" w:rsidRDefault="009F5A6E" w:rsidP="009F5A6E">
      <w:pPr>
        <w:jc w:val="both"/>
        <w:rPr>
          <w:rFonts w:ascii="Verdana" w:hAnsi="Verdana"/>
          <w:bCs/>
          <w:sz w:val="20"/>
        </w:rPr>
      </w:pPr>
      <w:r w:rsidRPr="009F5A6E">
        <w:rPr>
          <w:rFonts w:ascii="Verdana" w:hAnsi="Verdana"/>
          <w:b/>
          <w:bCs/>
          <w:sz w:val="20"/>
        </w:rPr>
        <w:t>Tercero.- </w:t>
      </w:r>
      <w:r w:rsidRPr="009F5A6E">
        <w:rPr>
          <w:rFonts w:ascii="Verdana" w:hAnsi="Verdana"/>
          <w:bCs/>
          <w:sz w:val="20"/>
        </w:rPr>
        <w:t>Las notificaciones, acuerdos, citatorios, diligencias, trámites y servicios, procedimientos administrativos y demás asuntos relacionados con esta Secretaría y que se lleven a cabo con y por parte de las dependencias y entidades de la Administración Pública Federal, gobiernos de las entidades federativas, municipales y demarcaciones territoriales en la Ciudad de México, órganos de impartición y procuración de justicia federales y locales, órganos autónomos, demás autoridades y público en general, deberán enviarse y realizarse en el domicilio señalado en el Punto Primero de este Acuerdo.</w:t>
      </w:r>
    </w:p>
    <w:p w:rsidR="009F5A6E" w:rsidRPr="009F5A6E" w:rsidRDefault="009F5A6E" w:rsidP="009F5A6E">
      <w:pPr>
        <w:jc w:val="both"/>
        <w:rPr>
          <w:rFonts w:ascii="Verdana" w:hAnsi="Verdana"/>
          <w:bCs/>
          <w:sz w:val="20"/>
        </w:rPr>
      </w:pPr>
      <w:r w:rsidRPr="009F5A6E">
        <w:rPr>
          <w:rFonts w:ascii="Verdana" w:hAnsi="Verdana"/>
          <w:bCs/>
          <w:sz w:val="20"/>
        </w:rPr>
        <w:t>Lo anterior con excepción de aquellas unidades administrativas que cuenten con sus propias oficialías de partes, quienes continuarán recibiendo los trámites de su competencia en los lugares establecidos y en los horarios que se han fijado para tal propósito; así como en los casos en que se haya señalado un domicilio distinto para oír y recibir notificaciones.</w:t>
      </w:r>
    </w:p>
    <w:p w:rsidR="009F5A6E" w:rsidRPr="009F5A6E" w:rsidRDefault="009F5A6E" w:rsidP="009F5A6E">
      <w:pPr>
        <w:jc w:val="both"/>
        <w:rPr>
          <w:rFonts w:ascii="Verdana" w:hAnsi="Verdana"/>
          <w:bCs/>
          <w:sz w:val="20"/>
        </w:rPr>
      </w:pPr>
      <w:r w:rsidRPr="009F5A6E">
        <w:rPr>
          <w:rFonts w:ascii="Verdana" w:hAnsi="Verdana"/>
          <w:b/>
          <w:bCs/>
          <w:sz w:val="20"/>
        </w:rPr>
        <w:t>Cuarto.- </w:t>
      </w:r>
      <w:r w:rsidRPr="009F5A6E">
        <w:rPr>
          <w:rFonts w:ascii="Verdana" w:hAnsi="Verdana"/>
          <w:bCs/>
          <w:sz w:val="20"/>
        </w:rPr>
        <w:t>Por lo que se refiere a los procedimientos que se tramitan actualmente, en los que esté corriendo algún plazo legal y, que en la notificación correspondiente se hubiera señalado el domicilio en Avenida Paseo de la Reforma número 296, Colonia Juárez, Delegación Cuauhtémoc (ahora Demarcación Territorial), Código Postal 06600, Ciudad de México, se hace del conocimiento de los interesados que podrán presentar sus promociones y documentos respectivos en dicho domicilio hasta el 28 de septiembre de 2018 y en el que se indica en el Punto Primero del presente Acuerdo a partir de la fecha señalada en el mismo.</w:t>
      </w:r>
    </w:p>
    <w:p w:rsidR="009F5A6E" w:rsidRPr="009F5A6E" w:rsidRDefault="009F5A6E" w:rsidP="009F5A6E">
      <w:pPr>
        <w:jc w:val="both"/>
        <w:rPr>
          <w:rFonts w:ascii="Verdana" w:hAnsi="Verdana"/>
          <w:bCs/>
          <w:sz w:val="20"/>
        </w:rPr>
      </w:pPr>
      <w:r w:rsidRPr="009F5A6E">
        <w:rPr>
          <w:rFonts w:ascii="Verdana" w:hAnsi="Verdana"/>
          <w:b/>
          <w:bCs/>
          <w:sz w:val="20"/>
        </w:rPr>
        <w:t>Quinto.- </w:t>
      </w:r>
      <w:r w:rsidRPr="009F5A6E">
        <w:rPr>
          <w:rFonts w:ascii="Verdana" w:hAnsi="Verdana"/>
          <w:bCs/>
          <w:sz w:val="20"/>
        </w:rPr>
        <w:t>La Unidad de Transparencia de la Secretaría de Economía tendrá su domicilio oficial en el señalado en el Punto Primero del presente Acuerdo.</w:t>
      </w:r>
    </w:p>
    <w:p w:rsidR="009F5A6E" w:rsidRPr="009F5A6E" w:rsidRDefault="009F5A6E" w:rsidP="009F5A6E">
      <w:pPr>
        <w:jc w:val="both"/>
        <w:rPr>
          <w:rFonts w:ascii="Verdana" w:hAnsi="Verdana"/>
          <w:b/>
          <w:bCs/>
          <w:sz w:val="20"/>
        </w:rPr>
      </w:pPr>
      <w:r w:rsidRPr="009F5A6E">
        <w:rPr>
          <w:rFonts w:ascii="Verdana" w:hAnsi="Verdana"/>
          <w:b/>
          <w:bCs/>
          <w:sz w:val="20"/>
        </w:rPr>
        <w:t>TRANSITORIOS</w:t>
      </w:r>
    </w:p>
    <w:p w:rsidR="009F5A6E" w:rsidRPr="009F5A6E" w:rsidRDefault="009F5A6E" w:rsidP="009F5A6E">
      <w:pPr>
        <w:jc w:val="both"/>
        <w:rPr>
          <w:rFonts w:ascii="Verdana" w:hAnsi="Verdana"/>
          <w:bCs/>
          <w:sz w:val="20"/>
        </w:rPr>
      </w:pPr>
      <w:r w:rsidRPr="009F5A6E">
        <w:rPr>
          <w:rFonts w:ascii="Verdana" w:hAnsi="Verdana"/>
          <w:b/>
          <w:bCs/>
          <w:sz w:val="20"/>
        </w:rPr>
        <w:t>Primero.-</w:t>
      </w:r>
      <w:r w:rsidRPr="009F5A6E">
        <w:rPr>
          <w:rFonts w:ascii="Verdana" w:hAnsi="Verdana"/>
          <w:bCs/>
          <w:sz w:val="20"/>
        </w:rPr>
        <w:t> El presente Acuerdo entrará en vigor al día siguiente de su publicación en el Diario Oficial de la Federación.</w:t>
      </w:r>
    </w:p>
    <w:p w:rsidR="009F5A6E" w:rsidRPr="009F5A6E" w:rsidRDefault="009F5A6E" w:rsidP="009F5A6E">
      <w:pPr>
        <w:jc w:val="both"/>
        <w:rPr>
          <w:rFonts w:ascii="Verdana" w:hAnsi="Verdana"/>
          <w:bCs/>
          <w:sz w:val="20"/>
        </w:rPr>
      </w:pPr>
      <w:r w:rsidRPr="009F5A6E">
        <w:rPr>
          <w:rFonts w:ascii="Verdana" w:hAnsi="Verdana"/>
          <w:b/>
          <w:bCs/>
          <w:sz w:val="20"/>
        </w:rPr>
        <w:t>Segundo.-</w:t>
      </w:r>
      <w:r w:rsidRPr="009F5A6E">
        <w:rPr>
          <w:rFonts w:ascii="Verdana" w:hAnsi="Verdana"/>
          <w:bCs/>
          <w:sz w:val="20"/>
        </w:rPr>
        <w:t> Se abroga el Acuerdo por el que se da a conocer el cambio de domicilio de la Secretaría de Economía, publicado en el Diario Oficial de la Federación el 29 de enero de 2016.</w:t>
      </w:r>
    </w:p>
    <w:p w:rsidR="009F5A6E" w:rsidRPr="009F5A6E" w:rsidRDefault="009F5A6E" w:rsidP="009F5A6E">
      <w:pPr>
        <w:jc w:val="both"/>
        <w:rPr>
          <w:rFonts w:ascii="Verdana" w:hAnsi="Verdana"/>
          <w:bCs/>
          <w:sz w:val="20"/>
        </w:rPr>
      </w:pPr>
      <w:r w:rsidRPr="009F5A6E">
        <w:rPr>
          <w:rFonts w:ascii="Verdana" w:hAnsi="Verdana"/>
          <w:bCs/>
          <w:sz w:val="20"/>
        </w:rPr>
        <w:lastRenderedPageBreak/>
        <w:t>Ciudad de México, a 20 de septiembre de 2018.- El Secretario de Economía, </w:t>
      </w:r>
      <w:r w:rsidRPr="009F5A6E">
        <w:rPr>
          <w:rFonts w:ascii="Verdana" w:hAnsi="Verdana"/>
          <w:b/>
          <w:bCs/>
          <w:sz w:val="20"/>
        </w:rPr>
        <w:t>Ildefonso Guajardo Villarreal</w:t>
      </w:r>
      <w:r w:rsidRPr="009F5A6E">
        <w:rPr>
          <w:rFonts w:ascii="Verdana" w:hAnsi="Verdana"/>
          <w:bCs/>
          <w:sz w:val="20"/>
        </w:rPr>
        <w:t>.- Rúbrica.</w:t>
      </w:r>
    </w:p>
    <w:p w:rsidR="009F5A6E" w:rsidRPr="009F5A6E" w:rsidRDefault="009F5A6E" w:rsidP="009F5A6E">
      <w:pPr>
        <w:jc w:val="both"/>
        <w:rPr>
          <w:rFonts w:ascii="Verdana" w:hAnsi="Verdana"/>
          <w:bCs/>
          <w:sz w:val="20"/>
        </w:rPr>
      </w:pPr>
    </w:p>
    <w:p w:rsidR="00BF3AEB" w:rsidRDefault="009F5A6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6E"/>
    <w:rsid w:val="002228FA"/>
    <w:rsid w:val="009F5A6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32664">
      <w:bodyDiv w:val="1"/>
      <w:marLeft w:val="0"/>
      <w:marRight w:val="0"/>
      <w:marTop w:val="0"/>
      <w:marBottom w:val="0"/>
      <w:divBdr>
        <w:top w:val="none" w:sz="0" w:space="0" w:color="auto"/>
        <w:left w:val="none" w:sz="0" w:space="0" w:color="auto"/>
        <w:bottom w:val="none" w:sz="0" w:space="0" w:color="auto"/>
        <w:right w:val="none" w:sz="0" w:space="0" w:color="auto"/>
      </w:divBdr>
    </w:div>
    <w:div w:id="1137917047">
      <w:bodyDiv w:val="1"/>
      <w:marLeft w:val="0"/>
      <w:marRight w:val="0"/>
      <w:marTop w:val="0"/>
      <w:marBottom w:val="0"/>
      <w:divBdr>
        <w:top w:val="none" w:sz="0" w:space="0" w:color="auto"/>
        <w:left w:val="none" w:sz="0" w:space="0" w:color="auto"/>
        <w:bottom w:val="none" w:sz="0" w:space="0" w:color="auto"/>
        <w:right w:val="none" w:sz="0" w:space="0" w:color="auto"/>
      </w:divBdr>
    </w:div>
    <w:div w:id="1407845296">
      <w:bodyDiv w:val="1"/>
      <w:marLeft w:val="0"/>
      <w:marRight w:val="0"/>
      <w:marTop w:val="0"/>
      <w:marBottom w:val="0"/>
      <w:divBdr>
        <w:top w:val="none" w:sz="0" w:space="0" w:color="auto"/>
        <w:left w:val="none" w:sz="0" w:space="0" w:color="auto"/>
        <w:bottom w:val="none" w:sz="0" w:space="0" w:color="auto"/>
        <w:right w:val="none" w:sz="0" w:space="0" w:color="auto"/>
      </w:divBdr>
      <w:divsChild>
        <w:div w:id="1553537169">
          <w:marLeft w:val="0"/>
          <w:marRight w:val="0"/>
          <w:marTop w:val="0"/>
          <w:marBottom w:val="101"/>
          <w:divBdr>
            <w:top w:val="none" w:sz="0" w:space="0" w:color="auto"/>
            <w:left w:val="none" w:sz="0" w:space="0" w:color="auto"/>
            <w:bottom w:val="none" w:sz="0" w:space="0" w:color="auto"/>
            <w:right w:val="none" w:sz="0" w:space="0" w:color="auto"/>
          </w:divBdr>
        </w:div>
        <w:div w:id="2046170754">
          <w:marLeft w:val="0"/>
          <w:marRight w:val="0"/>
          <w:marTop w:val="101"/>
          <w:marBottom w:val="101"/>
          <w:divBdr>
            <w:top w:val="none" w:sz="0" w:space="0" w:color="auto"/>
            <w:left w:val="none" w:sz="0" w:space="0" w:color="auto"/>
            <w:bottom w:val="none" w:sz="0" w:space="0" w:color="auto"/>
            <w:right w:val="none" w:sz="0" w:space="0" w:color="auto"/>
          </w:divBdr>
        </w:div>
        <w:div w:id="292253076">
          <w:marLeft w:val="0"/>
          <w:marRight w:val="0"/>
          <w:marTop w:val="0"/>
          <w:marBottom w:val="101"/>
          <w:divBdr>
            <w:top w:val="none" w:sz="0" w:space="0" w:color="auto"/>
            <w:left w:val="none" w:sz="0" w:space="0" w:color="auto"/>
            <w:bottom w:val="none" w:sz="0" w:space="0" w:color="auto"/>
            <w:right w:val="none" w:sz="0" w:space="0" w:color="auto"/>
          </w:divBdr>
        </w:div>
        <w:div w:id="1642423795">
          <w:marLeft w:val="0"/>
          <w:marRight w:val="0"/>
          <w:marTop w:val="0"/>
          <w:marBottom w:val="101"/>
          <w:divBdr>
            <w:top w:val="none" w:sz="0" w:space="0" w:color="auto"/>
            <w:left w:val="none" w:sz="0" w:space="0" w:color="auto"/>
            <w:bottom w:val="none" w:sz="0" w:space="0" w:color="auto"/>
            <w:right w:val="none" w:sz="0" w:space="0" w:color="auto"/>
          </w:divBdr>
        </w:div>
        <w:div w:id="1144390955">
          <w:marLeft w:val="0"/>
          <w:marRight w:val="0"/>
          <w:marTop w:val="0"/>
          <w:marBottom w:val="101"/>
          <w:divBdr>
            <w:top w:val="none" w:sz="0" w:space="0" w:color="auto"/>
            <w:left w:val="none" w:sz="0" w:space="0" w:color="auto"/>
            <w:bottom w:val="none" w:sz="0" w:space="0" w:color="auto"/>
            <w:right w:val="none" w:sz="0" w:space="0" w:color="auto"/>
          </w:divBdr>
        </w:div>
        <w:div w:id="1042748528">
          <w:marLeft w:val="0"/>
          <w:marRight w:val="0"/>
          <w:marTop w:val="0"/>
          <w:marBottom w:val="101"/>
          <w:divBdr>
            <w:top w:val="none" w:sz="0" w:space="0" w:color="auto"/>
            <w:left w:val="none" w:sz="0" w:space="0" w:color="auto"/>
            <w:bottom w:val="none" w:sz="0" w:space="0" w:color="auto"/>
            <w:right w:val="none" w:sz="0" w:space="0" w:color="auto"/>
          </w:divBdr>
        </w:div>
        <w:div w:id="228737857">
          <w:marLeft w:val="0"/>
          <w:marRight w:val="0"/>
          <w:marTop w:val="0"/>
          <w:marBottom w:val="101"/>
          <w:divBdr>
            <w:top w:val="none" w:sz="0" w:space="0" w:color="auto"/>
            <w:left w:val="none" w:sz="0" w:space="0" w:color="auto"/>
            <w:bottom w:val="none" w:sz="0" w:space="0" w:color="auto"/>
            <w:right w:val="none" w:sz="0" w:space="0" w:color="auto"/>
          </w:divBdr>
        </w:div>
        <w:div w:id="959923146">
          <w:marLeft w:val="0"/>
          <w:marRight w:val="0"/>
          <w:marTop w:val="0"/>
          <w:marBottom w:val="101"/>
          <w:divBdr>
            <w:top w:val="none" w:sz="0" w:space="0" w:color="auto"/>
            <w:left w:val="none" w:sz="0" w:space="0" w:color="auto"/>
            <w:bottom w:val="none" w:sz="0" w:space="0" w:color="auto"/>
            <w:right w:val="none" w:sz="0" w:space="0" w:color="auto"/>
          </w:divBdr>
        </w:div>
        <w:div w:id="1258636148">
          <w:marLeft w:val="0"/>
          <w:marRight w:val="0"/>
          <w:marTop w:val="101"/>
          <w:marBottom w:val="101"/>
          <w:divBdr>
            <w:top w:val="none" w:sz="0" w:space="0" w:color="auto"/>
            <w:left w:val="none" w:sz="0" w:space="0" w:color="auto"/>
            <w:bottom w:val="none" w:sz="0" w:space="0" w:color="auto"/>
            <w:right w:val="none" w:sz="0" w:space="0" w:color="auto"/>
          </w:divBdr>
        </w:div>
        <w:div w:id="1236360098">
          <w:marLeft w:val="0"/>
          <w:marRight w:val="0"/>
          <w:marTop w:val="0"/>
          <w:marBottom w:val="101"/>
          <w:divBdr>
            <w:top w:val="none" w:sz="0" w:space="0" w:color="auto"/>
            <w:left w:val="none" w:sz="0" w:space="0" w:color="auto"/>
            <w:bottom w:val="none" w:sz="0" w:space="0" w:color="auto"/>
            <w:right w:val="none" w:sz="0" w:space="0" w:color="auto"/>
          </w:divBdr>
        </w:div>
        <w:div w:id="111048894">
          <w:marLeft w:val="0"/>
          <w:marRight w:val="0"/>
          <w:marTop w:val="0"/>
          <w:marBottom w:val="101"/>
          <w:divBdr>
            <w:top w:val="none" w:sz="0" w:space="0" w:color="auto"/>
            <w:left w:val="none" w:sz="0" w:space="0" w:color="auto"/>
            <w:bottom w:val="none" w:sz="0" w:space="0" w:color="auto"/>
            <w:right w:val="none" w:sz="0" w:space="0" w:color="auto"/>
          </w:divBdr>
        </w:div>
        <w:div w:id="949700071">
          <w:marLeft w:val="720"/>
          <w:marRight w:val="0"/>
          <w:marTop w:val="0"/>
          <w:marBottom w:val="101"/>
          <w:divBdr>
            <w:top w:val="none" w:sz="0" w:space="0" w:color="auto"/>
            <w:left w:val="none" w:sz="0" w:space="0" w:color="auto"/>
            <w:bottom w:val="none" w:sz="0" w:space="0" w:color="auto"/>
            <w:right w:val="none" w:sz="0" w:space="0" w:color="auto"/>
          </w:divBdr>
        </w:div>
        <w:div w:id="1170635128">
          <w:marLeft w:val="1152"/>
          <w:marRight w:val="0"/>
          <w:marTop w:val="0"/>
          <w:marBottom w:val="101"/>
          <w:divBdr>
            <w:top w:val="none" w:sz="0" w:space="0" w:color="auto"/>
            <w:left w:val="none" w:sz="0" w:space="0" w:color="auto"/>
            <w:bottom w:val="none" w:sz="0" w:space="0" w:color="auto"/>
            <w:right w:val="none" w:sz="0" w:space="0" w:color="auto"/>
          </w:divBdr>
        </w:div>
        <w:div w:id="163253249">
          <w:marLeft w:val="1152"/>
          <w:marRight w:val="0"/>
          <w:marTop w:val="0"/>
          <w:marBottom w:val="101"/>
          <w:divBdr>
            <w:top w:val="none" w:sz="0" w:space="0" w:color="auto"/>
            <w:left w:val="none" w:sz="0" w:space="0" w:color="auto"/>
            <w:bottom w:val="none" w:sz="0" w:space="0" w:color="auto"/>
            <w:right w:val="none" w:sz="0" w:space="0" w:color="auto"/>
          </w:divBdr>
        </w:div>
        <w:div w:id="181433741">
          <w:marLeft w:val="1152"/>
          <w:marRight w:val="0"/>
          <w:marTop w:val="0"/>
          <w:marBottom w:val="101"/>
          <w:divBdr>
            <w:top w:val="none" w:sz="0" w:space="0" w:color="auto"/>
            <w:left w:val="none" w:sz="0" w:space="0" w:color="auto"/>
            <w:bottom w:val="none" w:sz="0" w:space="0" w:color="auto"/>
            <w:right w:val="none" w:sz="0" w:space="0" w:color="auto"/>
          </w:divBdr>
        </w:div>
        <w:div w:id="1572039953">
          <w:marLeft w:val="1152"/>
          <w:marRight w:val="0"/>
          <w:marTop w:val="0"/>
          <w:marBottom w:val="101"/>
          <w:divBdr>
            <w:top w:val="none" w:sz="0" w:space="0" w:color="auto"/>
            <w:left w:val="none" w:sz="0" w:space="0" w:color="auto"/>
            <w:bottom w:val="none" w:sz="0" w:space="0" w:color="auto"/>
            <w:right w:val="none" w:sz="0" w:space="0" w:color="auto"/>
          </w:divBdr>
        </w:div>
        <w:div w:id="1123693192">
          <w:marLeft w:val="720"/>
          <w:marRight w:val="0"/>
          <w:marTop w:val="0"/>
          <w:marBottom w:val="101"/>
          <w:divBdr>
            <w:top w:val="none" w:sz="0" w:space="0" w:color="auto"/>
            <w:left w:val="none" w:sz="0" w:space="0" w:color="auto"/>
            <w:bottom w:val="none" w:sz="0" w:space="0" w:color="auto"/>
            <w:right w:val="none" w:sz="0" w:space="0" w:color="auto"/>
          </w:divBdr>
        </w:div>
        <w:div w:id="579828351">
          <w:marLeft w:val="1152"/>
          <w:marRight w:val="0"/>
          <w:marTop w:val="0"/>
          <w:marBottom w:val="101"/>
          <w:divBdr>
            <w:top w:val="none" w:sz="0" w:space="0" w:color="auto"/>
            <w:left w:val="none" w:sz="0" w:space="0" w:color="auto"/>
            <w:bottom w:val="none" w:sz="0" w:space="0" w:color="auto"/>
            <w:right w:val="none" w:sz="0" w:space="0" w:color="auto"/>
          </w:divBdr>
        </w:div>
        <w:div w:id="284578321">
          <w:marLeft w:val="1152"/>
          <w:marRight w:val="0"/>
          <w:marTop w:val="0"/>
          <w:marBottom w:val="101"/>
          <w:divBdr>
            <w:top w:val="none" w:sz="0" w:space="0" w:color="auto"/>
            <w:left w:val="none" w:sz="0" w:space="0" w:color="auto"/>
            <w:bottom w:val="none" w:sz="0" w:space="0" w:color="auto"/>
            <w:right w:val="none" w:sz="0" w:space="0" w:color="auto"/>
          </w:divBdr>
        </w:div>
        <w:div w:id="1723943406">
          <w:marLeft w:val="1152"/>
          <w:marRight w:val="0"/>
          <w:marTop w:val="0"/>
          <w:marBottom w:val="101"/>
          <w:divBdr>
            <w:top w:val="none" w:sz="0" w:space="0" w:color="auto"/>
            <w:left w:val="none" w:sz="0" w:space="0" w:color="auto"/>
            <w:bottom w:val="none" w:sz="0" w:space="0" w:color="auto"/>
            <w:right w:val="none" w:sz="0" w:space="0" w:color="auto"/>
          </w:divBdr>
        </w:div>
        <w:div w:id="1093932938">
          <w:marLeft w:val="720"/>
          <w:marRight w:val="0"/>
          <w:marTop w:val="0"/>
          <w:marBottom w:val="101"/>
          <w:divBdr>
            <w:top w:val="none" w:sz="0" w:space="0" w:color="auto"/>
            <w:left w:val="none" w:sz="0" w:space="0" w:color="auto"/>
            <w:bottom w:val="none" w:sz="0" w:space="0" w:color="auto"/>
            <w:right w:val="none" w:sz="0" w:space="0" w:color="auto"/>
          </w:divBdr>
        </w:div>
        <w:div w:id="354775630">
          <w:marLeft w:val="720"/>
          <w:marRight w:val="0"/>
          <w:marTop w:val="0"/>
          <w:marBottom w:val="101"/>
          <w:divBdr>
            <w:top w:val="none" w:sz="0" w:space="0" w:color="auto"/>
            <w:left w:val="none" w:sz="0" w:space="0" w:color="auto"/>
            <w:bottom w:val="none" w:sz="0" w:space="0" w:color="auto"/>
            <w:right w:val="none" w:sz="0" w:space="0" w:color="auto"/>
          </w:divBdr>
        </w:div>
        <w:div w:id="1148977619">
          <w:marLeft w:val="1152"/>
          <w:marRight w:val="0"/>
          <w:marTop w:val="0"/>
          <w:marBottom w:val="101"/>
          <w:divBdr>
            <w:top w:val="none" w:sz="0" w:space="0" w:color="auto"/>
            <w:left w:val="none" w:sz="0" w:space="0" w:color="auto"/>
            <w:bottom w:val="none" w:sz="0" w:space="0" w:color="auto"/>
            <w:right w:val="none" w:sz="0" w:space="0" w:color="auto"/>
          </w:divBdr>
        </w:div>
        <w:div w:id="174004714">
          <w:marLeft w:val="1152"/>
          <w:marRight w:val="0"/>
          <w:marTop w:val="0"/>
          <w:marBottom w:val="101"/>
          <w:divBdr>
            <w:top w:val="none" w:sz="0" w:space="0" w:color="auto"/>
            <w:left w:val="none" w:sz="0" w:space="0" w:color="auto"/>
            <w:bottom w:val="none" w:sz="0" w:space="0" w:color="auto"/>
            <w:right w:val="none" w:sz="0" w:space="0" w:color="auto"/>
          </w:divBdr>
        </w:div>
        <w:div w:id="608584129">
          <w:marLeft w:val="1152"/>
          <w:marRight w:val="0"/>
          <w:marTop w:val="0"/>
          <w:marBottom w:val="101"/>
          <w:divBdr>
            <w:top w:val="none" w:sz="0" w:space="0" w:color="auto"/>
            <w:left w:val="none" w:sz="0" w:space="0" w:color="auto"/>
            <w:bottom w:val="none" w:sz="0" w:space="0" w:color="auto"/>
            <w:right w:val="none" w:sz="0" w:space="0" w:color="auto"/>
          </w:divBdr>
        </w:div>
        <w:div w:id="385298409">
          <w:marLeft w:val="1152"/>
          <w:marRight w:val="0"/>
          <w:marTop w:val="0"/>
          <w:marBottom w:val="101"/>
          <w:divBdr>
            <w:top w:val="none" w:sz="0" w:space="0" w:color="auto"/>
            <w:left w:val="none" w:sz="0" w:space="0" w:color="auto"/>
            <w:bottom w:val="none" w:sz="0" w:space="0" w:color="auto"/>
            <w:right w:val="none" w:sz="0" w:space="0" w:color="auto"/>
          </w:divBdr>
        </w:div>
        <w:div w:id="625236095">
          <w:marLeft w:val="1152"/>
          <w:marRight w:val="0"/>
          <w:marTop w:val="0"/>
          <w:marBottom w:val="101"/>
          <w:divBdr>
            <w:top w:val="none" w:sz="0" w:space="0" w:color="auto"/>
            <w:left w:val="none" w:sz="0" w:space="0" w:color="auto"/>
            <w:bottom w:val="none" w:sz="0" w:space="0" w:color="auto"/>
            <w:right w:val="none" w:sz="0" w:space="0" w:color="auto"/>
          </w:divBdr>
        </w:div>
        <w:div w:id="528033632">
          <w:marLeft w:val="1152"/>
          <w:marRight w:val="0"/>
          <w:marTop w:val="0"/>
          <w:marBottom w:val="101"/>
          <w:divBdr>
            <w:top w:val="none" w:sz="0" w:space="0" w:color="auto"/>
            <w:left w:val="none" w:sz="0" w:space="0" w:color="auto"/>
            <w:bottom w:val="none" w:sz="0" w:space="0" w:color="auto"/>
            <w:right w:val="none" w:sz="0" w:space="0" w:color="auto"/>
          </w:divBdr>
        </w:div>
        <w:div w:id="799111409">
          <w:marLeft w:val="720"/>
          <w:marRight w:val="0"/>
          <w:marTop w:val="0"/>
          <w:marBottom w:val="101"/>
          <w:divBdr>
            <w:top w:val="none" w:sz="0" w:space="0" w:color="auto"/>
            <w:left w:val="none" w:sz="0" w:space="0" w:color="auto"/>
            <w:bottom w:val="none" w:sz="0" w:space="0" w:color="auto"/>
            <w:right w:val="none" w:sz="0" w:space="0" w:color="auto"/>
          </w:divBdr>
        </w:div>
        <w:div w:id="1607810589">
          <w:marLeft w:val="1152"/>
          <w:marRight w:val="0"/>
          <w:marTop w:val="0"/>
          <w:marBottom w:val="101"/>
          <w:divBdr>
            <w:top w:val="none" w:sz="0" w:space="0" w:color="auto"/>
            <w:left w:val="none" w:sz="0" w:space="0" w:color="auto"/>
            <w:bottom w:val="none" w:sz="0" w:space="0" w:color="auto"/>
            <w:right w:val="none" w:sz="0" w:space="0" w:color="auto"/>
          </w:divBdr>
        </w:div>
        <w:div w:id="1935044920">
          <w:marLeft w:val="1152"/>
          <w:marRight w:val="0"/>
          <w:marTop w:val="0"/>
          <w:marBottom w:val="101"/>
          <w:divBdr>
            <w:top w:val="none" w:sz="0" w:space="0" w:color="auto"/>
            <w:left w:val="none" w:sz="0" w:space="0" w:color="auto"/>
            <w:bottom w:val="none" w:sz="0" w:space="0" w:color="auto"/>
            <w:right w:val="none" w:sz="0" w:space="0" w:color="auto"/>
          </w:divBdr>
        </w:div>
        <w:div w:id="596645490">
          <w:marLeft w:val="1152"/>
          <w:marRight w:val="0"/>
          <w:marTop w:val="0"/>
          <w:marBottom w:val="101"/>
          <w:divBdr>
            <w:top w:val="none" w:sz="0" w:space="0" w:color="auto"/>
            <w:left w:val="none" w:sz="0" w:space="0" w:color="auto"/>
            <w:bottom w:val="none" w:sz="0" w:space="0" w:color="auto"/>
            <w:right w:val="none" w:sz="0" w:space="0" w:color="auto"/>
          </w:divBdr>
        </w:div>
        <w:div w:id="503935079">
          <w:marLeft w:val="1152"/>
          <w:marRight w:val="0"/>
          <w:marTop w:val="0"/>
          <w:marBottom w:val="101"/>
          <w:divBdr>
            <w:top w:val="none" w:sz="0" w:space="0" w:color="auto"/>
            <w:left w:val="none" w:sz="0" w:space="0" w:color="auto"/>
            <w:bottom w:val="none" w:sz="0" w:space="0" w:color="auto"/>
            <w:right w:val="none" w:sz="0" w:space="0" w:color="auto"/>
          </w:divBdr>
        </w:div>
        <w:div w:id="1161508452">
          <w:marLeft w:val="1152"/>
          <w:marRight w:val="0"/>
          <w:marTop w:val="0"/>
          <w:marBottom w:val="101"/>
          <w:divBdr>
            <w:top w:val="none" w:sz="0" w:space="0" w:color="auto"/>
            <w:left w:val="none" w:sz="0" w:space="0" w:color="auto"/>
            <w:bottom w:val="none" w:sz="0" w:space="0" w:color="auto"/>
            <w:right w:val="none" w:sz="0" w:space="0" w:color="auto"/>
          </w:divBdr>
        </w:div>
        <w:div w:id="947278824">
          <w:marLeft w:val="1152"/>
          <w:marRight w:val="0"/>
          <w:marTop w:val="0"/>
          <w:marBottom w:val="101"/>
          <w:divBdr>
            <w:top w:val="none" w:sz="0" w:space="0" w:color="auto"/>
            <w:left w:val="none" w:sz="0" w:space="0" w:color="auto"/>
            <w:bottom w:val="none" w:sz="0" w:space="0" w:color="auto"/>
            <w:right w:val="none" w:sz="0" w:space="0" w:color="auto"/>
          </w:divBdr>
        </w:div>
        <w:div w:id="221137833">
          <w:marLeft w:val="1152"/>
          <w:marRight w:val="0"/>
          <w:marTop w:val="0"/>
          <w:marBottom w:val="101"/>
          <w:divBdr>
            <w:top w:val="none" w:sz="0" w:space="0" w:color="auto"/>
            <w:left w:val="none" w:sz="0" w:space="0" w:color="auto"/>
            <w:bottom w:val="none" w:sz="0" w:space="0" w:color="auto"/>
            <w:right w:val="none" w:sz="0" w:space="0" w:color="auto"/>
          </w:divBdr>
        </w:div>
        <w:div w:id="1063483413">
          <w:marLeft w:val="1152"/>
          <w:marRight w:val="0"/>
          <w:marTop w:val="0"/>
          <w:marBottom w:val="101"/>
          <w:divBdr>
            <w:top w:val="none" w:sz="0" w:space="0" w:color="auto"/>
            <w:left w:val="none" w:sz="0" w:space="0" w:color="auto"/>
            <w:bottom w:val="none" w:sz="0" w:space="0" w:color="auto"/>
            <w:right w:val="none" w:sz="0" w:space="0" w:color="auto"/>
          </w:divBdr>
        </w:div>
        <w:div w:id="1885872460">
          <w:marLeft w:val="720"/>
          <w:marRight w:val="0"/>
          <w:marTop w:val="0"/>
          <w:marBottom w:val="101"/>
          <w:divBdr>
            <w:top w:val="none" w:sz="0" w:space="0" w:color="auto"/>
            <w:left w:val="none" w:sz="0" w:space="0" w:color="auto"/>
            <w:bottom w:val="none" w:sz="0" w:space="0" w:color="auto"/>
            <w:right w:val="none" w:sz="0" w:space="0" w:color="auto"/>
          </w:divBdr>
        </w:div>
        <w:div w:id="2005088464">
          <w:marLeft w:val="1152"/>
          <w:marRight w:val="0"/>
          <w:marTop w:val="0"/>
          <w:marBottom w:val="101"/>
          <w:divBdr>
            <w:top w:val="none" w:sz="0" w:space="0" w:color="auto"/>
            <w:left w:val="none" w:sz="0" w:space="0" w:color="auto"/>
            <w:bottom w:val="none" w:sz="0" w:space="0" w:color="auto"/>
            <w:right w:val="none" w:sz="0" w:space="0" w:color="auto"/>
          </w:divBdr>
        </w:div>
        <w:div w:id="634411640">
          <w:marLeft w:val="720"/>
          <w:marRight w:val="0"/>
          <w:marTop w:val="0"/>
          <w:marBottom w:val="101"/>
          <w:divBdr>
            <w:top w:val="none" w:sz="0" w:space="0" w:color="auto"/>
            <w:left w:val="none" w:sz="0" w:space="0" w:color="auto"/>
            <w:bottom w:val="none" w:sz="0" w:space="0" w:color="auto"/>
            <w:right w:val="none" w:sz="0" w:space="0" w:color="auto"/>
          </w:divBdr>
        </w:div>
        <w:div w:id="1241448879">
          <w:marLeft w:val="0"/>
          <w:marRight w:val="0"/>
          <w:marTop w:val="0"/>
          <w:marBottom w:val="101"/>
          <w:divBdr>
            <w:top w:val="none" w:sz="0" w:space="0" w:color="auto"/>
            <w:left w:val="none" w:sz="0" w:space="0" w:color="auto"/>
            <w:bottom w:val="none" w:sz="0" w:space="0" w:color="auto"/>
            <w:right w:val="none" w:sz="0" w:space="0" w:color="auto"/>
          </w:divBdr>
        </w:div>
        <w:div w:id="339696294">
          <w:marLeft w:val="0"/>
          <w:marRight w:val="0"/>
          <w:marTop w:val="0"/>
          <w:marBottom w:val="101"/>
          <w:divBdr>
            <w:top w:val="none" w:sz="0" w:space="0" w:color="auto"/>
            <w:left w:val="none" w:sz="0" w:space="0" w:color="auto"/>
            <w:bottom w:val="none" w:sz="0" w:space="0" w:color="auto"/>
            <w:right w:val="none" w:sz="0" w:space="0" w:color="auto"/>
          </w:divBdr>
        </w:div>
        <w:div w:id="659113663">
          <w:marLeft w:val="0"/>
          <w:marRight w:val="0"/>
          <w:marTop w:val="0"/>
          <w:marBottom w:val="101"/>
          <w:divBdr>
            <w:top w:val="none" w:sz="0" w:space="0" w:color="auto"/>
            <w:left w:val="none" w:sz="0" w:space="0" w:color="auto"/>
            <w:bottom w:val="none" w:sz="0" w:space="0" w:color="auto"/>
            <w:right w:val="none" w:sz="0" w:space="0" w:color="auto"/>
          </w:divBdr>
        </w:div>
        <w:div w:id="650669767">
          <w:marLeft w:val="0"/>
          <w:marRight w:val="0"/>
          <w:marTop w:val="0"/>
          <w:marBottom w:val="101"/>
          <w:divBdr>
            <w:top w:val="none" w:sz="0" w:space="0" w:color="auto"/>
            <w:left w:val="none" w:sz="0" w:space="0" w:color="auto"/>
            <w:bottom w:val="none" w:sz="0" w:space="0" w:color="auto"/>
            <w:right w:val="none" w:sz="0" w:space="0" w:color="auto"/>
          </w:divBdr>
        </w:div>
        <w:div w:id="1970280763">
          <w:marLeft w:val="0"/>
          <w:marRight w:val="0"/>
          <w:marTop w:val="101"/>
          <w:marBottom w:val="101"/>
          <w:divBdr>
            <w:top w:val="none" w:sz="0" w:space="0" w:color="auto"/>
            <w:left w:val="none" w:sz="0" w:space="0" w:color="auto"/>
            <w:bottom w:val="none" w:sz="0" w:space="0" w:color="auto"/>
            <w:right w:val="none" w:sz="0" w:space="0" w:color="auto"/>
          </w:divBdr>
        </w:div>
        <w:div w:id="7101872">
          <w:marLeft w:val="0"/>
          <w:marRight w:val="0"/>
          <w:marTop w:val="0"/>
          <w:marBottom w:val="101"/>
          <w:divBdr>
            <w:top w:val="none" w:sz="0" w:space="0" w:color="auto"/>
            <w:left w:val="none" w:sz="0" w:space="0" w:color="auto"/>
            <w:bottom w:val="none" w:sz="0" w:space="0" w:color="auto"/>
            <w:right w:val="none" w:sz="0" w:space="0" w:color="auto"/>
          </w:divBdr>
        </w:div>
        <w:div w:id="1359113490">
          <w:marLeft w:val="0"/>
          <w:marRight w:val="0"/>
          <w:marTop w:val="0"/>
          <w:marBottom w:val="101"/>
          <w:divBdr>
            <w:top w:val="none" w:sz="0" w:space="0" w:color="auto"/>
            <w:left w:val="none" w:sz="0" w:space="0" w:color="auto"/>
            <w:bottom w:val="none" w:sz="0" w:space="0" w:color="auto"/>
            <w:right w:val="none" w:sz="0" w:space="0" w:color="auto"/>
          </w:divBdr>
        </w:div>
        <w:div w:id="20893839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2018-09-26T13:12:00Z</dcterms:created>
  <dcterms:modified xsi:type="dcterms:W3CDTF">2018-09-26T13:13:00Z</dcterms:modified>
</cp:coreProperties>
</file>