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C32" w:rsidRPr="00841D9A" w:rsidRDefault="001E5C32" w:rsidP="001E5C32">
      <w:pPr>
        <w:jc w:val="center"/>
        <w:rPr>
          <w:rFonts w:ascii="Verdana" w:eastAsia="Verdana" w:hAnsi="Verdana" w:cs="Verdana"/>
          <w:b/>
          <w:color w:val="0000FF"/>
          <w:sz w:val="24"/>
          <w:szCs w:val="24"/>
        </w:rPr>
      </w:pPr>
      <w:r w:rsidRPr="001E5C32">
        <w:rPr>
          <w:rFonts w:ascii="Verdana" w:eastAsia="Verdana" w:hAnsi="Verdana" w:cs="Verdana"/>
          <w:b/>
          <w:color w:val="0000FF"/>
          <w:sz w:val="24"/>
          <w:szCs w:val="24"/>
        </w:rPr>
        <w:t>DECRETO por el que se otorgan estímulos fiscales para incentivar el uso de medios de pago electrónicos.</w:t>
      </w:r>
      <w:r w:rsidR="00BC60F1">
        <w:rPr>
          <w:rFonts w:ascii="Verdana" w:eastAsia="Verdana" w:hAnsi="Verdana" w:cs="Verdana"/>
          <w:b/>
          <w:color w:val="0000FF"/>
          <w:sz w:val="24"/>
          <w:szCs w:val="24"/>
        </w:rPr>
        <w:br/>
        <w:t>(DOF del 21</w:t>
      </w:r>
      <w:r>
        <w:rPr>
          <w:rFonts w:ascii="Verdana" w:eastAsia="Verdana" w:hAnsi="Verdana" w:cs="Verdana"/>
          <w:b/>
          <w:color w:val="0000FF"/>
          <w:sz w:val="24"/>
          <w:szCs w:val="24"/>
        </w:rPr>
        <w:t xml:space="preserve"> de octubre</w:t>
      </w:r>
      <w:r w:rsidRPr="00841D9A">
        <w:rPr>
          <w:rFonts w:ascii="Verdana" w:eastAsia="Verdana" w:hAnsi="Verdana" w:cs="Verdana"/>
          <w:b/>
          <w:color w:val="0000FF"/>
          <w:sz w:val="24"/>
          <w:szCs w:val="24"/>
        </w:rPr>
        <w:t xml:space="preserve"> de 2022)</w:t>
      </w:r>
    </w:p>
    <w:p w:rsidR="00701CCF" w:rsidRDefault="001E5C32" w:rsidP="001E5C32">
      <w:pPr>
        <w:jc w:val="both"/>
        <w:rPr>
          <w:rFonts w:ascii="Arial" w:hAnsi="Arial" w:cs="Arial"/>
          <w:b/>
          <w:color w:val="2F2F2F"/>
          <w:sz w:val="18"/>
          <w:szCs w:val="18"/>
          <w:shd w:val="clear" w:color="auto" w:fill="FFFFFF"/>
        </w:rPr>
      </w:pPr>
      <w:r w:rsidRPr="001E5C32">
        <w:rPr>
          <w:rFonts w:ascii="Arial" w:hAnsi="Arial" w:cs="Arial"/>
          <w:b/>
          <w:color w:val="2F2F2F"/>
          <w:sz w:val="18"/>
          <w:szCs w:val="18"/>
          <w:shd w:val="clear" w:color="auto" w:fill="FFFFFF"/>
        </w:rPr>
        <w:t>Al margen un sello con el Escudo Nacional, que dice: Estados Unidos Mexicanos.- Presidencia de la República.</w:t>
      </w:r>
      <w:bookmarkStart w:id="0" w:name="_GoBack"/>
      <w:bookmarkEnd w:id="0"/>
    </w:p>
    <w:p w:rsidR="001E5C32" w:rsidRPr="001E5C32" w:rsidRDefault="001E5C32" w:rsidP="001E5C32">
      <w:pPr>
        <w:shd w:val="clear" w:color="auto" w:fill="FFFFFF"/>
        <w:spacing w:after="101" w:line="240" w:lineRule="auto"/>
        <w:ind w:firstLine="288"/>
        <w:jc w:val="both"/>
        <w:rPr>
          <w:rFonts w:ascii="Arial" w:eastAsia="Times New Roman" w:hAnsi="Arial" w:cs="Arial"/>
          <w:color w:val="2F2F2F"/>
          <w:sz w:val="18"/>
          <w:szCs w:val="18"/>
          <w:lang w:eastAsia="es-MX"/>
        </w:rPr>
      </w:pPr>
      <w:r w:rsidRPr="001E5C32">
        <w:rPr>
          <w:rFonts w:ascii="Arial" w:eastAsia="Times New Roman" w:hAnsi="Arial" w:cs="Arial"/>
          <w:b/>
          <w:bCs/>
          <w:color w:val="000000"/>
          <w:sz w:val="18"/>
          <w:szCs w:val="18"/>
          <w:lang w:eastAsia="es-MX"/>
        </w:rPr>
        <w:t>ANDRÉS MANUEL LÓPEZ OBRADOR</w:t>
      </w:r>
      <w:r w:rsidRPr="001E5C32">
        <w:rPr>
          <w:rFonts w:ascii="Arial" w:eastAsia="Times New Roman" w:hAnsi="Arial" w:cs="Arial"/>
          <w:color w:val="000000"/>
          <w:sz w:val="18"/>
          <w:szCs w:val="18"/>
          <w:lang w:eastAsia="es-MX"/>
        </w:rPr>
        <w:t>, presidente de los Estados Unidos Mexicanos, en ejercicio de la facultad que me confiere el artículo 89, fracción I, de la Constitución Política de los Estados Unidos Mexicanos, con fundamento en los artículos 31 de la Ley Orgánica de la Administración Pública Federal y 39, fracción III, del Código Fiscal de la Federación, y</w:t>
      </w:r>
    </w:p>
    <w:p w:rsidR="001E5C32" w:rsidRPr="001E5C32" w:rsidRDefault="001E5C32" w:rsidP="001E5C3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E5C32">
        <w:rPr>
          <w:rFonts w:ascii="Times" w:eastAsia="Times New Roman" w:hAnsi="Times" w:cs="Times"/>
          <w:b/>
          <w:bCs/>
          <w:color w:val="2F2F2F"/>
          <w:sz w:val="18"/>
          <w:szCs w:val="18"/>
          <w:lang w:eastAsia="es-MX"/>
        </w:rPr>
        <w:t>CONSIDERANDO</w:t>
      </w:r>
    </w:p>
    <w:p w:rsidR="001E5C32" w:rsidRPr="001E5C32" w:rsidRDefault="001E5C32" w:rsidP="001E5C32">
      <w:pPr>
        <w:shd w:val="clear" w:color="auto" w:fill="FFFFFF"/>
        <w:spacing w:after="101" w:line="240" w:lineRule="auto"/>
        <w:ind w:firstLine="288"/>
        <w:jc w:val="both"/>
        <w:rPr>
          <w:rFonts w:ascii="Arial" w:eastAsia="Times New Roman" w:hAnsi="Arial" w:cs="Arial"/>
          <w:color w:val="2F2F2F"/>
          <w:sz w:val="18"/>
          <w:szCs w:val="18"/>
          <w:lang w:eastAsia="es-MX"/>
        </w:rPr>
      </w:pPr>
      <w:r w:rsidRPr="001E5C32">
        <w:rPr>
          <w:rFonts w:ascii="Arial" w:eastAsia="Times New Roman" w:hAnsi="Arial" w:cs="Arial"/>
          <w:color w:val="2F2F2F"/>
          <w:sz w:val="18"/>
          <w:szCs w:val="18"/>
          <w:lang w:eastAsia="es-MX"/>
        </w:rPr>
        <w:t>Que el Plan Nacional</w:t>
      </w:r>
      <w:r w:rsidRPr="001E5C32">
        <w:rPr>
          <w:rFonts w:ascii="Arial" w:eastAsia="Times New Roman" w:hAnsi="Arial" w:cs="Arial"/>
          <w:color w:val="000000"/>
          <w:sz w:val="18"/>
          <w:szCs w:val="18"/>
          <w:lang w:eastAsia="es-MX"/>
        </w:rPr>
        <w:t> de Desarrollo 2019-2024, en su Eje General III. "Economía", apartado "Impulsar la reactivación económica, el mercado interno y el empleo", prevé que una de las tareas centrales de la actual administración es impulsar la reactivación económica y lograr que la economía vuelva a crecer a tasas aceptables y, para ello, se requiere del fortalecimiento del mercado interno, además de impulsar las modalidades de comercio justo y economía social y solidaria;</w:t>
      </w:r>
    </w:p>
    <w:p w:rsidR="001E5C32" w:rsidRPr="001E5C32" w:rsidRDefault="001E5C32" w:rsidP="001E5C32">
      <w:pPr>
        <w:shd w:val="clear" w:color="auto" w:fill="FFFFFF"/>
        <w:spacing w:after="101" w:line="240" w:lineRule="auto"/>
        <w:ind w:firstLine="288"/>
        <w:jc w:val="both"/>
        <w:rPr>
          <w:rFonts w:ascii="Arial" w:eastAsia="Times New Roman" w:hAnsi="Arial" w:cs="Arial"/>
          <w:color w:val="2F2F2F"/>
          <w:sz w:val="18"/>
          <w:szCs w:val="18"/>
          <w:lang w:eastAsia="es-MX"/>
        </w:rPr>
      </w:pPr>
      <w:r w:rsidRPr="001E5C32">
        <w:rPr>
          <w:rFonts w:ascii="Arial" w:eastAsia="Times New Roman" w:hAnsi="Arial" w:cs="Arial"/>
          <w:color w:val="000000"/>
          <w:sz w:val="18"/>
          <w:szCs w:val="18"/>
          <w:lang w:eastAsia="es-MX"/>
        </w:rPr>
        <w:t>Que el Gobierno de México tiene el compromiso de incentivar el uso de medios de pago electrónicos, como las tarjetas de crédito y de débito, con el fin de generar condiciones que favorezcan la formalización de la economía, además de realizar acciones orientadas a avanzar decididamente en materia de inclusión financiera y reducción del uso de efectivo como medio de pago;</w:t>
      </w:r>
    </w:p>
    <w:p w:rsidR="001E5C32" w:rsidRPr="001E5C32" w:rsidRDefault="001E5C32" w:rsidP="001E5C32">
      <w:pPr>
        <w:shd w:val="clear" w:color="auto" w:fill="FFFFFF"/>
        <w:spacing w:after="101" w:line="240" w:lineRule="auto"/>
        <w:ind w:firstLine="288"/>
        <w:jc w:val="both"/>
        <w:rPr>
          <w:rFonts w:ascii="Arial" w:eastAsia="Times New Roman" w:hAnsi="Arial" w:cs="Arial"/>
          <w:color w:val="2F2F2F"/>
          <w:sz w:val="18"/>
          <w:szCs w:val="18"/>
          <w:lang w:eastAsia="es-MX"/>
        </w:rPr>
      </w:pPr>
      <w:r w:rsidRPr="001E5C32">
        <w:rPr>
          <w:rFonts w:ascii="Arial" w:eastAsia="Times New Roman" w:hAnsi="Arial" w:cs="Arial"/>
          <w:color w:val="000000"/>
          <w:sz w:val="18"/>
          <w:szCs w:val="18"/>
          <w:lang w:eastAsia="es-MX"/>
        </w:rPr>
        <w:t>Que promover el uso de medios de pago electrónicos en las operaciones que realizan las familias redunda en diversos beneficios para estas, ya que resultan un método seguro, práctico y fácil, y para los productores de bienes y prestadores de servicios que se encuentran dentro de la economía formal, toda vez que representa un incremento en su actividad económica, lo que se traduce en mayores ingresos;</w:t>
      </w:r>
    </w:p>
    <w:p w:rsidR="001E5C32" w:rsidRPr="001E5C32" w:rsidRDefault="001E5C32" w:rsidP="001E5C32">
      <w:pPr>
        <w:shd w:val="clear" w:color="auto" w:fill="FFFFFF"/>
        <w:spacing w:after="101" w:line="240" w:lineRule="auto"/>
        <w:ind w:firstLine="288"/>
        <w:jc w:val="both"/>
        <w:rPr>
          <w:rFonts w:ascii="Arial" w:eastAsia="Times New Roman" w:hAnsi="Arial" w:cs="Arial"/>
          <w:color w:val="2F2F2F"/>
          <w:sz w:val="18"/>
          <w:szCs w:val="18"/>
          <w:lang w:eastAsia="es-MX"/>
        </w:rPr>
      </w:pPr>
      <w:r w:rsidRPr="001E5C32">
        <w:rPr>
          <w:rFonts w:ascii="Arial" w:eastAsia="Times New Roman" w:hAnsi="Arial" w:cs="Arial"/>
          <w:color w:val="000000"/>
          <w:sz w:val="18"/>
          <w:szCs w:val="18"/>
          <w:lang w:eastAsia="es-MX"/>
        </w:rPr>
        <w:t>Que el Sorteo "El Buen Fin" se ha realizado desde 2013 con resultados positivos, en el cual se han entregado premios a </w:t>
      </w:r>
      <w:r w:rsidRPr="001E5C32">
        <w:rPr>
          <w:rFonts w:ascii="Arial" w:eastAsia="Times New Roman" w:hAnsi="Arial" w:cs="Arial"/>
          <w:color w:val="2F2F2F"/>
          <w:sz w:val="18"/>
          <w:szCs w:val="18"/>
          <w:lang w:eastAsia="es-MX"/>
        </w:rPr>
        <w:t>los compradores y vendedores de bienes, así como a los prestadores y adquirentes de servicios que usan y aceptan </w:t>
      </w:r>
      <w:r w:rsidRPr="001E5C32">
        <w:rPr>
          <w:rFonts w:ascii="Arial" w:eastAsia="Times New Roman" w:hAnsi="Arial" w:cs="Arial"/>
          <w:color w:val="000000"/>
          <w:sz w:val="18"/>
          <w:szCs w:val="18"/>
          <w:lang w:eastAsia="es-MX"/>
        </w:rPr>
        <w:t>medios de pago electrónicos;</w:t>
      </w:r>
    </w:p>
    <w:p w:rsidR="001E5C32" w:rsidRPr="001E5C32" w:rsidRDefault="001E5C32" w:rsidP="001E5C32">
      <w:pPr>
        <w:shd w:val="clear" w:color="auto" w:fill="FFFFFF"/>
        <w:spacing w:after="101" w:line="240" w:lineRule="auto"/>
        <w:ind w:firstLine="288"/>
        <w:jc w:val="both"/>
        <w:rPr>
          <w:rFonts w:ascii="Arial" w:eastAsia="Times New Roman" w:hAnsi="Arial" w:cs="Arial"/>
          <w:color w:val="2F2F2F"/>
          <w:sz w:val="18"/>
          <w:szCs w:val="18"/>
          <w:lang w:eastAsia="es-MX"/>
        </w:rPr>
      </w:pPr>
      <w:r w:rsidRPr="001E5C32">
        <w:rPr>
          <w:rFonts w:ascii="Arial" w:eastAsia="Times New Roman" w:hAnsi="Arial" w:cs="Arial"/>
          <w:color w:val="000000"/>
          <w:sz w:val="18"/>
          <w:szCs w:val="18"/>
          <w:lang w:eastAsia="es-MX"/>
        </w:rPr>
        <w:t>Que se estima conveniente dar continuidad al Sorteo "El Buen Fin" para el ejercicio fiscal de 2022 y que la entrega de los premios se lleve a cabo por conducto de las entidades financieras o entidades que emitan tarjetas al amparo de un titular de marca cuando se pueda identificar al tarjetahabiente titular, o bien, de las entidades participantes en redes de medios de disposición que provean de infraestructura o terminales punto de venta y de servicios a receptores de pagos con tarjetas de crédito o débito, en términos del contrato que hayan celebrado con la Cámara de Compensación para Pagos con Tarjetas y de acuerdo con las "Disposiciones de carácter general aplicables a las Redes de Medios de Disposición", publicadas en el Diario Oficial de la Federación el 11 de marzo de 2014, y modificadas mediante la "Resolución que modifica las Disposiciones de carácter general aplicables a las redes de medios de disposición", publicada en dicho órgano de difusión oficial el 2 de abril de 2015, emitidas por el Banco de México;</w:t>
      </w:r>
    </w:p>
    <w:p w:rsidR="001E5C32" w:rsidRPr="001E5C32" w:rsidRDefault="001E5C32" w:rsidP="001E5C32">
      <w:pPr>
        <w:shd w:val="clear" w:color="auto" w:fill="FFFFFF"/>
        <w:spacing w:after="101" w:line="240" w:lineRule="auto"/>
        <w:ind w:firstLine="288"/>
        <w:jc w:val="both"/>
        <w:rPr>
          <w:rFonts w:ascii="Arial" w:eastAsia="Times New Roman" w:hAnsi="Arial" w:cs="Arial"/>
          <w:color w:val="2F2F2F"/>
          <w:sz w:val="18"/>
          <w:szCs w:val="18"/>
          <w:lang w:eastAsia="es-MX"/>
        </w:rPr>
      </w:pPr>
      <w:r w:rsidRPr="001E5C32">
        <w:rPr>
          <w:rFonts w:ascii="Arial" w:eastAsia="Times New Roman" w:hAnsi="Arial" w:cs="Arial"/>
          <w:color w:val="000000"/>
          <w:sz w:val="18"/>
          <w:szCs w:val="18"/>
          <w:lang w:eastAsia="es-MX"/>
        </w:rPr>
        <w:t>Que es pertinente otorgar un estímulo fiscal a las entidades referidas en el párrafo anterior que decidan participar de conformidad con las reglas de carácter general y las bases del Sorteo "El Buen Fin" que emita el Servicio de Administración Tributaria (SAT), el cual consiste en permitir acreditar contra el impuesto sobre la renta, propio o el retenido a terceros por este impuesto, el monto que hayan entregado como premios a sus tarjetahabientes y a los contribuyentes personas físicas o morales que enajenen bienes o presten servicios y que hayan resultado ganadores en el sorteo que lleve a cabo el SAT;</w:t>
      </w:r>
    </w:p>
    <w:p w:rsidR="001E5C32" w:rsidRPr="001E5C32" w:rsidRDefault="001E5C32" w:rsidP="001E5C32">
      <w:pPr>
        <w:shd w:val="clear" w:color="auto" w:fill="FFFFFF"/>
        <w:spacing w:after="101" w:line="240" w:lineRule="auto"/>
        <w:ind w:firstLine="288"/>
        <w:jc w:val="both"/>
        <w:rPr>
          <w:rFonts w:ascii="Arial" w:eastAsia="Times New Roman" w:hAnsi="Arial" w:cs="Arial"/>
          <w:color w:val="2F2F2F"/>
          <w:sz w:val="18"/>
          <w:szCs w:val="18"/>
          <w:lang w:eastAsia="es-MX"/>
        </w:rPr>
      </w:pPr>
      <w:r w:rsidRPr="001E5C32">
        <w:rPr>
          <w:rFonts w:ascii="Arial" w:eastAsia="Times New Roman" w:hAnsi="Arial" w:cs="Arial"/>
          <w:color w:val="000000"/>
          <w:sz w:val="18"/>
          <w:szCs w:val="18"/>
          <w:lang w:eastAsia="es-MX"/>
        </w:rPr>
        <w:t>Que, para dar integralidad al Sorteo "El Buen Fin", promover la formalidad y el comercio de quienes enajenan bienes o prestan servicios, e incentivar el consumo en establecimientos formales, se entregarán premios a los contribuyentes personas físicas y morales ganadores por la enajenación de bienes o prestación de servicios, como micro o pequeños comercios, que hayan obtenido ingresos acumulables en el ejercicio inmediato anterior de hasta $5,000,000.00 (cinco millones de pesos 00/100 M.N.), siempre que se registren en el portal de internet de "El Buen Fin" para el ejercicio fiscal de 2022 y reciban, como medios de pago, tarjetas de crédito o débito;</w:t>
      </w:r>
    </w:p>
    <w:p w:rsidR="001E5C32" w:rsidRPr="001E5C32" w:rsidRDefault="001E5C32" w:rsidP="001E5C32">
      <w:pPr>
        <w:shd w:val="clear" w:color="auto" w:fill="FFFFFF"/>
        <w:spacing w:after="101" w:line="240" w:lineRule="auto"/>
        <w:ind w:firstLine="288"/>
        <w:jc w:val="both"/>
        <w:rPr>
          <w:rFonts w:ascii="Arial" w:eastAsia="Times New Roman" w:hAnsi="Arial" w:cs="Arial"/>
          <w:color w:val="2F2F2F"/>
          <w:sz w:val="18"/>
          <w:szCs w:val="18"/>
          <w:lang w:eastAsia="es-MX"/>
        </w:rPr>
      </w:pPr>
      <w:r w:rsidRPr="001E5C32">
        <w:rPr>
          <w:rFonts w:ascii="Arial" w:eastAsia="Times New Roman" w:hAnsi="Arial" w:cs="Arial"/>
          <w:color w:val="000000"/>
          <w:sz w:val="18"/>
          <w:szCs w:val="18"/>
          <w:lang w:eastAsia="es-MX"/>
        </w:rPr>
        <w:t>Que durante 2022 se han observado avances importantes en la actividad económica del país que propician día con día una mayor aproximación a las condiciones preexistentes a la pandemia, por lo que resulta relevante mantener y fomentar desde el Gobierno federal los mecanismos que sostengan estos avances, como es el caso del otorgamiento de estímulos fiscales para incentivar el uso de medios de pago electrónicos;</w:t>
      </w:r>
    </w:p>
    <w:p w:rsidR="001E5C32" w:rsidRPr="001E5C32" w:rsidRDefault="001E5C32" w:rsidP="001E5C32">
      <w:pPr>
        <w:shd w:val="clear" w:color="auto" w:fill="FFFFFF"/>
        <w:spacing w:after="101" w:line="240" w:lineRule="auto"/>
        <w:ind w:firstLine="288"/>
        <w:jc w:val="both"/>
        <w:rPr>
          <w:rFonts w:ascii="Arial" w:eastAsia="Times New Roman" w:hAnsi="Arial" w:cs="Arial"/>
          <w:color w:val="2F2F2F"/>
          <w:sz w:val="18"/>
          <w:szCs w:val="18"/>
          <w:lang w:eastAsia="es-MX"/>
        </w:rPr>
      </w:pPr>
      <w:r w:rsidRPr="001E5C32">
        <w:rPr>
          <w:rFonts w:ascii="Arial" w:eastAsia="Times New Roman" w:hAnsi="Arial" w:cs="Arial"/>
          <w:color w:val="000000"/>
          <w:sz w:val="18"/>
          <w:szCs w:val="18"/>
          <w:lang w:eastAsia="es-MX"/>
        </w:rPr>
        <w:lastRenderedPageBreak/>
        <w:t>Que, para la edición 2022, el Sorteo "El Buen Fin" comprenderá las operaciones de compra realizadas del 18 al 21 de noviembre de 2022, que cumplan con las bases, términos y condiciones de participación que se den a conocer en el portal de Internet del SAT;</w:t>
      </w:r>
    </w:p>
    <w:p w:rsidR="001E5C32" w:rsidRPr="001E5C32" w:rsidRDefault="001E5C32" w:rsidP="001E5C32">
      <w:pPr>
        <w:shd w:val="clear" w:color="auto" w:fill="FFFFFF"/>
        <w:spacing w:after="101" w:line="240" w:lineRule="auto"/>
        <w:ind w:firstLine="288"/>
        <w:jc w:val="both"/>
        <w:rPr>
          <w:rFonts w:ascii="Arial" w:eastAsia="Times New Roman" w:hAnsi="Arial" w:cs="Arial"/>
          <w:color w:val="2F2F2F"/>
          <w:sz w:val="18"/>
          <w:szCs w:val="18"/>
          <w:lang w:eastAsia="es-MX"/>
        </w:rPr>
      </w:pPr>
      <w:r w:rsidRPr="001E5C32">
        <w:rPr>
          <w:rFonts w:ascii="Arial" w:eastAsia="Times New Roman" w:hAnsi="Arial" w:cs="Arial"/>
          <w:color w:val="000000"/>
          <w:sz w:val="18"/>
          <w:szCs w:val="18"/>
          <w:lang w:eastAsia="es-MX"/>
        </w:rPr>
        <w:t>Que, con el fin de que los ganadores reciban el valor del premio sin retención alguna de impuesto y que ello no implique perjuicio a la recaudación de las entidades federativas y de los municipios por los impuestos de carácter local que, en su caso, tengan establecidos para gravar la obtención de premios, es necesario establecer que la Federación será quien pague, por cuenta del ganador del premio en el sorteo, el monto correspondiente a los impuestos locales, y</w:t>
      </w:r>
    </w:p>
    <w:p w:rsidR="001E5C32" w:rsidRPr="001E5C32" w:rsidRDefault="001E5C32" w:rsidP="001E5C32">
      <w:pPr>
        <w:shd w:val="clear" w:color="auto" w:fill="FFFFFF"/>
        <w:spacing w:after="101" w:line="240" w:lineRule="auto"/>
        <w:ind w:firstLine="288"/>
        <w:jc w:val="both"/>
        <w:rPr>
          <w:rFonts w:ascii="Arial" w:eastAsia="Times New Roman" w:hAnsi="Arial" w:cs="Arial"/>
          <w:color w:val="2F2F2F"/>
          <w:sz w:val="18"/>
          <w:szCs w:val="18"/>
          <w:lang w:eastAsia="es-MX"/>
        </w:rPr>
      </w:pPr>
      <w:r w:rsidRPr="001E5C32">
        <w:rPr>
          <w:rFonts w:ascii="Arial" w:eastAsia="Times New Roman" w:hAnsi="Arial" w:cs="Arial"/>
          <w:color w:val="000000"/>
          <w:sz w:val="18"/>
          <w:szCs w:val="18"/>
          <w:lang w:eastAsia="es-MX"/>
        </w:rPr>
        <w:t>Que la determinación de las personas ganadoras se realizará por medio del Sorteo "El Buen Fin" que al efecto organice el SAT, he tenido a bien expedir el siguiente</w:t>
      </w:r>
    </w:p>
    <w:p w:rsidR="001E5C32" w:rsidRPr="001E5C32" w:rsidRDefault="001E5C32" w:rsidP="001E5C3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E5C32">
        <w:rPr>
          <w:rFonts w:ascii="Times" w:eastAsia="Times New Roman" w:hAnsi="Times" w:cs="Times"/>
          <w:b/>
          <w:bCs/>
          <w:color w:val="2F2F2F"/>
          <w:sz w:val="18"/>
          <w:szCs w:val="18"/>
          <w:lang w:eastAsia="es-MX"/>
        </w:rPr>
        <w:t>DECRETO</w:t>
      </w:r>
    </w:p>
    <w:p w:rsidR="001E5C32" w:rsidRPr="001E5C32" w:rsidRDefault="001E5C32" w:rsidP="001E5C32">
      <w:pPr>
        <w:shd w:val="clear" w:color="auto" w:fill="FFFFFF"/>
        <w:spacing w:after="101" w:line="240" w:lineRule="auto"/>
        <w:ind w:firstLine="288"/>
        <w:jc w:val="both"/>
        <w:rPr>
          <w:rFonts w:ascii="Arial" w:eastAsia="Times New Roman" w:hAnsi="Arial" w:cs="Arial"/>
          <w:color w:val="2F2F2F"/>
          <w:sz w:val="18"/>
          <w:szCs w:val="18"/>
          <w:lang w:eastAsia="es-MX"/>
        </w:rPr>
      </w:pPr>
      <w:r w:rsidRPr="001E5C32">
        <w:rPr>
          <w:rFonts w:ascii="Arial" w:eastAsia="Times New Roman" w:hAnsi="Arial" w:cs="Arial"/>
          <w:b/>
          <w:bCs/>
          <w:color w:val="000000"/>
          <w:sz w:val="18"/>
          <w:szCs w:val="18"/>
          <w:lang w:eastAsia="es-MX"/>
        </w:rPr>
        <w:t>ARTÍCULO PRIMERO.</w:t>
      </w:r>
      <w:r w:rsidRPr="001E5C32">
        <w:rPr>
          <w:rFonts w:ascii="Arial" w:eastAsia="Times New Roman" w:hAnsi="Arial" w:cs="Arial"/>
          <w:color w:val="000000"/>
          <w:sz w:val="18"/>
          <w:szCs w:val="18"/>
          <w:lang w:eastAsia="es-MX"/>
        </w:rPr>
        <w:t> Se otorga un estímulo fiscal a las entidades financieras y demás entidades que emitan tarjetas al amparo de un titular de marca cuando se pueda identificar al tarjetahabiente titular, o bien, por conducto de las entidades participantes en redes de medios de disposición que provean de infraestructura o terminales punto de venta y de servicios a receptores de pagos con tarjetas de crédito o débito, en términos del contrato que hayan celebrado con la Cámara de Compensación para Pagos con Tarjetas, y de acuerdo con las "Disposiciones de carácter general aplicables a las Redes de Medios de Disposición", publicadas en el Diario Oficial de la Federación el 11 de marzo de 2014, y modificadas mediante la "Resolución que modifica las Disposiciones de carácter general aplicables a las redes de medios de disposición", publicada en dicho órgano de difusión oficial el 2 de abril de 2015, emitidas por el Banco de México.</w:t>
      </w:r>
    </w:p>
    <w:p w:rsidR="001E5C32" w:rsidRPr="001E5C32" w:rsidRDefault="001E5C32" w:rsidP="001E5C32">
      <w:pPr>
        <w:shd w:val="clear" w:color="auto" w:fill="FFFFFF"/>
        <w:spacing w:after="101" w:line="240" w:lineRule="auto"/>
        <w:ind w:firstLine="288"/>
        <w:jc w:val="both"/>
        <w:rPr>
          <w:rFonts w:ascii="Arial" w:eastAsia="Times New Roman" w:hAnsi="Arial" w:cs="Arial"/>
          <w:color w:val="2F2F2F"/>
          <w:sz w:val="18"/>
          <w:szCs w:val="18"/>
          <w:lang w:eastAsia="es-MX"/>
        </w:rPr>
      </w:pPr>
      <w:r w:rsidRPr="001E5C32">
        <w:rPr>
          <w:rFonts w:ascii="Arial" w:eastAsia="Times New Roman" w:hAnsi="Arial" w:cs="Arial"/>
          <w:color w:val="000000"/>
          <w:sz w:val="18"/>
          <w:szCs w:val="18"/>
          <w:lang w:eastAsia="es-MX"/>
        </w:rPr>
        <w:t>Dicho estímulo fiscal consiste en acreditar contra el impuesto sobre la renta, propio o el retenido a terceros por este impuesto, el monto que corresponda a la entrega de premios que efectúen dichas entidades, por cuenta del Gobierno federal, a las siguientes personas:</w:t>
      </w:r>
    </w:p>
    <w:p w:rsidR="001E5C32" w:rsidRPr="001E5C32" w:rsidRDefault="001E5C32" w:rsidP="001E5C32">
      <w:pPr>
        <w:shd w:val="clear" w:color="auto" w:fill="FFFFFF"/>
        <w:spacing w:after="101" w:line="240" w:lineRule="auto"/>
        <w:ind w:hanging="432"/>
        <w:jc w:val="both"/>
        <w:rPr>
          <w:rFonts w:ascii="Arial" w:eastAsia="Times New Roman" w:hAnsi="Arial" w:cs="Arial"/>
          <w:color w:val="2F2F2F"/>
          <w:sz w:val="18"/>
          <w:szCs w:val="18"/>
          <w:lang w:eastAsia="es-MX"/>
        </w:rPr>
      </w:pPr>
      <w:r w:rsidRPr="001E5C32">
        <w:rPr>
          <w:rFonts w:ascii="Arial" w:eastAsia="Times New Roman" w:hAnsi="Arial" w:cs="Arial"/>
          <w:b/>
          <w:bCs/>
          <w:color w:val="2F2F2F"/>
          <w:sz w:val="18"/>
          <w:szCs w:val="18"/>
          <w:lang w:eastAsia="es-MX"/>
        </w:rPr>
        <w:t>a)</w:t>
      </w:r>
      <w:r w:rsidRPr="001E5C32">
        <w:rPr>
          <w:rFonts w:ascii="Arial" w:eastAsia="Times New Roman" w:hAnsi="Arial" w:cs="Arial"/>
          <w:color w:val="2F2F2F"/>
          <w:sz w:val="18"/>
          <w:szCs w:val="18"/>
          <w:lang w:eastAsia="es-MX"/>
        </w:rPr>
        <w:t> </w:t>
      </w:r>
      <w:r w:rsidRPr="001E5C32">
        <w:rPr>
          <w:rFonts w:ascii="Arial" w:eastAsia="Times New Roman" w:hAnsi="Arial" w:cs="Arial"/>
          <w:color w:val="2F2F2F"/>
          <w:sz w:val="20"/>
          <w:szCs w:val="20"/>
          <w:lang w:eastAsia="es-MX"/>
        </w:rPr>
        <w:t>    </w:t>
      </w:r>
      <w:r w:rsidRPr="001E5C32">
        <w:rPr>
          <w:rFonts w:ascii="Arial" w:eastAsia="Times New Roman" w:hAnsi="Arial" w:cs="Arial"/>
          <w:color w:val="2F2F2F"/>
          <w:sz w:val="18"/>
          <w:szCs w:val="18"/>
          <w:lang w:eastAsia="es-MX"/>
        </w:rPr>
        <w:t>Tarjetahabientes personas físicas cuando hayan utilizado como medios de pago tarjetas de crédito o de débito en la adquisición de bienes o servicios durante el periodo del 18 al 21 de noviembre de 2022 a personas físicas o morales registradas en el portal de internet de "El Buen Fin" para el ejercicio fiscal de 2022, y siempre que los citados tarjetahabientes hayan resultado ganadores en el Sorteo "El Buen Fin" que lleve a cabo el Servicio de Administración Tributaria.</w:t>
      </w:r>
    </w:p>
    <w:p w:rsidR="001E5C32" w:rsidRPr="001E5C32" w:rsidRDefault="001E5C32" w:rsidP="001E5C32">
      <w:pPr>
        <w:shd w:val="clear" w:color="auto" w:fill="FFFFFF"/>
        <w:spacing w:after="101" w:line="240" w:lineRule="auto"/>
        <w:ind w:hanging="432"/>
        <w:jc w:val="both"/>
        <w:rPr>
          <w:rFonts w:ascii="Arial" w:eastAsia="Times New Roman" w:hAnsi="Arial" w:cs="Arial"/>
          <w:color w:val="2F2F2F"/>
          <w:sz w:val="18"/>
          <w:szCs w:val="18"/>
          <w:lang w:eastAsia="es-MX"/>
        </w:rPr>
      </w:pPr>
      <w:r w:rsidRPr="001E5C32">
        <w:rPr>
          <w:rFonts w:ascii="Arial" w:eastAsia="Times New Roman" w:hAnsi="Arial" w:cs="Arial"/>
          <w:b/>
          <w:bCs/>
          <w:color w:val="2F2F2F"/>
          <w:sz w:val="18"/>
          <w:szCs w:val="18"/>
          <w:lang w:eastAsia="es-MX"/>
        </w:rPr>
        <w:t>b)</w:t>
      </w:r>
      <w:r w:rsidRPr="001E5C32">
        <w:rPr>
          <w:rFonts w:ascii="Arial" w:eastAsia="Times New Roman" w:hAnsi="Arial" w:cs="Arial"/>
          <w:color w:val="2F2F2F"/>
          <w:sz w:val="18"/>
          <w:szCs w:val="18"/>
          <w:lang w:eastAsia="es-MX"/>
        </w:rPr>
        <w:t> </w:t>
      </w:r>
      <w:r w:rsidRPr="001E5C32">
        <w:rPr>
          <w:rFonts w:ascii="Arial" w:eastAsia="Times New Roman" w:hAnsi="Arial" w:cs="Arial"/>
          <w:color w:val="2F2F2F"/>
          <w:sz w:val="20"/>
          <w:szCs w:val="20"/>
          <w:lang w:eastAsia="es-MX"/>
        </w:rPr>
        <w:t>   </w:t>
      </w:r>
      <w:r w:rsidRPr="001E5C32">
        <w:rPr>
          <w:rFonts w:ascii="Arial" w:eastAsia="Times New Roman" w:hAnsi="Arial" w:cs="Arial"/>
          <w:color w:val="2F2F2F"/>
          <w:sz w:val="18"/>
          <w:szCs w:val="18"/>
          <w:lang w:eastAsia="es-MX"/>
        </w:rPr>
        <w:t>Personas físicas o morales que enajenen bienes o presten servicios y reciban como medios de pago tarjetas de crédito o de débito durante el periodo del 18 al 21 de noviembre de 2022, cuyos ingresos acumulables en el ejercicio inmediato anterior no hayan excedido de $5,000,000.00 (cinco millones de pesos 00/100 M.N.), siempre que se encuentren registradas en el portal de internet de "El Buen Fin" y hayan resultado ganadoras en el Sorteo "El Buen Fin" que lleve a cabo el Servicio de Administración Tributaria.</w:t>
      </w:r>
    </w:p>
    <w:p w:rsidR="001E5C32" w:rsidRPr="001E5C32" w:rsidRDefault="001E5C32" w:rsidP="001E5C32">
      <w:pPr>
        <w:shd w:val="clear" w:color="auto" w:fill="FFFFFF"/>
        <w:spacing w:after="101" w:line="240" w:lineRule="auto"/>
        <w:ind w:firstLine="288"/>
        <w:jc w:val="both"/>
        <w:rPr>
          <w:rFonts w:ascii="Arial" w:eastAsia="Times New Roman" w:hAnsi="Arial" w:cs="Arial"/>
          <w:color w:val="2F2F2F"/>
          <w:sz w:val="18"/>
          <w:szCs w:val="18"/>
          <w:lang w:eastAsia="es-MX"/>
        </w:rPr>
      </w:pPr>
      <w:r w:rsidRPr="001E5C32">
        <w:rPr>
          <w:rFonts w:ascii="Arial" w:eastAsia="Times New Roman" w:hAnsi="Arial" w:cs="Arial"/>
          <w:color w:val="000000"/>
          <w:sz w:val="18"/>
          <w:szCs w:val="18"/>
          <w:lang w:eastAsia="es-MX"/>
        </w:rPr>
        <w:t>El monto del estímulo fiscal corresponderá a aquellas cantidades que las entidades financieras y demás entidades a que se refiere el primer párrafo del presente artículo efectivamente entreguen a los tarjetahabientes ganadores a que se refiere el inciso a del presente artículo o, en su caso, a las personas físicas o morales ganadoras a que se refiere el inciso b de este artículo.</w:t>
      </w:r>
    </w:p>
    <w:p w:rsidR="001E5C32" w:rsidRPr="001E5C32" w:rsidRDefault="001E5C32" w:rsidP="001E5C32">
      <w:pPr>
        <w:shd w:val="clear" w:color="auto" w:fill="FFFFFF"/>
        <w:spacing w:after="101" w:line="240" w:lineRule="auto"/>
        <w:ind w:firstLine="288"/>
        <w:jc w:val="both"/>
        <w:rPr>
          <w:rFonts w:ascii="Arial" w:eastAsia="Times New Roman" w:hAnsi="Arial" w:cs="Arial"/>
          <w:color w:val="2F2F2F"/>
          <w:sz w:val="18"/>
          <w:szCs w:val="18"/>
          <w:lang w:eastAsia="es-MX"/>
        </w:rPr>
      </w:pPr>
      <w:r w:rsidRPr="001E5C32">
        <w:rPr>
          <w:rFonts w:ascii="Arial" w:eastAsia="Times New Roman" w:hAnsi="Arial" w:cs="Arial"/>
          <w:color w:val="000000"/>
          <w:sz w:val="18"/>
          <w:szCs w:val="18"/>
          <w:lang w:eastAsia="es-MX"/>
        </w:rPr>
        <w:t>La suma total del monto de los premios a entregar del Sorteo "El Buen Fin", por parte de las entidades financieras y demás entidades mencionadas en este artículo, a las personas mencionadas en los incisos a y b anteriores, de conformidad con los montos y los ganadores en el Sorteo "El Buen Fin" que lleve a cabo el Servicio de Administración Tributaria, no podrá exceder en su conjunto de $500</w:t>
      </w:r>
      <w:proofErr w:type="gramStart"/>
      <w:r w:rsidRPr="001E5C32">
        <w:rPr>
          <w:rFonts w:ascii="Arial" w:eastAsia="Times New Roman" w:hAnsi="Arial" w:cs="Arial"/>
          <w:color w:val="000000"/>
          <w:sz w:val="18"/>
          <w:szCs w:val="18"/>
          <w:lang w:eastAsia="es-MX"/>
        </w:rPr>
        <w:t>,000,000.00</w:t>
      </w:r>
      <w:proofErr w:type="gramEnd"/>
      <w:r w:rsidRPr="001E5C32">
        <w:rPr>
          <w:rFonts w:ascii="Arial" w:eastAsia="Times New Roman" w:hAnsi="Arial" w:cs="Arial"/>
          <w:color w:val="000000"/>
          <w:sz w:val="18"/>
          <w:szCs w:val="18"/>
          <w:lang w:eastAsia="es-MX"/>
        </w:rPr>
        <w:t xml:space="preserve"> (quinientos millones de pesos 00/100 M.N.).</w:t>
      </w:r>
    </w:p>
    <w:p w:rsidR="001E5C32" w:rsidRPr="001E5C32" w:rsidRDefault="001E5C32" w:rsidP="001E5C32">
      <w:pPr>
        <w:shd w:val="clear" w:color="auto" w:fill="FFFFFF"/>
        <w:spacing w:after="101" w:line="240" w:lineRule="auto"/>
        <w:ind w:firstLine="288"/>
        <w:jc w:val="both"/>
        <w:rPr>
          <w:rFonts w:ascii="Arial" w:eastAsia="Times New Roman" w:hAnsi="Arial" w:cs="Arial"/>
          <w:color w:val="2F2F2F"/>
          <w:sz w:val="18"/>
          <w:szCs w:val="18"/>
          <w:lang w:eastAsia="es-MX"/>
        </w:rPr>
      </w:pPr>
      <w:r w:rsidRPr="001E5C32">
        <w:rPr>
          <w:rFonts w:ascii="Arial" w:eastAsia="Times New Roman" w:hAnsi="Arial" w:cs="Arial"/>
          <w:b/>
          <w:bCs/>
          <w:color w:val="000000"/>
          <w:sz w:val="18"/>
          <w:szCs w:val="18"/>
          <w:lang w:eastAsia="es-MX"/>
        </w:rPr>
        <w:t>ARTÍCULO SEGUNDO. </w:t>
      </w:r>
      <w:r w:rsidRPr="001E5C32">
        <w:rPr>
          <w:rFonts w:ascii="Arial" w:eastAsia="Times New Roman" w:hAnsi="Arial" w:cs="Arial"/>
          <w:color w:val="000000"/>
          <w:sz w:val="18"/>
          <w:szCs w:val="18"/>
          <w:lang w:eastAsia="es-MX"/>
        </w:rPr>
        <w:t>Para acceder a los beneficios del estímulo fiscal a que se refiere el presente decreto, las entidades financieras y demás entidades señaladas en el artículo que antecede deberán apegarse a las bases y condiciones de participación que establezca el Servicio de Administración Tributaria para el Sorteo "El Buen Fin", de conformidad con el permiso que al efecto emita la Secretaría de Gobernación. Asimismo, pondrán a disposición de dicho órgano administrativo desconcentrado la información necesaria para la realización de dicho sorteo y para la verificación de la entrega de los premios.</w:t>
      </w:r>
    </w:p>
    <w:p w:rsidR="001E5C32" w:rsidRPr="001E5C32" w:rsidRDefault="001E5C32" w:rsidP="001E5C32">
      <w:pPr>
        <w:shd w:val="clear" w:color="auto" w:fill="FFFFFF"/>
        <w:spacing w:after="101" w:line="240" w:lineRule="auto"/>
        <w:ind w:firstLine="288"/>
        <w:jc w:val="both"/>
        <w:rPr>
          <w:rFonts w:ascii="Arial" w:eastAsia="Times New Roman" w:hAnsi="Arial" w:cs="Arial"/>
          <w:color w:val="2F2F2F"/>
          <w:sz w:val="18"/>
          <w:szCs w:val="18"/>
          <w:lang w:eastAsia="es-MX"/>
        </w:rPr>
      </w:pPr>
      <w:r w:rsidRPr="001E5C32">
        <w:rPr>
          <w:rFonts w:ascii="Arial" w:eastAsia="Times New Roman" w:hAnsi="Arial" w:cs="Arial"/>
          <w:color w:val="000000"/>
          <w:sz w:val="18"/>
          <w:szCs w:val="18"/>
          <w:lang w:eastAsia="es-MX"/>
        </w:rPr>
        <w:t>La información vinculada con los ganadores, proporcionada por las entidades financieras y demás entidades a que se refiere el artículo Primero del presente decreto, estará sujeta a lo dispuesto en el tercer párrafo del artículo 8 de la Ley Federal de Protección de Datos Personales en Posesión de los Particulares, con base en el aviso de privacidad que para tales efectos se establezca en las bases del Sorteo "El Buen Fin".</w:t>
      </w:r>
    </w:p>
    <w:p w:rsidR="001E5C32" w:rsidRPr="001E5C32" w:rsidRDefault="001E5C32" w:rsidP="001E5C32">
      <w:pPr>
        <w:shd w:val="clear" w:color="auto" w:fill="FFFFFF"/>
        <w:spacing w:after="101" w:line="240" w:lineRule="auto"/>
        <w:ind w:firstLine="288"/>
        <w:jc w:val="both"/>
        <w:rPr>
          <w:rFonts w:ascii="Arial" w:eastAsia="Times New Roman" w:hAnsi="Arial" w:cs="Arial"/>
          <w:color w:val="2F2F2F"/>
          <w:sz w:val="18"/>
          <w:szCs w:val="18"/>
          <w:lang w:eastAsia="es-MX"/>
        </w:rPr>
      </w:pPr>
      <w:r w:rsidRPr="001E5C32">
        <w:rPr>
          <w:rFonts w:ascii="Arial" w:eastAsia="Times New Roman" w:hAnsi="Arial" w:cs="Arial"/>
          <w:b/>
          <w:bCs/>
          <w:color w:val="000000"/>
          <w:sz w:val="18"/>
          <w:szCs w:val="18"/>
          <w:lang w:eastAsia="es-MX"/>
        </w:rPr>
        <w:t>ARTÍCULO TERCERO.</w:t>
      </w:r>
      <w:r w:rsidRPr="001E5C32">
        <w:rPr>
          <w:rFonts w:ascii="Arial" w:eastAsia="Times New Roman" w:hAnsi="Arial" w:cs="Arial"/>
          <w:color w:val="000000"/>
          <w:sz w:val="18"/>
          <w:szCs w:val="18"/>
          <w:lang w:eastAsia="es-MX"/>
        </w:rPr>
        <w:t xml:space="preserve"> Las entidades financieras y demás entidades a que se refiere el artículo Primero del presente decreto podrán acreditar el estímulo fiscal otorgado contra los pagos provisionales, </w:t>
      </w:r>
      <w:r w:rsidRPr="001E5C32">
        <w:rPr>
          <w:rFonts w:ascii="Arial" w:eastAsia="Times New Roman" w:hAnsi="Arial" w:cs="Arial"/>
          <w:color w:val="000000"/>
          <w:sz w:val="18"/>
          <w:szCs w:val="18"/>
          <w:lang w:eastAsia="es-MX"/>
        </w:rPr>
        <w:lastRenderedPageBreak/>
        <w:t>definitivos y anuales del impuesto sobre la renta, propio o el retenido a terceros por este impuesto, hasta agotarlo, a partir del mes siguiente a aquel en que realicen la entrega de los premios a cada ganador, siempre y cuando hayan entregado al Servicio de Administración Tributaria la información que dicho órgano administrativo desconcentrado determine mediante reglas de carácter general.</w:t>
      </w:r>
    </w:p>
    <w:p w:rsidR="001E5C32" w:rsidRPr="001E5C32" w:rsidRDefault="001E5C32" w:rsidP="001E5C32">
      <w:pPr>
        <w:shd w:val="clear" w:color="auto" w:fill="FFFFFF"/>
        <w:spacing w:after="101" w:line="240" w:lineRule="auto"/>
        <w:ind w:firstLine="288"/>
        <w:jc w:val="both"/>
        <w:rPr>
          <w:rFonts w:ascii="Arial" w:eastAsia="Times New Roman" w:hAnsi="Arial" w:cs="Arial"/>
          <w:color w:val="2F2F2F"/>
          <w:sz w:val="18"/>
          <w:szCs w:val="18"/>
          <w:lang w:eastAsia="es-MX"/>
        </w:rPr>
      </w:pPr>
      <w:r w:rsidRPr="001E5C32">
        <w:rPr>
          <w:rFonts w:ascii="Arial" w:eastAsia="Times New Roman" w:hAnsi="Arial" w:cs="Arial"/>
          <w:b/>
          <w:bCs/>
          <w:color w:val="000000"/>
          <w:sz w:val="18"/>
          <w:szCs w:val="18"/>
          <w:lang w:eastAsia="es-MX"/>
        </w:rPr>
        <w:t>ARTÍCULO CUARTO.</w:t>
      </w:r>
      <w:r w:rsidRPr="001E5C32">
        <w:rPr>
          <w:rFonts w:ascii="Arial" w:eastAsia="Times New Roman" w:hAnsi="Arial" w:cs="Arial"/>
          <w:color w:val="000000"/>
          <w:sz w:val="18"/>
          <w:szCs w:val="18"/>
          <w:lang w:eastAsia="es-MX"/>
        </w:rPr>
        <w:t> El monto de los impuestos estatales que se genere por la obtención de los premios del sorteo que lleve a cabo el Servicio de Administración Tributaria a que se refiere el presente decreto será cubierto por la Federación a la entidad federativa en donde se entregue el premio correspondiente, por medio del procedimiento de compensación permanente de fondos a que se refiere el segundo párrafo del artículo 15 de la Ley de Coordinación Fiscal y establecido en los convenios de colaboración administrativa en materia fiscal federal que tienen celebrados las entidades federativas adheridas al Sistema Nacional de Coordinación Fiscal.</w:t>
      </w:r>
    </w:p>
    <w:p w:rsidR="001E5C32" w:rsidRPr="001E5C32" w:rsidRDefault="001E5C32" w:rsidP="001E5C32">
      <w:pPr>
        <w:shd w:val="clear" w:color="auto" w:fill="FFFFFF"/>
        <w:spacing w:after="101" w:line="240" w:lineRule="auto"/>
        <w:ind w:firstLine="288"/>
        <w:jc w:val="both"/>
        <w:rPr>
          <w:rFonts w:ascii="Arial" w:eastAsia="Times New Roman" w:hAnsi="Arial" w:cs="Arial"/>
          <w:color w:val="2F2F2F"/>
          <w:sz w:val="18"/>
          <w:szCs w:val="18"/>
          <w:lang w:eastAsia="es-MX"/>
        </w:rPr>
      </w:pPr>
      <w:r w:rsidRPr="001E5C32">
        <w:rPr>
          <w:rFonts w:ascii="Arial" w:eastAsia="Times New Roman" w:hAnsi="Arial" w:cs="Arial"/>
          <w:color w:val="000000"/>
          <w:sz w:val="18"/>
          <w:szCs w:val="18"/>
          <w:lang w:eastAsia="es-MX"/>
        </w:rPr>
        <w:t>La Federación cubrirá a los municipios, por conducto de la entidad federativa en donde se entregue el premio respectivo, las cantidades que correspondan por la aplicación del impuesto municipal a la obtención de premios, de conformidad con lo previsto en el presente artículo.</w:t>
      </w:r>
    </w:p>
    <w:p w:rsidR="001E5C32" w:rsidRPr="001E5C32" w:rsidRDefault="001E5C32" w:rsidP="001E5C32">
      <w:pPr>
        <w:shd w:val="clear" w:color="auto" w:fill="FFFFFF"/>
        <w:spacing w:after="101" w:line="240" w:lineRule="auto"/>
        <w:ind w:firstLine="288"/>
        <w:jc w:val="both"/>
        <w:rPr>
          <w:rFonts w:ascii="Arial" w:eastAsia="Times New Roman" w:hAnsi="Arial" w:cs="Arial"/>
          <w:color w:val="2F2F2F"/>
          <w:sz w:val="18"/>
          <w:szCs w:val="18"/>
          <w:lang w:eastAsia="es-MX"/>
        </w:rPr>
      </w:pPr>
      <w:r w:rsidRPr="001E5C32">
        <w:rPr>
          <w:rFonts w:ascii="Arial" w:eastAsia="Times New Roman" w:hAnsi="Arial" w:cs="Arial"/>
          <w:color w:val="000000"/>
          <w:sz w:val="18"/>
          <w:szCs w:val="18"/>
          <w:lang w:eastAsia="es-MX"/>
        </w:rPr>
        <w:t>La Secretaría de Hacienda y Crédito Público informará a la entidad federativa los montos que le correspondan a esta y, en su caso, a sus municipios, derivados de la aplicación de sus respectivos impuestos locales a la obtención de los premios, de conformidad con las reglas de carácter general que establezca el Servicio de Administración Tributaria para tales efectos.</w:t>
      </w:r>
    </w:p>
    <w:p w:rsidR="001E5C32" w:rsidRPr="001E5C32" w:rsidRDefault="001E5C32" w:rsidP="001E5C32">
      <w:pPr>
        <w:shd w:val="clear" w:color="auto" w:fill="FFFFFF"/>
        <w:spacing w:after="101" w:line="240" w:lineRule="auto"/>
        <w:ind w:firstLine="288"/>
        <w:jc w:val="both"/>
        <w:rPr>
          <w:rFonts w:ascii="Arial" w:eastAsia="Times New Roman" w:hAnsi="Arial" w:cs="Arial"/>
          <w:color w:val="2F2F2F"/>
          <w:sz w:val="18"/>
          <w:szCs w:val="18"/>
          <w:lang w:eastAsia="es-MX"/>
        </w:rPr>
      </w:pPr>
      <w:r w:rsidRPr="001E5C32">
        <w:rPr>
          <w:rFonts w:ascii="Arial" w:eastAsia="Times New Roman" w:hAnsi="Arial" w:cs="Arial"/>
          <w:b/>
          <w:bCs/>
          <w:color w:val="000000"/>
          <w:sz w:val="18"/>
          <w:szCs w:val="18"/>
          <w:lang w:eastAsia="es-MX"/>
        </w:rPr>
        <w:t>ARTÍCULO QUINTO. </w:t>
      </w:r>
      <w:r w:rsidRPr="001E5C32">
        <w:rPr>
          <w:rFonts w:ascii="Arial" w:eastAsia="Times New Roman" w:hAnsi="Arial" w:cs="Arial"/>
          <w:color w:val="000000"/>
          <w:sz w:val="18"/>
          <w:szCs w:val="18"/>
          <w:lang w:eastAsia="es-MX"/>
        </w:rPr>
        <w:t>Para efectos del estímulo fiscal previsto en este decreto, se exime a los beneficiarios del mismo de la obligación de presentar el aviso a que se refiere el artículo 25, primer párrafo, del Código Fiscal de la Federación.</w:t>
      </w:r>
    </w:p>
    <w:p w:rsidR="001E5C32" w:rsidRPr="001E5C32" w:rsidRDefault="001E5C32" w:rsidP="001E5C32">
      <w:pPr>
        <w:shd w:val="clear" w:color="auto" w:fill="FFFFFF"/>
        <w:spacing w:after="101" w:line="240" w:lineRule="auto"/>
        <w:ind w:firstLine="288"/>
        <w:jc w:val="both"/>
        <w:rPr>
          <w:rFonts w:ascii="Arial" w:eastAsia="Times New Roman" w:hAnsi="Arial" w:cs="Arial"/>
          <w:color w:val="2F2F2F"/>
          <w:sz w:val="18"/>
          <w:szCs w:val="18"/>
          <w:lang w:eastAsia="es-MX"/>
        </w:rPr>
      </w:pPr>
      <w:r w:rsidRPr="001E5C32">
        <w:rPr>
          <w:rFonts w:ascii="Arial" w:eastAsia="Times New Roman" w:hAnsi="Arial" w:cs="Arial"/>
          <w:b/>
          <w:bCs/>
          <w:color w:val="000000"/>
          <w:sz w:val="18"/>
          <w:szCs w:val="18"/>
          <w:lang w:eastAsia="es-MX"/>
        </w:rPr>
        <w:t>ARTÍCULO SEXTO.</w:t>
      </w:r>
      <w:r w:rsidRPr="001E5C32">
        <w:rPr>
          <w:rFonts w:ascii="Arial" w:eastAsia="Times New Roman" w:hAnsi="Arial" w:cs="Arial"/>
          <w:color w:val="000000"/>
          <w:sz w:val="18"/>
          <w:szCs w:val="18"/>
          <w:lang w:eastAsia="es-MX"/>
        </w:rPr>
        <w:t> El estímulo fiscal a que se refiere el presente decreto y el monto de los premios que, derivado del Sorteo "El Buen Fin", se entreguen a las personas mencionadas en los incisos a y b del artículo Primero del presente instrumento, no se considerarán ingresos acumulables para los efectos del impuesto sobre la renta.</w:t>
      </w:r>
    </w:p>
    <w:p w:rsidR="001E5C32" w:rsidRPr="001E5C32" w:rsidRDefault="001E5C32" w:rsidP="001E5C32">
      <w:pPr>
        <w:shd w:val="clear" w:color="auto" w:fill="FFFFFF"/>
        <w:spacing w:after="101" w:line="240" w:lineRule="auto"/>
        <w:ind w:firstLine="288"/>
        <w:jc w:val="both"/>
        <w:rPr>
          <w:rFonts w:ascii="Arial" w:eastAsia="Times New Roman" w:hAnsi="Arial" w:cs="Arial"/>
          <w:color w:val="2F2F2F"/>
          <w:sz w:val="18"/>
          <w:szCs w:val="18"/>
          <w:lang w:eastAsia="es-MX"/>
        </w:rPr>
      </w:pPr>
      <w:r w:rsidRPr="001E5C32">
        <w:rPr>
          <w:rFonts w:ascii="Arial" w:eastAsia="Times New Roman" w:hAnsi="Arial" w:cs="Arial"/>
          <w:b/>
          <w:bCs/>
          <w:color w:val="000000"/>
          <w:sz w:val="18"/>
          <w:szCs w:val="18"/>
          <w:lang w:eastAsia="es-MX"/>
        </w:rPr>
        <w:t>ARTÍCULO SÉPTIMO.</w:t>
      </w:r>
      <w:r w:rsidRPr="001E5C32">
        <w:rPr>
          <w:rFonts w:ascii="Arial" w:eastAsia="Times New Roman" w:hAnsi="Arial" w:cs="Arial"/>
          <w:color w:val="000000"/>
          <w:sz w:val="18"/>
          <w:szCs w:val="18"/>
          <w:lang w:eastAsia="es-MX"/>
        </w:rPr>
        <w:t> La aplicación del estímulo fiscal establecido en el presente decreto no dará lugar a devolución ni compensación alguna.</w:t>
      </w:r>
    </w:p>
    <w:p w:rsidR="001E5C32" w:rsidRPr="001E5C32" w:rsidRDefault="001E5C32" w:rsidP="001E5C32">
      <w:pPr>
        <w:shd w:val="clear" w:color="auto" w:fill="FFFFFF"/>
        <w:spacing w:after="101" w:line="240" w:lineRule="auto"/>
        <w:ind w:firstLine="288"/>
        <w:jc w:val="both"/>
        <w:rPr>
          <w:rFonts w:ascii="Arial" w:eastAsia="Times New Roman" w:hAnsi="Arial" w:cs="Arial"/>
          <w:color w:val="2F2F2F"/>
          <w:sz w:val="18"/>
          <w:szCs w:val="18"/>
          <w:lang w:eastAsia="es-MX"/>
        </w:rPr>
      </w:pPr>
      <w:r w:rsidRPr="001E5C32">
        <w:rPr>
          <w:rFonts w:ascii="Arial" w:eastAsia="Times New Roman" w:hAnsi="Arial" w:cs="Arial"/>
          <w:b/>
          <w:bCs/>
          <w:color w:val="000000"/>
          <w:sz w:val="18"/>
          <w:szCs w:val="18"/>
          <w:lang w:eastAsia="es-MX"/>
        </w:rPr>
        <w:t>ARTÍCULO OCTAVO.</w:t>
      </w:r>
      <w:r w:rsidRPr="001E5C32">
        <w:rPr>
          <w:rFonts w:ascii="Arial" w:eastAsia="Times New Roman" w:hAnsi="Arial" w:cs="Arial"/>
          <w:color w:val="000000"/>
          <w:sz w:val="18"/>
          <w:szCs w:val="18"/>
          <w:lang w:eastAsia="es-MX"/>
        </w:rPr>
        <w:t> El Servicio de Administración Tributaria emitirá las reglas de carácter general necesarias para la correcta y debida aplicación del presente decreto, así como las bases para la realización del sorteo y condiciones de participación.</w:t>
      </w:r>
    </w:p>
    <w:p w:rsidR="001E5C32" w:rsidRPr="001E5C32" w:rsidRDefault="001E5C32" w:rsidP="001E5C3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E5C32">
        <w:rPr>
          <w:rFonts w:ascii="Times" w:eastAsia="Times New Roman" w:hAnsi="Times" w:cs="Times"/>
          <w:b/>
          <w:bCs/>
          <w:color w:val="2F2F2F"/>
          <w:sz w:val="18"/>
          <w:szCs w:val="18"/>
          <w:lang w:eastAsia="es-MX"/>
        </w:rPr>
        <w:t>TRANSITORIO</w:t>
      </w:r>
    </w:p>
    <w:p w:rsidR="001E5C32" w:rsidRPr="001E5C32" w:rsidRDefault="001E5C32" w:rsidP="001E5C32">
      <w:pPr>
        <w:shd w:val="clear" w:color="auto" w:fill="FFFFFF"/>
        <w:spacing w:after="101" w:line="240" w:lineRule="auto"/>
        <w:ind w:firstLine="288"/>
        <w:jc w:val="both"/>
        <w:rPr>
          <w:rFonts w:ascii="Arial" w:eastAsia="Times New Roman" w:hAnsi="Arial" w:cs="Arial"/>
          <w:color w:val="2F2F2F"/>
          <w:sz w:val="18"/>
          <w:szCs w:val="18"/>
          <w:lang w:eastAsia="es-MX"/>
        </w:rPr>
      </w:pPr>
      <w:r w:rsidRPr="001E5C32">
        <w:rPr>
          <w:rFonts w:ascii="Arial" w:eastAsia="Times New Roman" w:hAnsi="Arial" w:cs="Arial"/>
          <w:b/>
          <w:bCs/>
          <w:color w:val="000000"/>
          <w:sz w:val="18"/>
          <w:szCs w:val="18"/>
          <w:lang w:eastAsia="es-MX"/>
        </w:rPr>
        <w:t>ÚNICO.</w:t>
      </w:r>
      <w:r w:rsidRPr="001E5C32">
        <w:rPr>
          <w:rFonts w:ascii="Arial" w:eastAsia="Times New Roman" w:hAnsi="Arial" w:cs="Arial"/>
          <w:color w:val="000000"/>
          <w:sz w:val="18"/>
          <w:szCs w:val="18"/>
          <w:lang w:eastAsia="es-MX"/>
        </w:rPr>
        <w:t> El presente decreto entrará en vigor al día siguiente de su publicación en el Diario Oficial de la Federación, y concluirá su vigencia el 31 de diciembre de 2023.</w:t>
      </w:r>
    </w:p>
    <w:p w:rsidR="001E5C32" w:rsidRPr="001E5C32" w:rsidRDefault="001E5C32" w:rsidP="001E5C32">
      <w:pPr>
        <w:shd w:val="clear" w:color="auto" w:fill="FFFFFF"/>
        <w:spacing w:after="101" w:line="240" w:lineRule="auto"/>
        <w:ind w:firstLine="288"/>
        <w:jc w:val="both"/>
        <w:rPr>
          <w:rFonts w:ascii="Arial" w:eastAsia="Times New Roman" w:hAnsi="Arial" w:cs="Arial"/>
          <w:color w:val="2F2F2F"/>
          <w:sz w:val="18"/>
          <w:szCs w:val="18"/>
          <w:lang w:eastAsia="es-MX"/>
        </w:rPr>
      </w:pPr>
      <w:r w:rsidRPr="001E5C32">
        <w:rPr>
          <w:rFonts w:ascii="Arial" w:eastAsia="Times New Roman" w:hAnsi="Arial" w:cs="Arial"/>
          <w:color w:val="000000"/>
          <w:sz w:val="18"/>
          <w:szCs w:val="18"/>
          <w:lang w:eastAsia="es-MX"/>
        </w:rPr>
        <w:t>Dado en la residencia del Poder Ejecutivo Federal, en Ciudad de México, a 21 de octubre de 2022.- </w:t>
      </w:r>
      <w:r w:rsidRPr="001E5C32">
        <w:rPr>
          <w:rFonts w:ascii="Arial" w:eastAsia="Times New Roman" w:hAnsi="Arial" w:cs="Arial"/>
          <w:b/>
          <w:bCs/>
          <w:color w:val="2F2F2F"/>
          <w:sz w:val="18"/>
          <w:szCs w:val="18"/>
          <w:lang w:eastAsia="es-MX"/>
        </w:rPr>
        <w:t>Andrés Manuel López Obrador</w:t>
      </w:r>
      <w:r w:rsidRPr="001E5C32">
        <w:rPr>
          <w:rFonts w:ascii="Arial" w:eastAsia="Times New Roman" w:hAnsi="Arial" w:cs="Arial"/>
          <w:color w:val="2F2F2F"/>
          <w:sz w:val="18"/>
          <w:szCs w:val="18"/>
          <w:lang w:eastAsia="es-MX"/>
        </w:rPr>
        <w:t>.- Rúbrica.- El Secretario de Hacienda y Crédito Público, </w:t>
      </w:r>
      <w:r w:rsidRPr="001E5C32">
        <w:rPr>
          <w:rFonts w:ascii="Arial" w:eastAsia="Times New Roman" w:hAnsi="Arial" w:cs="Arial"/>
          <w:b/>
          <w:bCs/>
          <w:color w:val="2F2F2F"/>
          <w:sz w:val="18"/>
          <w:szCs w:val="18"/>
          <w:lang w:eastAsia="es-MX"/>
        </w:rPr>
        <w:t>Rogelio Eduardo Ramírez de la O</w:t>
      </w:r>
      <w:r w:rsidRPr="001E5C32">
        <w:rPr>
          <w:rFonts w:ascii="Arial" w:eastAsia="Times New Roman" w:hAnsi="Arial" w:cs="Arial"/>
          <w:color w:val="2F2F2F"/>
          <w:sz w:val="18"/>
          <w:szCs w:val="18"/>
          <w:lang w:eastAsia="es-MX"/>
        </w:rPr>
        <w:t>.- Rúbrica.</w:t>
      </w:r>
    </w:p>
    <w:p w:rsidR="001E5C32" w:rsidRDefault="001E5C32" w:rsidP="001E5C32">
      <w:pPr>
        <w:jc w:val="both"/>
      </w:pPr>
    </w:p>
    <w:sectPr w:rsidR="001E5C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C32"/>
    <w:rsid w:val="001E5C32"/>
    <w:rsid w:val="00701CCF"/>
    <w:rsid w:val="00BC60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C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C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402328">
      <w:bodyDiv w:val="1"/>
      <w:marLeft w:val="0"/>
      <w:marRight w:val="0"/>
      <w:marTop w:val="0"/>
      <w:marBottom w:val="0"/>
      <w:divBdr>
        <w:top w:val="none" w:sz="0" w:space="0" w:color="auto"/>
        <w:left w:val="none" w:sz="0" w:space="0" w:color="auto"/>
        <w:bottom w:val="none" w:sz="0" w:space="0" w:color="auto"/>
        <w:right w:val="none" w:sz="0" w:space="0" w:color="auto"/>
      </w:divBdr>
      <w:divsChild>
        <w:div w:id="1401096253">
          <w:marLeft w:val="0"/>
          <w:marRight w:val="0"/>
          <w:marTop w:val="0"/>
          <w:marBottom w:val="101"/>
          <w:divBdr>
            <w:top w:val="none" w:sz="0" w:space="0" w:color="auto"/>
            <w:left w:val="none" w:sz="0" w:space="0" w:color="auto"/>
            <w:bottom w:val="none" w:sz="0" w:space="0" w:color="auto"/>
            <w:right w:val="none" w:sz="0" w:space="0" w:color="auto"/>
          </w:divBdr>
        </w:div>
        <w:div w:id="411046359">
          <w:marLeft w:val="0"/>
          <w:marRight w:val="0"/>
          <w:marTop w:val="101"/>
          <w:marBottom w:val="101"/>
          <w:divBdr>
            <w:top w:val="none" w:sz="0" w:space="0" w:color="auto"/>
            <w:left w:val="none" w:sz="0" w:space="0" w:color="auto"/>
            <w:bottom w:val="none" w:sz="0" w:space="0" w:color="auto"/>
            <w:right w:val="none" w:sz="0" w:space="0" w:color="auto"/>
          </w:divBdr>
        </w:div>
        <w:div w:id="1894777195">
          <w:marLeft w:val="0"/>
          <w:marRight w:val="0"/>
          <w:marTop w:val="0"/>
          <w:marBottom w:val="101"/>
          <w:divBdr>
            <w:top w:val="none" w:sz="0" w:space="0" w:color="auto"/>
            <w:left w:val="none" w:sz="0" w:space="0" w:color="auto"/>
            <w:bottom w:val="none" w:sz="0" w:space="0" w:color="auto"/>
            <w:right w:val="none" w:sz="0" w:space="0" w:color="auto"/>
          </w:divBdr>
        </w:div>
        <w:div w:id="1920364044">
          <w:marLeft w:val="0"/>
          <w:marRight w:val="0"/>
          <w:marTop w:val="0"/>
          <w:marBottom w:val="101"/>
          <w:divBdr>
            <w:top w:val="none" w:sz="0" w:space="0" w:color="auto"/>
            <w:left w:val="none" w:sz="0" w:space="0" w:color="auto"/>
            <w:bottom w:val="none" w:sz="0" w:space="0" w:color="auto"/>
            <w:right w:val="none" w:sz="0" w:space="0" w:color="auto"/>
          </w:divBdr>
        </w:div>
        <w:div w:id="1973946520">
          <w:marLeft w:val="0"/>
          <w:marRight w:val="0"/>
          <w:marTop w:val="0"/>
          <w:marBottom w:val="101"/>
          <w:divBdr>
            <w:top w:val="none" w:sz="0" w:space="0" w:color="auto"/>
            <w:left w:val="none" w:sz="0" w:space="0" w:color="auto"/>
            <w:bottom w:val="none" w:sz="0" w:space="0" w:color="auto"/>
            <w:right w:val="none" w:sz="0" w:space="0" w:color="auto"/>
          </w:divBdr>
        </w:div>
        <w:div w:id="1247836385">
          <w:marLeft w:val="0"/>
          <w:marRight w:val="0"/>
          <w:marTop w:val="0"/>
          <w:marBottom w:val="101"/>
          <w:divBdr>
            <w:top w:val="none" w:sz="0" w:space="0" w:color="auto"/>
            <w:left w:val="none" w:sz="0" w:space="0" w:color="auto"/>
            <w:bottom w:val="none" w:sz="0" w:space="0" w:color="auto"/>
            <w:right w:val="none" w:sz="0" w:space="0" w:color="auto"/>
          </w:divBdr>
        </w:div>
        <w:div w:id="2041469271">
          <w:marLeft w:val="0"/>
          <w:marRight w:val="0"/>
          <w:marTop w:val="0"/>
          <w:marBottom w:val="101"/>
          <w:divBdr>
            <w:top w:val="none" w:sz="0" w:space="0" w:color="auto"/>
            <w:left w:val="none" w:sz="0" w:space="0" w:color="auto"/>
            <w:bottom w:val="none" w:sz="0" w:space="0" w:color="auto"/>
            <w:right w:val="none" w:sz="0" w:space="0" w:color="auto"/>
          </w:divBdr>
        </w:div>
        <w:div w:id="1999771918">
          <w:marLeft w:val="0"/>
          <w:marRight w:val="0"/>
          <w:marTop w:val="0"/>
          <w:marBottom w:val="101"/>
          <w:divBdr>
            <w:top w:val="none" w:sz="0" w:space="0" w:color="auto"/>
            <w:left w:val="none" w:sz="0" w:space="0" w:color="auto"/>
            <w:bottom w:val="none" w:sz="0" w:space="0" w:color="auto"/>
            <w:right w:val="none" w:sz="0" w:space="0" w:color="auto"/>
          </w:divBdr>
        </w:div>
        <w:div w:id="1318877461">
          <w:marLeft w:val="0"/>
          <w:marRight w:val="0"/>
          <w:marTop w:val="0"/>
          <w:marBottom w:val="101"/>
          <w:divBdr>
            <w:top w:val="none" w:sz="0" w:space="0" w:color="auto"/>
            <w:left w:val="none" w:sz="0" w:space="0" w:color="auto"/>
            <w:bottom w:val="none" w:sz="0" w:space="0" w:color="auto"/>
            <w:right w:val="none" w:sz="0" w:space="0" w:color="auto"/>
          </w:divBdr>
        </w:div>
        <w:div w:id="1365593040">
          <w:marLeft w:val="0"/>
          <w:marRight w:val="0"/>
          <w:marTop w:val="0"/>
          <w:marBottom w:val="101"/>
          <w:divBdr>
            <w:top w:val="none" w:sz="0" w:space="0" w:color="auto"/>
            <w:left w:val="none" w:sz="0" w:space="0" w:color="auto"/>
            <w:bottom w:val="none" w:sz="0" w:space="0" w:color="auto"/>
            <w:right w:val="none" w:sz="0" w:space="0" w:color="auto"/>
          </w:divBdr>
        </w:div>
        <w:div w:id="54594108">
          <w:marLeft w:val="0"/>
          <w:marRight w:val="0"/>
          <w:marTop w:val="0"/>
          <w:marBottom w:val="101"/>
          <w:divBdr>
            <w:top w:val="none" w:sz="0" w:space="0" w:color="auto"/>
            <w:left w:val="none" w:sz="0" w:space="0" w:color="auto"/>
            <w:bottom w:val="none" w:sz="0" w:space="0" w:color="auto"/>
            <w:right w:val="none" w:sz="0" w:space="0" w:color="auto"/>
          </w:divBdr>
        </w:div>
        <w:div w:id="854461502">
          <w:marLeft w:val="0"/>
          <w:marRight w:val="0"/>
          <w:marTop w:val="0"/>
          <w:marBottom w:val="101"/>
          <w:divBdr>
            <w:top w:val="none" w:sz="0" w:space="0" w:color="auto"/>
            <w:left w:val="none" w:sz="0" w:space="0" w:color="auto"/>
            <w:bottom w:val="none" w:sz="0" w:space="0" w:color="auto"/>
            <w:right w:val="none" w:sz="0" w:space="0" w:color="auto"/>
          </w:divBdr>
        </w:div>
        <w:div w:id="860507908">
          <w:marLeft w:val="0"/>
          <w:marRight w:val="0"/>
          <w:marTop w:val="0"/>
          <w:marBottom w:val="101"/>
          <w:divBdr>
            <w:top w:val="none" w:sz="0" w:space="0" w:color="auto"/>
            <w:left w:val="none" w:sz="0" w:space="0" w:color="auto"/>
            <w:bottom w:val="none" w:sz="0" w:space="0" w:color="auto"/>
            <w:right w:val="none" w:sz="0" w:space="0" w:color="auto"/>
          </w:divBdr>
        </w:div>
        <w:div w:id="1750492768">
          <w:marLeft w:val="0"/>
          <w:marRight w:val="0"/>
          <w:marTop w:val="101"/>
          <w:marBottom w:val="101"/>
          <w:divBdr>
            <w:top w:val="none" w:sz="0" w:space="0" w:color="auto"/>
            <w:left w:val="none" w:sz="0" w:space="0" w:color="auto"/>
            <w:bottom w:val="none" w:sz="0" w:space="0" w:color="auto"/>
            <w:right w:val="none" w:sz="0" w:space="0" w:color="auto"/>
          </w:divBdr>
        </w:div>
        <w:div w:id="341516090">
          <w:marLeft w:val="0"/>
          <w:marRight w:val="0"/>
          <w:marTop w:val="0"/>
          <w:marBottom w:val="101"/>
          <w:divBdr>
            <w:top w:val="none" w:sz="0" w:space="0" w:color="auto"/>
            <w:left w:val="none" w:sz="0" w:space="0" w:color="auto"/>
            <w:bottom w:val="none" w:sz="0" w:space="0" w:color="auto"/>
            <w:right w:val="none" w:sz="0" w:space="0" w:color="auto"/>
          </w:divBdr>
        </w:div>
        <w:div w:id="160388220">
          <w:marLeft w:val="0"/>
          <w:marRight w:val="0"/>
          <w:marTop w:val="0"/>
          <w:marBottom w:val="101"/>
          <w:divBdr>
            <w:top w:val="none" w:sz="0" w:space="0" w:color="auto"/>
            <w:left w:val="none" w:sz="0" w:space="0" w:color="auto"/>
            <w:bottom w:val="none" w:sz="0" w:space="0" w:color="auto"/>
            <w:right w:val="none" w:sz="0" w:space="0" w:color="auto"/>
          </w:divBdr>
        </w:div>
        <w:div w:id="963118673">
          <w:marLeft w:val="720"/>
          <w:marRight w:val="0"/>
          <w:marTop w:val="0"/>
          <w:marBottom w:val="101"/>
          <w:divBdr>
            <w:top w:val="none" w:sz="0" w:space="0" w:color="auto"/>
            <w:left w:val="none" w:sz="0" w:space="0" w:color="auto"/>
            <w:bottom w:val="none" w:sz="0" w:space="0" w:color="auto"/>
            <w:right w:val="none" w:sz="0" w:space="0" w:color="auto"/>
          </w:divBdr>
        </w:div>
        <w:div w:id="1352563097">
          <w:marLeft w:val="720"/>
          <w:marRight w:val="0"/>
          <w:marTop w:val="0"/>
          <w:marBottom w:val="101"/>
          <w:divBdr>
            <w:top w:val="none" w:sz="0" w:space="0" w:color="auto"/>
            <w:left w:val="none" w:sz="0" w:space="0" w:color="auto"/>
            <w:bottom w:val="none" w:sz="0" w:space="0" w:color="auto"/>
            <w:right w:val="none" w:sz="0" w:space="0" w:color="auto"/>
          </w:divBdr>
        </w:div>
        <w:div w:id="230652863">
          <w:marLeft w:val="0"/>
          <w:marRight w:val="0"/>
          <w:marTop w:val="0"/>
          <w:marBottom w:val="101"/>
          <w:divBdr>
            <w:top w:val="none" w:sz="0" w:space="0" w:color="auto"/>
            <w:left w:val="none" w:sz="0" w:space="0" w:color="auto"/>
            <w:bottom w:val="none" w:sz="0" w:space="0" w:color="auto"/>
            <w:right w:val="none" w:sz="0" w:space="0" w:color="auto"/>
          </w:divBdr>
        </w:div>
        <w:div w:id="109670879">
          <w:marLeft w:val="0"/>
          <w:marRight w:val="0"/>
          <w:marTop w:val="0"/>
          <w:marBottom w:val="101"/>
          <w:divBdr>
            <w:top w:val="none" w:sz="0" w:space="0" w:color="auto"/>
            <w:left w:val="none" w:sz="0" w:space="0" w:color="auto"/>
            <w:bottom w:val="none" w:sz="0" w:space="0" w:color="auto"/>
            <w:right w:val="none" w:sz="0" w:space="0" w:color="auto"/>
          </w:divBdr>
        </w:div>
        <w:div w:id="681318091">
          <w:marLeft w:val="0"/>
          <w:marRight w:val="0"/>
          <w:marTop w:val="0"/>
          <w:marBottom w:val="101"/>
          <w:divBdr>
            <w:top w:val="none" w:sz="0" w:space="0" w:color="auto"/>
            <w:left w:val="none" w:sz="0" w:space="0" w:color="auto"/>
            <w:bottom w:val="none" w:sz="0" w:space="0" w:color="auto"/>
            <w:right w:val="none" w:sz="0" w:space="0" w:color="auto"/>
          </w:divBdr>
        </w:div>
        <w:div w:id="1771199418">
          <w:marLeft w:val="0"/>
          <w:marRight w:val="0"/>
          <w:marTop w:val="0"/>
          <w:marBottom w:val="101"/>
          <w:divBdr>
            <w:top w:val="none" w:sz="0" w:space="0" w:color="auto"/>
            <w:left w:val="none" w:sz="0" w:space="0" w:color="auto"/>
            <w:bottom w:val="none" w:sz="0" w:space="0" w:color="auto"/>
            <w:right w:val="none" w:sz="0" w:space="0" w:color="auto"/>
          </w:divBdr>
        </w:div>
        <w:div w:id="24410480">
          <w:marLeft w:val="0"/>
          <w:marRight w:val="0"/>
          <w:marTop w:val="0"/>
          <w:marBottom w:val="101"/>
          <w:divBdr>
            <w:top w:val="none" w:sz="0" w:space="0" w:color="auto"/>
            <w:left w:val="none" w:sz="0" w:space="0" w:color="auto"/>
            <w:bottom w:val="none" w:sz="0" w:space="0" w:color="auto"/>
            <w:right w:val="none" w:sz="0" w:space="0" w:color="auto"/>
          </w:divBdr>
        </w:div>
        <w:div w:id="1899440671">
          <w:marLeft w:val="0"/>
          <w:marRight w:val="0"/>
          <w:marTop w:val="0"/>
          <w:marBottom w:val="101"/>
          <w:divBdr>
            <w:top w:val="none" w:sz="0" w:space="0" w:color="auto"/>
            <w:left w:val="none" w:sz="0" w:space="0" w:color="auto"/>
            <w:bottom w:val="none" w:sz="0" w:space="0" w:color="auto"/>
            <w:right w:val="none" w:sz="0" w:space="0" w:color="auto"/>
          </w:divBdr>
        </w:div>
        <w:div w:id="1949968048">
          <w:marLeft w:val="0"/>
          <w:marRight w:val="0"/>
          <w:marTop w:val="0"/>
          <w:marBottom w:val="101"/>
          <w:divBdr>
            <w:top w:val="none" w:sz="0" w:space="0" w:color="auto"/>
            <w:left w:val="none" w:sz="0" w:space="0" w:color="auto"/>
            <w:bottom w:val="none" w:sz="0" w:space="0" w:color="auto"/>
            <w:right w:val="none" w:sz="0" w:space="0" w:color="auto"/>
          </w:divBdr>
        </w:div>
        <w:div w:id="965161385">
          <w:marLeft w:val="0"/>
          <w:marRight w:val="0"/>
          <w:marTop w:val="0"/>
          <w:marBottom w:val="101"/>
          <w:divBdr>
            <w:top w:val="none" w:sz="0" w:space="0" w:color="auto"/>
            <w:left w:val="none" w:sz="0" w:space="0" w:color="auto"/>
            <w:bottom w:val="none" w:sz="0" w:space="0" w:color="auto"/>
            <w:right w:val="none" w:sz="0" w:space="0" w:color="auto"/>
          </w:divBdr>
        </w:div>
        <w:div w:id="1233615819">
          <w:marLeft w:val="0"/>
          <w:marRight w:val="0"/>
          <w:marTop w:val="0"/>
          <w:marBottom w:val="101"/>
          <w:divBdr>
            <w:top w:val="none" w:sz="0" w:space="0" w:color="auto"/>
            <w:left w:val="none" w:sz="0" w:space="0" w:color="auto"/>
            <w:bottom w:val="none" w:sz="0" w:space="0" w:color="auto"/>
            <w:right w:val="none" w:sz="0" w:space="0" w:color="auto"/>
          </w:divBdr>
        </w:div>
        <w:div w:id="1339162693">
          <w:marLeft w:val="0"/>
          <w:marRight w:val="0"/>
          <w:marTop w:val="0"/>
          <w:marBottom w:val="101"/>
          <w:divBdr>
            <w:top w:val="none" w:sz="0" w:space="0" w:color="auto"/>
            <w:left w:val="none" w:sz="0" w:space="0" w:color="auto"/>
            <w:bottom w:val="none" w:sz="0" w:space="0" w:color="auto"/>
            <w:right w:val="none" w:sz="0" w:space="0" w:color="auto"/>
          </w:divBdr>
        </w:div>
        <w:div w:id="1866940679">
          <w:marLeft w:val="0"/>
          <w:marRight w:val="0"/>
          <w:marTop w:val="0"/>
          <w:marBottom w:val="101"/>
          <w:divBdr>
            <w:top w:val="none" w:sz="0" w:space="0" w:color="auto"/>
            <w:left w:val="none" w:sz="0" w:space="0" w:color="auto"/>
            <w:bottom w:val="none" w:sz="0" w:space="0" w:color="auto"/>
            <w:right w:val="none" w:sz="0" w:space="0" w:color="auto"/>
          </w:divBdr>
        </w:div>
        <w:div w:id="1095175322">
          <w:marLeft w:val="0"/>
          <w:marRight w:val="0"/>
          <w:marTop w:val="0"/>
          <w:marBottom w:val="101"/>
          <w:divBdr>
            <w:top w:val="none" w:sz="0" w:space="0" w:color="auto"/>
            <w:left w:val="none" w:sz="0" w:space="0" w:color="auto"/>
            <w:bottom w:val="none" w:sz="0" w:space="0" w:color="auto"/>
            <w:right w:val="none" w:sz="0" w:space="0" w:color="auto"/>
          </w:divBdr>
        </w:div>
        <w:div w:id="209730181">
          <w:marLeft w:val="0"/>
          <w:marRight w:val="0"/>
          <w:marTop w:val="101"/>
          <w:marBottom w:val="101"/>
          <w:divBdr>
            <w:top w:val="none" w:sz="0" w:space="0" w:color="auto"/>
            <w:left w:val="none" w:sz="0" w:space="0" w:color="auto"/>
            <w:bottom w:val="none" w:sz="0" w:space="0" w:color="auto"/>
            <w:right w:val="none" w:sz="0" w:space="0" w:color="auto"/>
          </w:divBdr>
        </w:div>
        <w:div w:id="562911387">
          <w:marLeft w:val="0"/>
          <w:marRight w:val="0"/>
          <w:marTop w:val="0"/>
          <w:marBottom w:val="101"/>
          <w:divBdr>
            <w:top w:val="none" w:sz="0" w:space="0" w:color="auto"/>
            <w:left w:val="none" w:sz="0" w:space="0" w:color="auto"/>
            <w:bottom w:val="none" w:sz="0" w:space="0" w:color="auto"/>
            <w:right w:val="none" w:sz="0" w:space="0" w:color="auto"/>
          </w:divBdr>
        </w:div>
        <w:div w:id="110646577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2010</Words>
  <Characters>11055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2</cp:revision>
  <dcterms:created xsi:type="dcterms:W3CDTF">2022-10-24T16:26:00Z</dcterms:created>
  <dcterms:modified xsi:type="dcterms:W3CDTF">2022-10-24T16:26:00Z</dcterms:modified>
</cp:coreProperties>
</file>