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9F" w:rsidRPr="00781920" w:rsidRDefault="00781920" w:rsidP="00781920">
      <w:pPr>
        <w:jc w:val="center"/>
        <w:rPr>
          <w:rFonts w:ascii="Verdana" w:hAnsi="Verdana"/>
          <w:b/>
          <w:color w:val="4F81BD" w:themeColor="accent1"/>
          <w:szCs w:val="20"/>
        </w:rPr>
      </w:pPr>
      <w:r w:rsidRPr="00781920">
        <w:rPr>
          <w:rFonts w:ascii="Verdana" w:hAnsi="Verdana"/>
          <w:b/>
          <w:color w:val="4F81BD" w:themeColor="accent1"/>
          <w:szCs w:val="20"/>
        </w:rPr>
        <w:t>Resolución por la que se declara el inicio del examen de vigencia de la cuota compensatoria impuesta a las importaciones de placa de acero en hoja originarias de la República Popular China, independientemente del país de procedencia</w:t>
      </w:r>
    </w:p>
    <w:p w:rsidR="00781920" w:rsidRPr="00781920" w:rsidRDefault="00781920" w:rsidP="00781920">
      <w:pPr>
        <w:jc w:val="center"/>
        <w:rPr>
          <w:rFonts w:ascii="Verdana" w:hAnsi="Verdana"/>
          <w:b/>
          <w:color w:val="4F81BD" w:themeColor="accent1"/>
          <w:szCs w:val="20"/>
        </w:rPr>
      </w:pPr>
      <w:r w:rsidRPr="00781920">
        <w:rPr>
          <w:rFonts w:ascii="Verdana" w:hAnsi="Verdana"/>
          <w:b/>
          <w:color w:val="4F81BD" w:themeColor="accent1"/>
          <w:szCs w:val="20"/>
        </w:rPr>
        <w:t>(DOF 27 de septiembre de 2019)</w:t>
      </w:r>
    </w:p>
    <w:p w:rsidR="00781920" w:rsidRPr="00781920" w:rsidRDefault="00781920" w:rsidP="00781920">
      <w:pPr>
        <w:rPr>
          <w:rFonts w:ascii="Verdana" w:hAnsi="Verdana"/>
          <w:b/>
          <w:bCs/>
          <w:sz w:val="20"/>
          <w:szCs w:val="20"/>
        </w:rPr>
      </w:pPr>
      <w:r w:rsidRPr="00781920">
        <w:rPr>
          <w:rFonts w:ascii="Verdana" w:hAnsi="Verdana"/>
          <w:b/>
          <w:bCs/>
          <w:sz w:val="20"/>
          <w:szCs w:val="20"/>
        </w:rPr>
        <w:t>Al margen un sello con el Escudo Nacional, que dice: Estados Unidos Mexicanos.- Secretaría de Economía.</w:t>
      </w:r>
    </w:p>
    <w:p w:rsidR="00781920" w:rsidRPr="00781920" w:rsidRDefault="00781920" w:rsidP="00781920">
      <w:pPr>
        <w:rPr>
          <w:rFonts w:ascii="Verdana" w:hAnsi="Verdana"/>
          <w:sz w:val="20"/>
          <w:szCs w:val="20"/>
        </w:rPr>
      </w:pPr>
      <w:r w:rsidRPr="00781920">
        <w:rPr>
          <w:rFonts w:ascii="Verdana" w:hAnsi="Verdana"/>
          <w:sz w:val="20"/>
          <w:szCs w:val="20"/>
        </w:rPr>
        <w:t>RESOLUCIÓN POR LA QUE SE DECLARA EL INICIO DEL EXAMEN DE VIGENCIA DE LA CUOTA COMPENSATORIA IMPUESTA A LAS IMPORTACIONES DE PLACA DE ACERO EN HOJA ORIGINARIAS DE LA REPÚBLICA POPULAR CHINA, INDEPENDIENTEMENTE DEL PAÍS DE PROCEDENCIA.</w:t>
      </w:r>
    </w:p>
    <w:p w:rsidR="00781920" w:rsidRPr="00781920" w:rsidRDefault="00781920" w:rsidP="00781920">
      <w:pPr>
        <w:rPr>
          <w:rFonts w:ascii="Verdana" w:hAnsi="Verdana"/>
          <w:sz w:val="20"/>
          <w:szCs w:val="20"/>
        </w:rPr>
      </w:pPr>
      <w:r w:rsidRPr="00781920">
        <w:rPr>
          <w:rFonts w:ascii="Verdana" w:hAnsi="Verdana"/>
          <w:sz w:val="20"/>
          <w:szCs w:val="20"/>
        </w:rPr>
        <w:t>Visto para resolver en la etapa de inicio el expediente administrativo E.C. 16/19 radicado en la Unidad de Prácticas Comerciales Intern</w:t>
      </w:r>
      <w:bookmarkStart w:id="0" w:name="_GoBack"/>
      <w:bookmarkEnd w:id="0"/>
      <w:r w:rsidRPr="00781920">
        <w:rPr>
          <w:rFonts w:ascii="Verdana" w:hAnsi="Verdana"/>
          <w:sz w:val="20"/>
          <w:szCs w:val="20"/>
        </w:rPr>
        <w:t>acionales (UPCI) de la Secretaría de Economía (la "Secretaría"), se emite la presente Resolución de conformidad con los siguientes</w:t>
      </w:r>
    </w:p>
    <w:p w:rsidR="00781920" w:rsidRPr="00781920" w:rsidRDefault="00781920" w:rsidP="00781920">
      <w:pPr>
        <w:rPr>
          <w:rFonts w:ascii="Verdana" w:hAnsi="Verdana"/>
          <w:b/>
          <w:bCs/>
          <w:sz w:val="20"/>
          <w:szCs w:val="20"/>
        </w:rPr>
      </w:pPr>
      <w:r w:rsidRPr="00781920">
        <w:rPr>
          <w:rFonts w:ascii="Verdana" w:hAnsi="Verdana"/>
          <w:b/>
          <w:bCs/>
          <w:sz w:val="20"/>
          <w:szCs w:val="20"/>
        </w:rPr>
        <w:t>RESULTANDOS</w:t>
      </w:r>
    </w:p>
    <w:p w:rsidR="00781920" w:rsidRPr="00781920" w:rsidRDefault="00781920" w:rsidP="00781920">
      <w:pPr>
        <w:rPr>
          <w:rFonts w:ascii="Verdana" w:hAnsi="Verdana"/>
          <w:sz w:val="20"/>
          <w:szCs w:val="20"/>
        </w:rPr>
      </w:pPr>
      <w:r w:rsidRPr="00781920">
        <w:rPr>
          <w:rFonts w:ascii="Verdana" w:hAnsi="Verdana"/>
          <w:b/>
          <w:bCs/>
          <w:sz w:val="20"/>
          <w:szCs w:val="20"/>
        </w:rPr>
        <w:t>A. Resolución final de la investigación antidumping</w:t>
      </w:r>
    </w:p>
    <w:p w:rsidR="00781920" w:rsidRPr="00781920" w:rsidRDefault="00781920" w:rsidP="00781920">
      <w:pPr>
        <w:rPr>
          <w:rFonts w:ascii="Verdana" w:hAnsi="Verdana"/>
          <w:sz w:val="20"/>
          <w:szCs w:val="20"/>
        </w:rPr>
      </w:pPr>
      <w:r w:rsidRPr="00781920">
        <w:rPr>
          <w:rFonts w:ascii="Verdana" w:hAnsi="Verdana"/>
          <w:b/>
          <w:bCs/>
          <w:sz w:val="20"/>
          <w:szCs w:val="20"/>
        </w:rPr>
        <w:t>1. </w:t>
      </w:r>
      <w:r w:rsidRPr="00781920">
        <w:rPr>
          <w:rFonts w:ascii="Verdana" w:hAnsi="Verdana"/>
          <w:sz w:val="20"/>
          <w:szCs w:val="20"/>
        </w:rPr>
        <w:t>El 14 de octubre de 2014 se publicó en el Diario Oficial de la Federación (DOF) la Resolución final de la investigación antidumping sobre las importaciones de placa de acero en hoja originarias de la República Popular China ("China"), independientemente del país de procedencia (la "Resolución Final"). Mediante dicha Resolución, se determinó una cuota compensatoria definitiva de 33.98%.</w:t>
      </w:r>
    </w:p>
    <w:p w:rsidR="00781920" w:rsidRPr="00781920" w:rsidRDefault="00781920" w:rsidP="00781920">
      <w:pPr>
        <w:rPr>
          <w:rFonts w:ascii="Verdana" w:hAnsi="Verdana"/>
          <w:sz w:val="20"/>
          <w:szCs w:val="20"/>
        </w:rPr>
      </w:pPr>
      <w:r w:rsidRPr="00781920">
        <w:rPr>
          <w:rFonts w:ascii="Verdana" w:hAnsi="Verdana"/>
          <w:b/>
          <w:bCs/>
          <w:sz w:val="20"/>
          <w:szCs w:val="20"/>
        </w:rPr>
        <w:t>B. Aviso sobre la vigencia de cuotas compensatorias</w:t>
      </w:r>
    </w:p>
    <w:p w:rsidR="00781920" w:rsidRPr="00781920" w:rsidRDefault="00781920" w:rsidP="00781920">
      <w:pPr>
        <w:rPr>
          <w:rFonts w:ascii="Verdana" w:hAnsi="Verdana"/>
          <w:sz w:val="20"/>
          <w:szCs w:val="20"/>
        </w:rPr>
      </w:pPr>
      <w:r w:rsidRPr="00781920">
        <w:rPr>
          <w:rFonts w:ascii="Verdana" w:hAnsi="Verdana"/>
          <w:b/>
          <w:bCs/>
          <w:sz w:val="20"/>
          <w:szCs w:val="20"/>
        </w:rPr>
        <w:t>2. </w:t>
      </w:r>
      <w:r w:rsidRPr="00781920">
        <w:rPr>
          <w:rFonts w:ascii="Verdana" w:hAnsi="Verdana"/>
          <w:sz w:val="20"/>
          <w:szCs w:val="20"/>
        </w:rPr>
        <w:t>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placa de acero en hoja originaria de China, objeto de este examen.</w:t>
      </w:r>
    </w:p>
    <w:p w:rsidR="00781920" w:rsidRPr="00781920" w:rsidRDefault="00781920" w:rsidP="00781920">
      <w:pPr>
        <w:rPr>
          <w:rFonts w:ascii="Verdana" w:hAnsi="Verdana"/>
          <w:sz w:val="20"/>
          <w:szCs w:val="20"/>
        </w:rPr>
      </w:pPr>
      <w:r w:rsidRPr="00781920">
        <w:rPr>
          <w:rFonts w:ascii="Verdana" w:hAnsi="Verdana"/>
          <w:b/>
          <w:bCs/>
          <w:sz w:val="20"/>
          <w:szCs w:val="20"/>
        </w:rPr>
        <w:t>C. Manifestación de interés</w:t>
      </w:r>
    </w:p>
    <w:p w:rsidR="00781920" w:rsidRPr="00781920" w:rsidRDefault="00781920" w:rsidP="00781920">
      <w:pPr>
        <w:rPr>
          <w:rFonts w:ascii="Verdana" w:hAnsi="Verdana"/>
          <w:sz w:val="20"/>
          <w:szCs w:val="20"/>
        </w:rPr>
      </w:pPr>
      <w:r w:rsidRPr="00781920">
        <w:rPr>
          <w:rFonts w:ascii="Verdana" w:hAnsi="Verdana"/>
          <w:b/>
          <w:bCs/>
          <w:sz w:val="20"/>
          <w:szCs w:val="20"/>
        </w:rPr>
        <w:t>3. </w:t>
      </w:r>
      <w:r w:rsidRPr="00781920">
        <w:rPr>
          <w:rFonts w:ascii="Verdana" w:hAnsi="Verdana"/>
          <w:sz w:val="20"/>
          <w:szCs w:val="20"/>
        </w:rPr>
        <w:t>El 5 de septiembre de 2019 Altos Hornos de México, S.A.B. de C.V. (AHMSA), manifestó su interés en que la Secretaría inicie el examen de vigencia de la cuota compensatoria definitiva impuesta a las importaciones de placa de acero en hoja originarias de China. Propuso como periodo de examen el comprendido del 1 de julio de 2018 al 30 de junio de 2019.</w:t>
      </w:r>
    </w:p>
    <w:p w:rsidR="00781920" w:rsidRPr="00781920" w:rsidRDefault="00781920" w:rsidP="00781920">
      <w:pPr>
        <w:rPr>
          <w:rFonts w:ascii="Verdana" w:hAnsi="Verdana"/>
          <w:sz w:val="20"/>
          <w:szCs w:val="20"/>
        </w:rPr>
      </w:pPr>
      <w:r w:rsidRPr="00781920">
        <w:rPr>
          <w:rFonts w:ascii="Verdana" w:hAnsi="Verdana"/>
          <w:b/>
          <w:bCs/>
          <w:sz w:val="20"/>
          <w:szCs w:val="20"/>
        </w:rPr>
        <w:lastRenderedPageBreak/>
        <w:t>4.</w:t>
      </w:r>
      <w:r w:rsidRPr="00781920">
        <w:rPr>
          <w:rFonts w:ascii="Verdana" w:hAnsi="Verdana"/>
          <w:sz w:val="20"/>
          <w:szCs w:val="20"/>
        </w:rPr>
        <w:t> AHMSA es una empresa constituida conforme a las leyes mexicanas. Su principal actividad consiste, entre otras, en la producción, transformación y comercialización de diversos productos siderúrgicos, entre ellos, la placa de acero en hoja. Señaló como domicilio para oír y recibir notificaciones el ubicado en Campos Elíseos número 29, piso 4, Col. Rincón del Bosque, C.P. 11580, Ciudad de México. Para acreditar su calidad de productor nacional de placa de acero en hoja, presentó una carta de la Cámara Nacional de la Industria del Hierro y del Acero (CANACERO) del 28 de agosto de 2019.</w:t>
      </w:r>
    </w:p>
    <w:p w:rsidR="00781920" w:rsidRPr="00781920" w:rsidRDefault="00781920" w:rsidP="00781920">
      <w:pPr>
        <w:rPr>
          <w:rFonts w:ascii="Verdana" w:hAnsi="Verdana"/>
          <w:sz w:val="20"/>
          <w:szCs w:val="20"/>
        </w:rPr>
      </w:pPr>
      <w:r w:rsidRPr="00781920">
        <w:rPr>
          <w:rFonts w:ascii="Verdana" w:hAnsi="Verdana"/>
          <w:b/>
          <w:bCs/>
          <w:sz w:val="20"/>
          <w:szCs w:val="20"/>
        </w:rPr>
        <w:t>D. Producto objeto de examen</w:t>
      </w:r>
    </w:p>
    <w:p w:rsidR="00781920" w:rsidRPr="00781920" w:rsidRDefault="00781920" w:rsidP="00781920">
      <w:pPr>
        <w:rPr>
          <w:rFonts w:ascii="Verdana" w:hAnsi="Verdana"/>
          <w:sz w:val="20"/>
          <w:szCs w:val="20"/>
        </w:rPr>
      </w:pPr>
      <w:r w:rsidRPr="00781920">
        <w:rPr>
          <w:rFonts w:ascii="Verdana" w:hAnsi="Verdana"/>
          <w:b/>
          <w:bCs/>
          <w:sz w:val="20"/>
          <w:szCs w:val="20"/>
        </w:rPr>
        <w:t>1. Descripción del producto</w:t>
      </w:r>
    </w:p>
    <w:p w:rsidR="00781920" w:rsidRPr="00781920" w:rsidRDefault="00781920" w:rsidP="00781920">
      <w:pPr>
        <w:rPr>
          <w:rFonts w:ascii="Verdana" w:hAnsi="Verdana"/>
          <w:sz w:val="20"/>
          <w:szCs w:val="20"/>
        </w:rPr>
      </w:pPr>
      <w:r w:rsidRPr="00781920">
        <w:rPr>
          <w:rFonts w:ascii="Verdana" w:hAnsi="Verdana"/>
          <w:b/>
          <w:bCs/>
          <w:sz w:val="20"/>
          <w:szCs w:val="20"/>
        </w:rPr>
        <w:t>5. </w:t>
      </w:r>
      <w:r w:rsidRPr="00781920">
        <w:rPr>
          <w:rFonts w:ascii="Verdana" w:hAnsi="Verdana"/>
          <w:sz w:val="20"/>
          <w:szCs w:val="20"/>
        </w:rPr>
        <w:t xml:space="preserve">El producto objeto de examen es la placa o plancha de acero en hoja, aleada y sin alear. Las principales características físicas que describen a esta mercancía son el espesor igual o mayor a 4.75 mm (0.187 pulgadas) y el ancho igual o mayor a 600 mm (23.6 pulgadas), así como el largo hasta de 12,192 mm (480 pulgadas). Técnica o comercialmente se le conoce como placa o plancha de acero cortada en hoja y en el mercado internacional como </w:t>
      </w:r>
      <w:proofErr w:type="spellStart"/>
      <w:r w:rsidRPr="00781920">
        <w:rPr>
          <w:rFonts w:ascii="Verdana" w:hAnsi="Verdana"/>
          <w:sz w:val="20"/>
          <w:szCs w:val="20"/>
        </w:rPr>
        <w:t>plate</w:t>
      </w:r>
      <w:proofErr w:type="spellEnd"/>
      <w:r w:rsidRPr="00781920">
        <w:rPr>
          <w:rFonts w:ascii="Verdana" w:hAnsi="Verdana"/>
          <w:sz w:val="20"/>
          <w:szCs w:val="20"/>
        </w:rPr>
        <w:t xml:space="preserve">, </w:t>
      </w:r>
      <w:proofErr w:type="spellStart"/>
      <w:r w:rsidRPr="00781920">
        <w:rPr>
          <w:rFonts w:ascii="Verdana" w:hAnsi="Verdana"/>
          <w:sz w:val="20"/>
          <w:szCs w:val="20"/>
        </w:rPr>
        <w:t>medium</w:t>
      </w:r>
      <w:proofErr w:type="spellEnd"/>
      <w:r w:rsidRPr="00781920">
        <w:rPr>
          <w:rFonts w:ascii="Verdana" w:hAnsi="Verdana"/>
          <w:sz w:val="20"/>
          <w:szCs w:val="20"/>
        </w:rPr>
        <w:t xml:space="preserve"> </w:t>
      </w:r>
      <w:proofErr w:type="spellStart"/>
      <w:r w:rsidRPr="00781920">
        <w:rPr>
          <w:rFonts w:ascii="Verdana" w:hAnsi="Verdana"/>
          <w:sz w:val="20"/>
          <w:szCs w:val="20"/>
        </w:rPr>
        <w:t>plate</w:t>
      </w:r>
      <w:proofErr w:type="spellEnd"/>
      <w:r w:rsidRPr="00781920">
        <w:rPr>
          <w:rFonts w:ascii="Verdana" w:hAnsi="Verdana"/>
          <w:sz w:val="20"/>
          <w:szCs w:val="20"/>
        </w:rPr>
        <w:t xml:space="preserve">, heavy </w:t>
      </w:r>
      <w:proofErr w:type="spellStart"/>
      <w:r w:rsidRPr="00781920">
        <w:rPr>
          <w:rFonts w:ascii="Verdana" w:hAnsi="Verdana"/>
          <w:sz w:val="20"/>
          <w:szCs w:val="20"/>
        </w:rPr>
        <w:t>plate</w:t>
      </w:r>
      <w:proofErr w:type="spellEnd"/>
      <w:r w:rsidRPr="00781920">
        <w:rPr>
          <w:rFonts w:ascii="Verdana" w:hAnsi="Verdana"/>
          <w:sz w:val="20"/>
          <w:szCs w:val="20"/>
        </w:rPr>
        <w:t xml:space="preserve">, </w:t>
      </w:r>
      <w:proofErr w:type="spellStart"/>
      <w:r w:rsidRPr="00781920">
        <w:rPr>
          <w:rFonts w:ascii="Verdana" w:hAnsi="Verdana"/>
          <w:sz w:val="20"/>
          <w:szCs w:val="20"/>
        </w:rPr>
        <w:t>hot</w:t>
      </w:r>
      <w:proofErr w:type="spellEnd"/>
      <w:r w:rsidRPr="00781920">
        <w:rPr>
          <w:rFonts w:ascii="Verdana" w:hAnsi="Verdana"/>
          <w:sz w:val="20"/>
          <w:szCs w:val="20"/>
        </w:rPr>
        <w:t xml:space="preserve"> </w:t>
      </w:r>
      <w:proofErr w:type="spellStart"/>
      <w:r w:rsidRPr="00781920">
        <w:rPr>
          <w:rFonts w:ascii="Verdana" w:hAnsi="Verdana"/>
          <w:sz w:val="20"/>
          <w:szCs w:val="20"/>
        </w:rPr>
        <w:t>rolled</w:t>
      </w:r>
      <w:proofErr w:type="spellEnd"/>
      <w:r w:rsidRPr="00781920">
        <w:rPr>
          <w:rFonts w:ascii="Verdana" w:hAnsi="Verdana"/>
          <w:sz w:val="20"/>
          <w:szCs w:val="20"/>
        </w:rPr>
        <w:t xml:space="preserve"> </w:t>
      </w:r>
      <w:proofErr w:type="spellStart"/>
      <w:r w:rsidRPr="00781920">
        <w:rPr>
          <w:rFonts w:ascii="Verdana" w:hAnsi="Verdana"/>
          <w:sz w:val="20"/>
          <w:szCs w:val="20"/>
        </w:rPr>
        <w:t>carbon</w:t>
      </w:r>
      <w:proofErr w:type="spellEnd"/>
      <w:r w:rsidRPr="00781920">
        <w:rPr>
          <w:rFonts w:ascii="Verdana" w:hAnsi="Verdana"/>
          <w:sz w:val="20"/>
          <w:szCs w:val="20"/>
        </w:rPr>
        <w:t xml:space="preserve"> </w:t>
      </w:r>
      <w:proofErr w:type="spellStart"/>
      <w:r w:rsidRPr="00781920">
        <w:rPr>
          <w:rFonts w:ascii="Verdana" w:hAnsi="Verdana"/>
          <w:sz w:val="20"/>
          <w:szCs w:val="20"/>
        </w:rPr>
        <w:t>steel</w:t>
      </w:r>
      <w:proofErr w:type="spellEnd"/>
      <w:r w:rsidRPr="00781920">
        <w:rPr>
          <w:rFonts w:ascii="Verdana" w:hAnsi="Verdana"/>
          <w:sz w:val="20"/>
          <w:szCs w:val="20"/>
        </w:rPr>
        <w:t xml:space="preserve"> </w:t>
      </w:r>
      <w:proofErr w:type="spellStart"/>
      <w:r w:rsidRPr="00781920">
        <w:rPr>
          <w:rFonts w:ascii="Verdana" w:hAnsi="Verdana"/>
          <w:sz w:val="20"/>
          <w:szCs w:val="20"/>
        </w:rPr>
        <w:t>plate</w:t>
      </w:r>
      <w:proofErr w:type="spellEnd"/>
      <w:r w:rsidRPr="00781920">
        <w:rPr>
          <w:rFonts w:ascii="Verdana" w:hAnsi="Verdana"/>
          <w:sz w:val="20"/>
          <w:szCs w:val="20"/>
        </w:rPr>
        <w:t xml:space="preserve"> o </w:t>
      </w:r>
      <w:proofErr w:type="spellStart"/>
      <w:r w:rsidRPr="00781920">
        <w:rPr>
          <w:rFonts w:ascii="Verdana" w:hAnsi="Verdana"/>
          <w:sz w:val="20"/>
          <w:szCs w:val="20"/>
        </w:rPr>
        <w:t>cut</w:t>
      </w:r>
      <w:proofErr w:type="spellEnd"/>
      <w:r w:rsidRPr="00781920">
        <w:rPr>
          <w:rFonts w:ascii="Verdana" w:hAnsi="Verdana"/>
          <w:sz w:val="20"/>
          <w:szCs w:val="20"/>
        </w:rPr>
        <w:t>-to-</w:t>
      </w:r>
      <w:proofErr w:type="spellStart"/>
      <w:r w:rsidRPr="00781920">
        <w:rPr>
          <w:rFonts w:ascii="Verdana" w:hAnsi="Verdana"/>
          <w:sz w:val="20"/>
          <w:szCs w:val="20"/>
        </w:rPr>
        <w:t>length</w:t>
      </w:r>
      <w:proofErr w:type="spellEnd"/>
      <w:r w:rsidRPr="00781920">
        <w:rPr>
          <w:rFonts w:ascii="Verdana" w:hAnsi="Verdana"/>
          <w:sz w:val="20"/>
          <w:szCs w:val="20"/>
        </w:rPr>
        <w:t> </w:t>
      </w:r>
      <w:proofErr w:type="spellStart"/>
      <w:r w:rsidRPr="00781920">
        <w:rPr>
          <w:rFonts w:ascii="Verdana" w:hAnsi="Verdana"/>
          <w:sz w:val="20"/>
          <w:szCs w:val="20"/>
        </w:rPr>
        <w:t>steel</w:t>
      </w:r>
      <w:proofErr w:type="spellEnd"/>
      <w:r w:rsidRPr="00781920">
        <w:rPr>
          <w:rFonts w:ascii="Verdana" w:hAnsi="Verdana"/>
          <w:sz w:val="20"/>
          <w:szCs w:val="20"/>
        </w:rPr>
        <w:t xml:space="preserve"> </w:t>
      </w:r>
      <w:proofErr w:type="spellStart"/>
      <w:r w:rsidRPr="00781920">
        <w:rPr>
          <w:rFonts w:ascii="Verdana" w:hAnsi="Verdana"/>
          <w:sz w:val="20"/>
          <w:szCs w:val="20"/>
        </w:rPr>
        <w:t>plate</w:t>
      </w:r>
      <w:proofErr w:type="spellEnd"/>
      <w:r w:rsidRPr="00781920">
        <w:rPr>
          <w:rFonts w:ascii="Verdana" w:hAnsi="Verdana"/>
          <w:sz w:val="20"/>
          <w:szCs w:val="20"/>
        </w:rPr>
        <w:t>.</w:t>
      </w:r>
    </w:p>
    <w:p w:rsidR="00781920" w:rsidRPr="00781920" w:rsidRDefault="00781920" w:rsidP="00781920">
      <w:pPr>
        <w:rPr>
          <w:rFonts w:ascii="Verdana" w:hAnsi="Verdana"/>
          <w:sz w:val="20"/>
          <w:szCs w:val="20"/>
        </w:rPr>
      </w:pPr>
      <w:r w:rsidRPr="00781920">
        <w:rPr>
          <w:rFonts w:ascii="Verdana" w:hAnsi="Verdana"/>
          <w:b/>
          <w:bCs/>
          <w:sz w:val="20"/>
          <w:szCs w:val="20"/>
        </w:rPr>
        <w:t>2. Características</w:t>
      </w:r>
    </w:p>
    <w:p w:rsidR="00781920" w:rsidRPr="00781920" w:rsidRDefault="00781920" w:rsidP="00781920">
      <w:pPr>
        <w:rPr>
          <w:rFonts w:ascii="Verdana" w:hAnsi="Verdana"/>
          <w:sz w:val="20"/>
          <w:szCs w:val="20"/>
        </w:rPr>
      </w:pPr>
      <w:r w:rsidRPr="00781920">
        <w:rPr>
          <w:rFonts w:ascii="Verdana" w:hAnsi="Verdana"/>
          <w:b/>
          <w:bCs/>
          <w:sz w:val="20"/>
          <w:szCs w:val="20"/>
        </w:rPr>
        <w:t>6. </w:t>
      </w:r>
      <w:r w:rsidRPr="00781920">
        <w:rPr>
          <w:rFonts w:ascii="Verdana" w:hAnsi="Verdana"/>
          <w:sz w:val="20"/>
          <w:szCs w:val="20"/>
        </w:rPr>
        <w:t>El producto objeto de examen se fabrica con aceros al carbón y aceros aleados de tipo comercial, que son los que la industria manufacturera y de la construcción utilizan normalmente, y constituyen la mayoría de la producción siderúrgica del mundo. En cuanto a la composición química de estos aceros, fundamentalmente es mineral de hierro, carbón y otras ferroaleaciones, como el boro. Las principales características físicas que describen a la placa de acero en hoja objeto de examen es el espesor igual o mayor a 4.75 mm (0.187 pulgadas), ancho igual o mayor a 600 mm (23.6 pulgadas) y largo hasta de 12,192 mm (480 pulgadas).</w:t>
      </w:r>
    </w:p>
    <w:p w:rsidR="00781920" w:rsidRPr="00781920" w:rsidRDefault="00781920" w:rsidP="00781920">
      <w:pPr>
        <w:rPr>
          <w:rFonts w:ascii="Verdana" w:hAnsi="Verdana"/>
          <w:sz w:val="20"/>
          <w:szCs w:val="20"/>
        </w:rPr>
      </w:pPr>
      <w:r w:rsidRPr="00781920">
        <w:rPr>
          <w:rFonts w:ascii="Verdana" w:hAnsi="Verdana"/>
          <w:b/>
          <w:bCs/>
          <w:sz w:val="20"/>
          <w:szCs w:val="20"/>
        </w:rPr>
        <w:t>3. Tratamiento arancelario</w:t>
      </w:r>
    </w:p>
    <w:p w:rsidR="00781920" w:rsidRPr="00781920" w:rsidRDefault="00781920" w:rsidP="00781920">
      <w:pPr>
        <w:rPr>
          <w:rFonts w:ascii="Verdana" w:hAnsi="Verdana"/>
          <w:sz w:val="20"/>
          <w:szCs w:val="20"/>
        </w:rPr>
      </w:pPr>
      <w:r w:rsidRPr="00781920">
        <w:rPr>
          <w:rFonts w:ascii="Verdana" w:hAnsi="Verdana"/>
          <w:b/>
          <w:bCs/>
          <w:sz w:val="20"/>
          <w:szCs w:val="20"/>
        </w:rPr>
        <w:t>7.</w:t>
      </w:r>
      <w:r w:rsidRPr="00781920">
        <w:rPr>
          <w:rFonts w:ascii="Verdana" w:hAnsi="Verdana"/>
          <w:sz w:val="20"/>
          <w:szCs w:val="20"/>
        </w:rPr>
        <w:t> El producto objeto de examen ingresa al mercado nacional por las fracciones arancelarias 7208.51.01, 7208.51.02, 7208.51.03, 7208.52.01, 7225.40.01 y 7225.40.02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76"/>
        <w:gridCol w:w="5936"/>
      </w:tblGrid>
      <w:tr w:rsidR="00781920" w:rsidRPr="00781920" w:rsidTr="00781920">
        <w:trPr>
          <w:trHeight w:val="235"/>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b/>
                <w:bCs/>
                <w:sz w:val="20"/>
                <w:szCs w:val="20"/>
              </w:rPr>
              <w:t>Codificación arancelaria</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b/>
                <w:bCs/>
                <w:sz w:val="20"/>
                <w:szCs w:val="20"/>
              </w:rPr>
              <w:t>Descripción</w:t>
            </w:r>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Capítulo 72</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Fundición, hierro y acero.</w:t>
            </w:r>
          </w:p>
        </w:tc>
      </w:tr>
      <w:tr w:rsidR="00781920" w:rsidRPr="00781920" w:rsidTr="00781920">
        <w:trPr>
          <w:trHeight w:val="40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Partida 7208</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Productos laminados planos de hierro o acero sin alear, de anchura superior o igual a 600 mm, laminados en caliente, sin chapar ni revestir.</w:t>
            </w:r>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 Los demás, sin enrollar, simplemente laminados en </w:t>
            </w:r>
            <w:r w:rsidRPr="00781920">
              <w:rPr>
                <w:rFonts w:ascii="Verdana" w:hAnsi="Verdana"/>
                <w:sz w:val="20"/>
                <w:szCs w:val="20"/>
              </w:rPr>
              <w:lastRenderedPageBreak/>
              <w:t>caliente:</w:t>
            </w:r>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proofErr w:type="spellStart"/>
            <w:r w:rsidRPr="00781920">
              <w:rPr>
                <w:rFonts w:ascii="Verdana" w:hAnsi="Verdana"/>
                <w:sz w:val="20"/>
                <w:szCs w:val="20"/>
              </w:rPr>
              <w:lastRenderedPageBreak/>
              <w:t>Subpartida</w:t>
            </w:r>
            <w:proofErr w:type="spellEnd"/>
            <w:r w:rsidRPr="00781920">
              <w:rPr>
                <w:rFonts w:ascii="Verdana" w:hAnsi="Verdana"/>
                <w:sz w:val="20"/>
                <w:szCs w:val="20"/>
              </w:rPr>
              <w:t xml:space="preserve"> 7208.51</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 De espesor superior a 10 </w:t>
            </w:r>
            <w:proofErr w:type="spellStart"/>
            <w:r w:rsidRPr="00781920">
              <w:rPr>
                <w:rFonts w:ascii="Verdana" w:hAnsi="Verdana"/>
                <w:sz w:val="20"/>
                <w:szCs w:val="20"/>
              </w:rPr>
              <w:t>mm.</w:t>
            </w:r>
            <w:proofErr w:type="spellEnd"/>
          </w:p>
        </w:tc>
      </w:tr>
      <w:tr w:rsidR="00781920" w:rsidRPr="00781920" w:rsidTr="00781920">
        <w:trPr>
          <w:trHeight w:val="400"/>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7208.51.01</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De espesor superior a 10 mm, excepto lo comprendido en las fracciones 7208.51.02 y 7208.51.03.</w:t>
            </w:r>
          </w:p>
        </w:tc>
      </w:tr>
      <w:tr w:rsidR="00781920" w:rsidRPr="00781920" w:rsidTr="00781920">
        <w:trPr>
          <w:trHeight w:val="400"/>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7208.51.02</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Placas de acero de espesor superior a 10 mm, grados SHT-80, SHT-110, AR-400, SMM-400 o A-516.</w:t>
            </w:r>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7208.51.03</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Placas de acero de espesor superior a 70 mm, grado A-36.</w:t>
            </w:r>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proofErr w:type="spellStart"/>
            <w:r w:rsidRPr="00781920">
              <w:rPr>
                <w:rFonts w:ascii="Verdana" w:hAnsi="Verdana"/>
                <w:sz w:val="20"/>
                <w:szCs w:val="20"/>
              </w:rPr>
              <w:t>Subpartida</w:t>
            </w:r>
            <w:proofErr w:type="spellEnd"/>
            <w:r w:rsidRPr="00781920">
              <w:rPr>
                <w:rFonts w:ascii="Verdana" w:hAnsi="Verdana"/>
                <w:sz w:val="20"/>
                <w:szCs w:val="20"/>
              </w:rPr>
              <w:t xml:space="preserve"> 7208.52</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 De espesor superior o igual a 4.75 mm pero inferior o igual a 10 </w:t>
            </w:r>
            <w:proofErr w:type="spellStart"/>
            <w:r w:rsidRPr="00781920">
              <w:rPr>
                <w:rFonts w:ascii="Verdana" w:hAnsi="Verdana"/>
                <w:sz w:val="20"/>
                <w:szCs w:val="20"/>
              </w:rPr>
              <w:t>mm.</w:t>
            </w:r>
            <w:proofErr w:type="spellEnd"/>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7208.52.01</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De espesor superior o igual a 4.75 mm pero inferior o igual a 10 </w:t>
            </w:r>
            <w:proofErr w:type="spellStart"/>
            <w:r w:rsidRPr="00781920">
              <w:rPr>
                <w:rFonts w:ascii="Verdana" w:hAnsi="Verdana"/>
                <w:sz w:val="20"/>
                <w:szCs w:val="20"/>
              </w:rPr>
              <w:t>mm.</w:t>
            </w:r>
            <w:proofErr w:type="spellEnd"/>
          </w:p>
        </w:tc>
      </w:tr>
      <w:tr w:rsidR="00781920" w:rsidRPr="00781920" w:rsidTr="00781920">
        <w:trPr>
          <w:trHeight w:val="40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Partida 7225</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Productos laminados planos de los demás aceros aleados, de anchura superior o igual a 600 </w:t>
            </w:r>
            <w:proofErr w:type="spellStart"/>
            <w:r w:rsidRPr="00781920">
              <w:rPr>
                <w:rFonts w:ascii="Verdana" w:hAnsi="Verdana"/>
                <w:sz w:val="20"/>
                <w:szCs w:val="20"/>
              </w:rPr>
              <w:t>mm.</w:t>
            </w:r>
            <w:proofErr w:type="spellEnd"/>
          </w:p>
        </w:tc>
      </w:tr>
      <w:tr w:rsidR="00781920" w:rsidRPr="00781920" w:rsidTr="00781920">
        <w:trPr>
          <w:trHeight w:val="220"/>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proofErr w:type="spellStart"/>
            <w:r w:rsidRPr="00781920">
              <w:rPr>
                <w:rFonts w:ascii="Verdana" w:hAnsi="Verdana"/>
                <w:sz w:val="20"/>
                <w:szCs w:val="20"/>
              </w:rPr>
              <w:t>Subpartida</w:t>
            </w:r>
            <w:proofErr w:type="spellEnd"/>
            <w:r w:rsidRPr="00781920">
              <w:rPr>
                <w:rFonts w:ascii="Verdana" w:hAnsi="Verdana"/>
                <w:sz w:val="20"/>
                <w:szCs w:val="20"/>
              </w:rPr>
              <w:t xml:space="preserve"> 7225.40</w:t>
            </w:r>
          </w:p>
        </w:tc>
        <w:tc>
          <w:tcPr>
            <w:tcW w:w="5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Los demás, simplemente laminados en caliente, sin enrollar.</w:t>
            </w:r>
          </w:p>
        </w:tc>
      </w:tr>
      <w:tr w:rsidR="00781920" w:rsidRPr="00781920" w:rsidTr="00781920">
        <w:trPr>
          <w:trHeight w:val="400"/>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7225.40.01</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Con un contenido de boro igual o superior a 0.0008%, de espesor superior a 10 </w:t>
            </w:r>
            <w:proofErr w:type="spellStart"/>
            <w:r w:rsidRPr="00781920">
              <w:rPr>
                <w:rFonts w:ascii="Verdana" w:hAnsi="Verdana"/>
                <w:sz w:val="20"/>
                <w:szCs w:val="20"/>
              </w:rPr>
              <w:t>mm.</w:t>
            </w:r>
            <w:proofErr w:type="spellEnd"/>
          </w:p>
        </w:tc>
      </w:tr>
      <w:tr w:rsidR="00781920" w:rsidRPr="00781920" w:rsidTr="00781920">
        <w:trPr>
          <w:trHeight w:val="415"/>
        </w:trPr>
        <w:tc>
          <w:tcPr>
            <w:tcW w:w="2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Fracción 7225.40.02</w:t>
            </w:r>
          </w:p>
        </w:tc>
        <w:tc>
          <w:tcPr>
            <w:tcW w:w="59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81920" w:rsidRPr="00781920" w:rsidRDefault="00781920" w:rsidP="00781920">
            <w:pPr>
              <w:rPr>
                <w:rFonts w:ascii="Verdana" w:hAnsi="Verdana"/>
                <w:sz w:val="20"/>
                <w:szCs w:val="20"/>
              </w:rPr>
            </w:pPr>
            <w:r w:rsidRPr="00781920">
              <w:rPr>
                <w:rFonts w:ascii="Verdana" w:hAnsi="Verdana"/>
                <w:sz w:val="20"/>
                <w:szCs w:val="20"/>
              </w:rPr>
              <w:t xml:space="preserve">Con un contenido de boro igual o superior a 0.0008%, de espesor superior o igual a 4.75 mm, pero inferior o igual a 10 </w:t>
            </w:r>
            <w:proofErr w:type="spellStart"/>
            <w:r w:rsidRPr="00781920">
              <w:rPr>
                <w:rFonts w:ascii="Verdana" w:hAnsi="Verdana"/>
                <w:sz w:val="20"/>
                <w:szCs w:val="20"/>
              </w:rPr>
              <w:t>mm.</w:t>
            </w:r>
            <w:proofErr w:type="spellEnd"/>
          </w:p>
        </w:tc>
      </w:tr>
    </w:tbl>
    <w:p w:rsidR="00781920" w:rsidRPr="00781920" w:rsidRDefault="00781920" w:rsidP="00781920">
      <w:pPr>
        <w:rPr>
          <w:rFonts w:ascii="Verdana" w:hAnsi="Verdana"/>
          <w:sz w:val="20"/>
          <w:szCs w:val="20"/>
        </w:rPr>
      </w:pPr>
      <w:r w:rsidRPr="00781920">
        <w:rPr>
          <w:rFonts w:ascii="Verdana" w:hAnsi="Verdana"/>
          <w:sz w:val="20"/>
          <w:szCs w:val="20"/>
        </w:rPr>
        <w:t>Fuente: Sistema de Información Arancelaria Vía Internet (SIAVI)</w:t>
      </w:r>
    </w:p>
    <w:p w:rsidR="00781920" w:rsidRPr="00781920" w:rsidRDefault="00781920" w:rsidP="00781920">
      <w:pPr>
        <w:rPr>
          <w:rFonts w:ascii="Verdana" w:hAnsi="Verdana"/>
          <w:sz w:val="20"/>
          <w:szCs w:val="20"/>
        </w:rPr>
      </w:pPr>
      <w:r w:rsidRPr="00781920">
        <w:rPr>
          <w:rFonts w:ascii="Verdana" w:hAnsi="Verdana"/>
          <w:b/>
          <w:bCs/>
          <w:sz w:val="20"/>
          <w:szCs w:val="20"/>
        </w:rPr>
        <w:t>8. </w:t>
      </w:r>
      <w:r w:rsidRPr="00781920">
        <w:rPr>
          <w:rFonts w:ascii="Verdana" w:hAnsi="Verdana"/>
          <w:sz w:val="20"/>
          <w:szCs w:val="20"/>
        </w:rPr>
        <w:t>La unidad de medida en la TIGIE es el kilogramo, aunque las operaciones comerciales normalmente se efectúan en toneladas métricas.</w:t>
      </w:r>
    </w:p>
    <w:p w:rsidR="00781920" w:rsidRPr="00781920" w:rsidRDefault="00781920" w:rsidP="00781920">
      <w:pPr>
        <w:rPr>
          <w:rFonts w:ascii="Verdana" w:hAnsi="Verdana"/>
          <w:sz w:val="20"/>
          <w:szCs w:val="20"/>
        </w:rPr>
      </w:pPr>
      <w:r w:rsidRPr="00781920">
        <w:rPr>
          <w:rFonts w:ascii="Verdana" w:hAnsi="Verdana"/>
          <w:b/>
          <w:bCs/>
          <w:sz w:val="20"/>
          <w:szCs w:val="20"/>
        </w:rPr>
        <w:t>9. </w:t>
      </w:r>
      <w:r w:rsidRPr="00781920">
        <w:rPr>
          <w:rFonts w:ascii="Verdana" w:hAnsi="Verdana"/>
          <w:sz w:val="20"/>
          <w:szCs w:val="20"/>
        </w:rPr>
        <w:t>De acuerdo con el SIAVI, las importaciones que ingresan por las fracciones arancelarias 7208.51.01, 7208.51.02, 7208.51.03, 7208.52.01, 7225.40.01 y 7225.40.02 de la TIGIE están sujetas a un arancel del 15%, aplicable a partir del 26 de marzo de 2019, en virtud del "Decreto por el que se modifica la Tarifa de la Ley de los Impuestos Generales de Importación y de Exportación", publicado en el DOF el 25 de marzo de 2019. Sin embargo, de acuerdo con el Tratado Integral y Progresista de Asociación Transpacífico, las mercancías que ingresen por las fracciones arancelarias señaladas anteriormente, originarias de Australia, Canadá, Japón, Nueva Zelanda, Singapur y Vietnam están libres de arancel.</w:t>
      </w:r>
    </w:p>
    <w:p w:rsidR="00781920" w:rsidRPr="00781920" w:rsidRDefault="00781920" w:rsidP="00781920">
      <w:pPr>
        <w:rPr>
          <w:rFonts w:ascii="Verdana" w:hAnsi="Verdana"/>
          <w:sz w:val="20"/>
          <w:szCs w:val="20"/>
        </w:rPr>
      </w:pPr>
      <w:r w:rsidRPr="00781920">
        <w:rPr>
          <w:rFonts w:ascii="Verdana" w:hAnsi="Verdana"/>
          <w:b/>
          <w:bCs/>
          <w:sz w:val="20"/>
          <w:szCs w:val="20"/>
        </w:rPr>
        <w:lastRenderedPageBreak/>
        <w:t>10. </w:t>
      </w:r>
      <w:r w:rsidRPr="00781920">
        <w:rPr>
          <w:rFonts w:ascii="Verdana" w:hAnsi="Verdana"/>
          <w:sz w:val="20"/>
          <w:szCs w:val="20"/>
        </w:rPr>
        <w:t>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que se mencionan en el punto 7 de la presente Resolución, para efectos de monitoreo estadístico comercial cuando se destinen al régimen aduanero de importación definitiva.</w:t>
      </w:r>
    </w:p>
    <w:p w:rsidR="00781920" w:rsidRPr="00781920" w:rsidRDefault="00781920" w:rsidP="00781920">
      <w:pPr>
        <w:rPr>
          <w:rFonts w:ascii="Verdana" w:hAnsi="Verdana"/>
          <w:sz w:val="20"/>
          <w:szCs w:val="20"/>
        </w:rPr>
      </w:pPr>
      <w:r w:rsidRPr="00781920">
        <w:rPr>
          <w:rFonts w:ascii="Verdana" w:hAnsi="Verdana"/>
          <w:b/>
          <w:bCs/>
          <w:sz w:val="20"/>
          <w:szCs w:val="20"/>
        </w:rPr>
        <w:t>4. Proceso productivo</w:t>
      </w:r>
    </w:p>
    <w:p w:rsidR="00781920" w:rsidRPr="00781920" w:rsidRDefault="00781920" w:rsidP="00781920">
      <w:pPr>
        <w:rPr>
          <w:rFonts w:ascii="Verdana" w:hAnsi="Verdana"/>
          <w:sz w:val="20"/>
          <w:szCs w:val="20"/>
        </w:rPr>
      </w:pPr>
      <w:r w:rsidRPr="00781920">
        <w:rPr>
          <w:rFonts w:ascii="Verdana" w:hAnsi="Verdana"/>
          <w:b/>
          <w:bCs/>
          <w:sz w:val="20"/>
          <w:szCs w:val="20"/>
        </w:rPr>
        <w:t>11. </w:t>
      </w:r>
      <w:r w:rsidRPr="00781920">
        <w:rPr>
          <w:rFonts w:ascii="Verdana" w:hAnsi="Verdana"/>
          <w:sz w:val="20"/>
          <w:szCs w:val="20"/>
        </w:rPr>
        <w:t>La fabricación de los productos de acero en el mundo inicia con la extracción y beneficio de las materias primas, a partir de las cuales se obtiene el acero líquido, insumo que posteriormente se lamina para darle forma al producto que se quiere obtener. De ello se desprende que los insumos que se utilizan para fabricar la placa de acero en hoja en el mundo son los mismos: carbón, mineral de hierro, chatarra, fundentes y diversas ferroaleaciones que se adicionan según el tipo de acero que se quiera fabricar.</w:t>
      </w:r>
    </w:p>
    <w:p w:rsidR="00781920" w:rsidRPr="00781920" w:rsidRDefault="00781920" w:rsidP="00781920">
      <w:pPr>
        <w:rPr>
          <w:rFonts w:ascii="Verdana" w:hAnsi="Verdana"/>
          <w:sz w:val="20"/>
          <w:szCs w:val="20"/>
        </w:rPr>
      </w:pPr>
      <w:r w:rsidRPr="00781920">
        <w:rPr>
          <w:rFonts w:ascii="Verdana" w:hAnsi="Verdana"/>
          <w:b/>
          <w:bCs/>
          <w:sz w:val="20"/>
          <w:szCs w:val="20"/>
        </w:rPr>
        <w:t>12. </w:t>
      </w:r>
      <w:r w:rsidRPr="00781920">
        <w:rPr>
          <w:rFonts w:ascii="Verdana" w:hAnsi="Verdana"/>
          <w:sz w:val="20"/>
          <w:szCs w:val="20"/>
        </w:rPr>
        <w:t>Los procesos de laminación, extracción y beneficio de las materias primas son similares en el mundo, pues sólo difieren en el grado de automatización. La diferencia ocurre en la tecnología que se utiliza en el proceso de fundición y aceración, el cual puede realizarse fundamentalmente por: a) alto horno BF (por las siglas en inglés de "</w:t>
      </w:r>
      <w:proofErr w:type="spellStart"/>
      <w:r w:rsidRPr="00781920">
        <w:rPr>
          <w:rFonts w:ascii="Verdana" w:hAnsi="Verdana"/>
          <w:sz w:val="20"/>
          <w:szCs w:val="20"/>
        </w:rPr>
        <w:t>Blast</w:t>
      </w:r>
      <w:proofErr w:type="spellEnd"/>
      <w:r w:rsidRPr="00781920">
        <w:rPr>
          <w:rFonts w:ascii="Verdana" w:hAnsi="Verdana"/>
          <w:sz w:val="20"/>
          <w:szCs w:val="20"/>
        </w:rPr>
        <w:t xml:space="preserve"> </w:t>
      </w:r>
      <w:proofErr w:type="spellStart"/>
      <w:r w:rsidRPr="00781920">
        <w:rPr>
          <w:rFonts w:ascii="Verdana" w:hAnsi="Verdana"/>
          <w:sz w:val="20"/>
          <w:szCs w:val="20"/>
        </w:rPr>
        <w:t>Furnace</w:t>
      </w:r>
      <w:proofErr w:type="spellEnd"/>
      <w:r w:rsidRPr="00781920">
        <w:rPr>
          <w:rFonts w:ascii="Verdana" w:hAnsi="Verdana"/>
          <w:sz w:val="20"/>
          <w:szCs w:val="20"/>
        </w:rPr>
        <w:t xml:space="preserve">") y aceración al oxígeno en hornos denominados BOF (por las siglas en inglés de "Basic </w:t>
      </w:r>
      <w:proofErr w:type="spellStart"/>
      <w:r w:rsidRPr="00781920">
        <w:rPr>
          <w:rFonts w:ascii="Verdana" w:hAnsi="Verdana"/>
          <w:sz w:val="20"/>
          <w:szCs w:val="20"/>
        </w:rPr>
        <w:t>Oxigen</w:t>
      </w:r>
      <w:proofErr w:type="spellEnd"/>
      <w:r w:rsidRPr="00781920">
        <w:rPr>
          <w:rFonts w:ascii="Verdana" w:hAnsi="Verdana"/>
          <w:sz w:val="20"/>
          <w:szCs w:val="20"/>
        </w:rPr>
        <w:t xml:space="preserve"> </w:t>
      </w:r>
      <w:proofErr w:type="spellStart"/>
      <w:r w:rsidRPr="00781920">
        <w:rPr>
          <w:rFonts w:ascii="Verdana" w:hAnsi="Verdana"/>
          <w:sz w:val="20"/>
          <w:szCs w:val="20"/>
        </w:rPr>
        <w:t>Furnace</w:t>
      </w:r>
      <w:proofErr w:type="spellEnd"/>
      <w:r w:rsidRPr="00781920">
        <w:rPr>
          <w:rFonts w:ascii="Verdana" w:hAnsi="Verdana"/>
          <w:sz w:val="20"/>
          <w:szCs w:val="20"/>
        </w:rPr>
        <w:t xml:space="preserve">"), y b) horno de arco eléctrico EAF (por las siglas en inglés de "Electric </w:t>
      </w:r>
      <w:proofErr w:type="spellStart"/>
      <w:r w:rsidRPr="00781920">
        <w:rPr>
          <w:rFonts w:ascii="Verdana" w:hAnsi="Verdana"/>
          <w:sz w:val="20"/>
          <w:szCs w:val="20"/>
        </w:rPr>
        <w:t>Arc</w:t>
      </w:r>
      <w:proofErr w:type="spellEnd"/>
      <w:r w:rsidRPr="00781920">
        <w:rPr>
          <w:rFonts w:ascii="Verdana" w:hAnsi="Verdana"/>
          <w:sz w:val="20"/>
          <w:szCs w:val="20"/>
        </w:rPr>
        <w:t> </w:t>
      </w:r>
      <w:proofErr w:type="spellStart"/>
      <w:r w:rsidRPr="00781920">
        <w:rPr>
          <w:rFonts w:ascii="Verdana" w:hAnsi="Verdana"/>
          <w:sz w:val="20"/>
          <w:szCs w:val="20"/>
        </w:rPr>
        <w:t>Furnace</w:t>
      </w:r>
      <w:proofErr w:type="spellEnd"/>
      <w:r w:rsidRPr="00781920">
        <w:rPr>
          <w:rFonts w:ascii="Verdana" w:hAnsi="Verdana"/>
          <w:sz w:val="20"/>
          <w:szCs w:val="20"/>
        </w:rPr>
        <w:t>") que funde chatarra y/o fierro esponja.</w:t>
      </w:r>
    </w:p>
    <w:p w:rsidR="00781920" w:rsidRPr="00781920" w:rsidRDefault="00781920" w:rsidP="00781920">
      <w:pPr>
        <w:rPr>
          <w:rFonts w:ascii="Verdana" w:hAnsi="Verdana"/>
          <w:sz w:val="20"/>
          <w:szCs w:val="20"/>
        </w:rPr>
      </w:pPr>
      <w:r w:rsidRPr="00781920">
        <w:rPr>
          <w:rFonts w:ascii="Verdana" w:hAnsi="Verdana"/>
          <w:b/>
          <w:bCs/>
          <w:sz w:val="20"/>
          <w:szCs w:val="20"/>
        </w:rPr>
        <w:t>13. </w:t>
      </w:r>
      <w:r w:rsidRPr="00781920">
        <w:rPr>
          <w:rFonts w:ascii="Verdana" w:hAnsi="Verdana"/>
          <w:sz w:val="20"/>
          <w:szCs w:val="20"/>
        </w:rPr>
        <w:t>El proceso de producción de la placa de acero en hoja objeto de examen se efectúa mediante las etapas de obtención del acero líquido en hornos BF-BOF, metalurgia secundaria, colada continua y laminación, las cuales se describen a continuación:</w:t>
      </w:r>
    </w:p>
    <w:p w:rsidR="00781920" w:rsidRPr="00781920" w:rsidRDefault="00781920" w:rsidP="00781920">
      <w:pPr>
        <w:rPr>
          <w:rFonts w:ascii="Verdana" w:hAnsi="Verdana"/>
          <w:sz w:val="20"/>
          <w:szCs w:val="20"/>
        </w:rPr>
      </w:pPr>
      <w:r w:rsidRPr="00781920">
        <w:rPr>
          <w:rFonts w:ascii="Verdana" w:hAnsi="Verdana"/>
          <w:b/>
          <w:bCs/>
          <w:sz w:val="20"/>
          <w:szCs w:val="20"/>
        </w:rPr>
        <w:t>a.</w:t>
      </w:r>
      <w:r w:rsidRPr="00781920">
        <w:rPr>
          <w:rFonts w:ascii="Verdana" w:hAnsi="Verdana"/>
          <w:sz w:val="20"/>
          <w:szCs w:val="20"/>
        </w:rPr>
        <w:t>     obtención del acero en hornos BF-BOF: el coque, fundentes y mineral de hierro se cargan en el BF, en donde se funden para obtener el arrabio o hierro de primera fusión; este material se transporta en carros termos para cargarlo en el horno BOF (olla llamada convertidor), donde se inyecta oxígeno para acelerar la reacción química que permite reducir el contenido de carbono en el arrabio líquido hasta los niveles que requiere el acero que se programó producir;</w:t>
      </w:r>
    </w:p>
    <w:p w:rsidR="00781920" w:rsidRPr="00781920" w:rsidRDefault="00781920" w:rsidP="00781920">
      <w:pPr>
        <w:rPr>
          <w:rFonts w:ascii="Verdana" w:hAnsi="Verdana"/>
          <w:sz w:val="20"/>
          <w:szCs w:val="20"/>
        </w:rPr>
      </w:pPr>
      <w:r w:rsidRPr="00781920">
        <w:rPr>
          <w:rFonts w:ascii="Verdana" w:hAnsi="Verdana"/>
          <w:b/>
          <w:bCs/>
          <w:sz w:val="20"/>
          <w:szCs w:val="20"/>
        </w:rPr>
        <w:t>b.</w:t>
      </w:r>
      <w:r w:rsidRPr="00781920">
        <w:rPr>
          <w:rFonts w:ascii="Verdana" w:hAnsi="Verdana"/>
          <w:sz w:val="20"/>
          <w:szCs w:val="20"/>
        </w:rPr>
        <w:t xml:space="preserve">    metalurgia secundaria: el acero líquido se vacía en una olla, donde se desoxida con aluminio hasta quedar con un contenido mínimo de 0.020%; luego se agregan las ferroaleaciones, tales como el ferromanganeso, </w:t>
      </w:r>
      <w:proofErr w:type="spellStart"/>
      <w:r w:rsidRPr="00781920">
        <w:rPr>
          <w:rFonts w:ascii="Verdana" w:hAnsi="Verdana"/>
          <w:sz w:val="20"/>
          <w:szCs w:val="20"/>
        </w:rPr>
        <w:t>ferrosilicio</w:t>
      </w:r>
      <w:proofErr w:type="spellEnd"/>
      <w:r w:rsidRPr="00781920">
        <w:rPr>
          <w:rFonts w:ascii="Verdana" w:hAnsi="Verdana"/>
          <w:sz w:val="20"/>
          <w:szCs w:val="20"/>
        </w:rPr>
        <w:t xml:space="preserve">, </w:t>
      </w:r>
      <w:proofErr w:type="spellStart"/>
      <w:r w:rsidRPr="00781920">
        <w:rPr>
          <w:rFonts w:ascii="Verdana" w:hAnsi="Verdana"/>
          <w:sz w:val="20"/>
          <w:szCs w:val="20"/>
        </w:rPr>
        <w:t>ferroboro</w:t>
      </w:r>
      <w:proofErr w:type="spellEnd"/>
      <w:r w:rsidRPr="00781920">
        <w:rPr>
          <w:rFonts w:ascii="Verdana" w:hAnsi="Verdana"/>
          <w:sz w:val="20"/>
          <w:szCs w:val="20"/>
        </w:rPr>
        <w:t>, entre otras, que se requieren para cumplir con las características físicas y químicas que establecen las normas o las especificaciones que el cliente</w:t>
      </w:r>
    </w:p>
    <w:p w:rsidR="00781920" w:rsidRPr="00781920" w:rsidRDefault="00781920" w:rsidP="00781920">
      <w:pPr>
        <w:rPr>
          <w:rFonts w:ascii="Verdana" w:hAnsi="Verdana"/>
          <w:sz w:val="20"/>
          <w:szCs w:val="20"/>
        </w:rPr>
      </w:pPr>
      <w:proofErr w:type="gramStart"/>
      <w:r w:rsidRPr="00781920">
        <w:rPr>
          <w:rFonts w:ascii="Verdana" w:hAnsi="Verdana"/>
          <w:sz w:val="20"/>
          <w:szCs w:val="20"/>
        </w:rPr>
        <w:t>solicita</w:t>
      </w:r>
      <w:proofErr w:type="gramEnd"/>
      <w:r w:rsidRPr="00781920">
        <w:rPr>
          <w:rFonts w:ascii="Verdana" w:hAnsi="Verdana"/>
          <w:sz w:val="20"/>
          <w:szCs w:val="20"/>
        </w:rPr>
        <w:t>;</w:t>
      </w:r>
    </w:p>
    <w:p w:rsidR="00781920" w:rsidRPr="00781920" w:rsidRDefault="00781920" w:rsidP="00781920">
      <w:pPr>
        <w:rPr>
          <w:rFonts w:ascii="Verdana" w:hAnsi="Verdana"/>
          <w:sz w:val="20"/>
          <w:szCs w:val="20"/>
        </w:rPr>
      </w:pPr>
      <w:r w:rsidRPr="00781920">
        <w:rPr>
          <w:rFonts w:ascii="Verdana" w:hAnsi="Verdana"/>
          <w:b/>
          <w:bCs/>
          <w:sz w:val="20"/>
          <w:szCs w:val="20"/>
        </w:rPr>
        <w:t>c.</w:t>
      </w:r>
      <w:r w:rsidRPr="00781920">
        <w:rPr>
          <w:rFonts w:ascii="Verdana" w:hAnsi="Verdana"/>
          <w:sz w:val="20"/>
          <w:szCs w:val="20"/>
        </w:rPr>
        <w:t>     colada continua: el acero líquido que se obtiene por el proceso BF-BOF pasa por una máquina de colada continua donde se obtienen planchones, y</w:t>
      </w:r>
    </w:p>
    <w:p w:rsidR="00781920" w:rsidRPr="00781920" w:rsidRDefault="00781920" w:rsidP="00781920">
      <w:pPr>
        <w:rPr>
          <w:rFonts w:ascii="Verdana" w:hAnsi="Verdana"/>
          <w:sz w:val="20"/>
          <w:szCs w:val="20"/>
        </w:rPr>
      </w:pPr>
      <w:r w:rsidRPr="00781920">
        <w:rPr>
          <w:rFonts w:ascii="Verdana" w:hAnsi="Verdana"/>
          <w:b/>
          <w:bCs/>
          <w:sz w:val="20"/>
          <w:szCs w:val="20"/>
        </w:rPr>
        <w:lastRenderedPageBreak/>
        <w:t>d.</w:t>
      </w:r>
      <w:r w:rsidRPr="00781920">
        <w:rPr>
          <w:rFonts w:ascii="Verdana" w:hAnsi="Verdana"/>
          <w:sz w:val="20"/>
          <w:szCs w:val="20"/>
        </w:rPr>
        <w:t>    laminación: en molinos con un número variable de castillos y rodillos, los planchones se reducen hasta obtener una placa o plancha laminada en caliente con los espesores y anchos que se requieren.</w:t>
      </w:r>
    </w:p>
    <w:p w:rsidR="00781920" w:rsidRPr="00781920" w:rsidRDefault="00781920" w:rsidP="00781920">
      <w:pPr>
        <w:rPr>
          <w:rFonts w:ascii="Verdana" w:hAnsi="Verdana"/>
          <w:sz w:val="20"/>
          <w:szCs w:val="20"/>
        </w:rPr>
      </w:pPr>
      <w:r w:rsidRPr="00781920">
        <w:rPr>
          <w:rFonts w:ascii="Verdana" w:hAnsi="Verdana"/>
          <w:b/>
          <w:bCs/>
          <w:sz w:val="20"/>
          <w:szCs w:val="20"/>
        </w:rPr>
        <w:t>5. Normas</w:t>
      </w:r>
    </w:p>
    <w:p w:rsidR="00781920" w:rsidRPr="00781920" w:rsidRDefault="00781920" w:rsidP="00781920">
      <w:pPr>
        <w:rPr>
          <w:rFonts w:ascii="Verdana" w:hAnsi="Verdana"/>
          <w:sz w:val="20"/>
          <w:szCs w:val="20"/>
        </w:rPr>
      </w:pPr>
      <w:r w:rsidRPr="00781920">
        <w:rPr>
          <w:rFonts w:ascii="Verdana" w:hAnsi="Verdana"/>
          <w:b/>
          <w:bCs/>
          <w:sz w:val="20"/>
          <w:szCs w:val="20"/>
        </w:rPr>
        <w:t>14. </w:t>
      </w:r>
      <w:r w:rsidRPr="00781920">
        <w:rPr>
          <w:rFonts w:ascii="Verdana" w:hAnsi="Verdana"/>
          <w:sz w:val="20"/>
          <w:szCs w:val="20"/>
        </w:rPr>
        <w:t>La placa de acero en hoja se fabrica fundamentalmente conforme a las especificaciones que establecen las normas estadounidenses ASTM-</w:t>
      </w:r>
      <w:proofErr w:type="spellStart"/>
      <w:r w:rsidRPr="00781920">
        <w:rPr>
          <w:rFonts w:ascii="Verdana" w:hAnsi="Verdana"/>
          <w:sz w:val="20"/>
          <w:szCs w:val="20"/>
        </w:rPr>
        <w:t>Designation</w:t>
      </w:r>
      <w:proofErr w:type="spellEnd"/>
      <w:r w:rsidRPr="00781920">
        <w:rPr>
          <w:rFonts w:ascii="Verdana" w:hAnsi="Verdana"/>
          <w:sz w:val="20"/>
          <w:szCs w:val="20"/>
        </w:rPr>
        <w:t xml:space="preserve"> A 36/A 36M08 y la ASTM A-572 de la Sociedad Americana para Pruebas y Materiales (ASTM, por las siglas en inglés de American </w:t>
      </w:r>
      <w:proofErr w:type="spellStart"/>
      <w:r w:rsidRPr="00781920">
        <w:rPr>
          <w:rFonts w:ascii="Verdana" w:hAnsi="Verdana"/>
          <w:sz w:val="20"/>
          <w:szCs w:val="20"/>
        </w:rPr>
        <w:t>Society</w:t>
      </w:r>
      <w:proofErr w:type="spellEnd"/>
      <w:r w:rsidRPr="00781920">
        <w:rPr>
          <w:rFonts w:ascii="Verdana" w:hAnsi="Verdana"/>
          <w:sz w:val="20"/>
          <w:szCs w:val="20"/>
        </w:rPr>
        <w:t xml:space="preserve"> </w:t>
      </w:r>
      <w:proofErr w:type="spellStart"/>
      <w:r w:rsidRPr="00781920">
        <w:rPr>
          <w:rFonts w:ascii="Verdana" w:hAnsi="Verdana"/>
          <w:sz w:val="20"/>
          <w:szCs w:val="20"/>
        </w:rPr>
        <w:t>for</w:t>
      </w:r>
      <w:proofErr w:type="spellEnd"/>
      <w:r w:rsidRPr="00781920">
        <w:rPr>
          <w:rFonts w:ascii="Verdana" w:hAnsi="Verdana"/>
          <w:sz w:val="20"/>
          <w:szCs w:val="20"/>
        </w:rPr>
        <w:t xml:space="preserve"> </w:t>
      </w:r>
      <w:proofErr w:type="spellStart"/>
      <w:r w:rsidRPr="00781920">
        <w:rPr>
          <w:rFonts w:ascii="Verdana" w:hAnsi="Verdana"/>
          <w:sz w:val="20"/>
          <w:szCs w:val="20"/>
        </w:rPr>
        <w:t>Testing</w:t>
      </w:r>
      <w:proofErr w:type="spellEnd"/>
      <w:r w:rsidRPr="00781920">
        <w:rPr>
          <w:rFonts w:ascii="Verdana" w:hAnsi="Verdana"/>
          <w:sz w:val="20"/>
          <w:szCs w:val="20"/>
        </w:rPr>
        <w:t> </w:t>
      </w:r>
      <w:proofErr w:type="spellStart"/>
      <w:r w:rsidRPr="00781920">
        <w:rPr>
          <w:rFonts w:ascii="Verdana" w:hAnsi="Verdana"/>
          <w:sz w:val="20"/>
          <w:szCs w:val="20"/>
        </w:rPr>
        <w:t>Materials</w:t>
      </w:r>
      <w:proofErr w:type="spellEnd"/>
      <w:r w:rsidRPr="00781920">
        <w:rPr>
          <w:rFonts w:ascii="Verdana" w:hAnsi="Verdana"/>
          <w:sz w:val="20"/>
          <w:szCs w:val="20"/>
        </w:rPr>
        <w:t>), que son equivalentes con las normas mexicanas NMX-B-254-1993 y B-284, respectivamente. No obstante, no hay normas técnicas obligatorias para los productos de acero que se comercializan en el mercado nacional, aunque son una referencia que utilizan el cliente y el proveedor para establecer las características físicas y químicas del producto que soliciten.</w:t>
      </w:r>
    </w:p>
    <w:p w:rsidR="00781920" w:rsidRPr="00781920" w:rsidRDefault="00781920" w:rsidP="00781920">
      <w:pPr>
        <w:rPr>
          <w:rFonts w:ascii="Verdana" w:hAnsi="Verdana"/>
          <w:sz w:val="20"/>
          <w:szCs w:val="20"/>
        </w:rPr>
      </w:pPr>
      <w:r w:rsidRPr="00781920">
        <w:rPr>
          <w:rFonts w:ascii="Verdana" w:hAnsi="Verdana"/>
          <w:b/>
          <w:bCs/>
          <w:sz w:val="20"/>
          <w:szCs w:val="20"/>
        </w:rPr>
        <w:t>6. Usos y funciones</w:t>
      </w:r>
    </w:p>
    <w:p w:rsidR="00781920" w:rsidRPr="00781920" w:rsidRDefault="00781920" w:rsidP="00781920">
      <w:pPr>
        <w:rPr>
          <w:rFonts w:ascii="Verdana" w:hAnsi="Verdana"/>
          <w:sz w:val="20"/>
          <w:szCs w:val="20"/>
        </w:rPr>
      </w:pPr>
      <w:r w:rsidRPr="00781920">
        <w:rPr>
          <w:rFonts w:ascii="Verdana" w:hAnsi="Verdana"/>
          <w:b/>
          <w:bCs/>
          <w:sz w:val="20"/>
          <w:szCs w:val="20"/>
        </w:rPr>
        <w:t>15. </w:t>
      </w:r>
      <w:r w:rsidRPr="00781920">
        <w:rPr>
          <w:rFonts w:ascii="Verdana" w:hAnsi="Verdana"/>
          <w:sz w:val="20"/>
          <w:szCs w:val="20"/>
        </w:rPr>
        <w:t>La placa de acero en hoja es un insumo que se utiliza para fabricar bienes intermedios y de capital, por ejemplo: recipientes a presión, plataformas marinas para la industria petrolera, calderas, góndolas para ferrocarril, discos de arado, cuchillas, piezas de maquinaria e implementos agrícolas, perfiles para construcción y tubería soldada, entre otros productos.</w:t>
      </w:r>
    </w:p>
    <w:p w:rsidR="00781920" w:rsidRPr="00781920" w:rsidRDefault="00781920" w:rsidP="00781920">
      <w:pPr>
        <w:rPr>
          <w:rFonts w:ascii="Verdana" w:hAnsi="Verdana"/>
          <w:sz w:val="20"/>
          <w:szCs w:val="20"/>
        </w:rPr>
      </w:pPr>
      <w:r w:rsidRPr="00781920">
        <w:rPr>
          <w:rFonts w:ascii="Verdana" w:hAnsi="Verdana"/>
          <w:b/>
          <w:bCs/>
          <w:sz w:val="20"/>
          <w:szCs w:val="20"/>
        </w:rPr>
        <w:t>E. Posibles partes interesadas</w:t>
      </w:r>
    </w:p>
    <w:p w:rsidR="00781920" w:rsidRPr="00781920" w:rsidRDefault="00781920" w:rsidP="00781920">
      <w:pPr>
        <w:rPr>
          <w:rFonts w:ascii="Verdana" w:hAnsi="Verdana"/>
          <w:sz w:val="20"/>
          <w:szCs w:val="20"/>
        </w:rPr>
      </w:pPr>
      <w:r w:rsidRPr="00781920">
        <w:rPr>
          <w:rFonts w:ascii="Verdana" w:hAnsi="Verdana"/>
          <w:b/>
          <w:bCs/>
          <w:sz w:val="20"/>
          <w:szCs w:val="20"/>
        </w:rPr>
        <w:t>16.</w:t>
      </w:r>
      <w:r w:rsidRPr="00781920">
        <w:rPr>
          <w:rFonts w:ascii="Verdana" w:hAnsi="Verdana"/>
          <w:sz w:val="20"/>
          <w:szCs w:val="20"/>
        </w:rPr>
        <w:t> Las partes de que la Secretaría tiene conocimiento y que podrían tener interés en comparecer al presente procedimiento, son las siguientes:</w:t>
      </w:r>
    </w:p>
    <w:p w:rsidR="00781920" w:rsidRPr="00781920" w:rsidRDefault="00781920" w:rsidP="00781920">
      <w:pPr>
        <w:rPr>
          <w:rFonts w:ascii="Verdana" w:hAnsi="Verdana"/>
          <w:sz w:val="20"/>
          <w:szCs w:val="20"/>
        </w:rPr>
      </w:pPr>
      <w:r w:rsidRPr="00781920">
        <w:rPr>
          <w:rFonts w:ascii="Verdana" w:hAnsi="Verdana"/>
          <w:b/>
          <w:bCs/>
          <w:sz w:val="20"/>
          <w:szCs w:val="20"/>
        </w:rPr>
        <w:t>1. Productora nacional</w:t>
      </w:r>
    </w:p>
    <w:p w:rsidR="00781920" w:rsidRPr="00781920" w:rsidRDefault="00781920" w:rsidP="00781920">
      <w:pPr>
        <w:rPr>
          <w:rFonts w:ascii="Verdana" w:hAnsi="Verdana"/>
          <w:sz w:val="20"/>
          <w:szCs w:val="20"/>
        </w:rPr>
      </w:pPr>
      <w:r w:rsidRPr="00781920">
        <w:rPr>
          <w:rFonts w:ascii="Verdana" w:hAnsi="Verdana"/>
          <w:sz w:val="20"/>
          <w:szCs w:val="20"/>
        </w:rPr>
        <w:t>Altos Hornos de México, S.A.B. de C.V.</w:t>
      </w:r>
    </w:p>
    <w:p w:rsidR="00781920" w:rsidRPr="00781920" w:rsidRDefault="00781920" w:rsidP="00781920">
      <w:pPr>
        <w:rPr>
          <w:rFonts w:ascii="Verdana" w:hAnsi="Verdana"/>
          <w:sz w:val="20"/>
          <w:szCs w:val="20"/>
        </w:rPr>
      </w:pPr>
      <w:r w:rsidRPr="00781920">
        <w:rPr>
          <w:rFonts w:ascii="Verdana" w:hAnsi="Verdana"/>
          <w:sz w:val="20"/>
          <w:szCs w:val="20"/>
        </w:rPr>
        <w:t>Av. Campos Elíseos No. 29, piso 4</w:t>
      </w:r>
    </w:p>
    <w:p w:rsidR="00781920" w:rsidRPr="00781920" w:rsidRDefault="00781920" w:rsidP="00781920">
      <w:pPr>
        <w:rPr>
          <w:rFonts w:ascii="Verdana" w:hAnsi="Verdana"/>
          <w:sz w:val="20"/>
          <w:szCs w:val="20"/>
        </w:rPr>
      </w:pPr>
      <w:r w:rsidRPr="00781920">
        <w:rPr>
          <w:rFonts w:ascii="Verdana" w:hAnsi="Verdana"/>
          <w:sz w:val="20"/>
          <w:szCs w:val="20"/>
        </w:rPr>
        <w:t>Col. Rincón del Bosque</w:t>
      </w:r>
    </w:p>
    <w:p w:rsidR="00781920" w:rsidRPr="00781920" w:rsidRDefault="00781920" w:rsidP="00781920">
      <w:pPr>
        <w:rPr>
          <w:rFonts w:ascii="Verdana" w:hAnsi="Verdana"/>
          <w:sz w:val="20"/>
          <w:szCs w:val="20"/>
        </w:rPr>
      </w:pPr>
      <w:r w:rsidRPr="00781920">
        <w:rPr>
          <w:rFonts w:ascii="Verdana" w:hAnsi="Verdana"/>
          <w:sz w:val="20"/>
          <w:szCs w:val="20"/>
        </w:rPr>
        <w:t>C.P. 11580, Ciudad de México</w:t>
      </w:r>
    </w:p>
    <w:p w:rsidR="00781920" w:rsidRPr="00781920" w:rsidRDefault="00781920" w:rsidP="00781920">
      <w:pPr>
        <w:rPr>
          <w:rFonts w:ascii="Verdana" w:hAnsi="Verdana"/>
          <w:sz w:val="20"/>
          <w:szCs w:val="20"/>
        </w:rPr>
      </w:pPr>
      <w:r w:rsidRPr="00781920">
        <w:rPr>
          <w:rFonts w:ascii="Verdana" w:hAnsi="Verdana"/>
          <w:b/>
          <w:bCs/>
          <w:sz w:val="20"/>
          <w:szCs w:val="20"/>
        </w:rPr>
        <w:t>2. Importadoras</w:t>
      </w:r>
    </w:p>
    <w:p w:rsidR="00781920" w:rsidRPr="00781920" w:rsidRDefault="00781920" w:rsidP="00781920">
      <w:pPr>
        <w:rPr>
          <w:rFonts w:ascii="Verdana" w:hAnsi="Verdana"/>
          <w:sz w:val="20"/>
          <w:szCs w:val="20"/>
        </w:rPr>
      </w:pPr>
      <w:r w:rsidRPr="00781920">
        <w:rPr>
          <w:rFonts w:ascii="Verdana" w:hAnsi="Verdana"/>
          <w:sz w:val="20"/>
          <w:szCs w:val="20"/>
        </w:rPr>
        <w:t xml:space="preserve">Aceros </w:t>
      </w:r>
      <w:proofErr w:type="spellStart"/>
      <w:r w:rsidRPr="00781920">
        <w:rPr>
          <w:rFonts w:ascii="Verdana" w:hAnsi="Verdana"/>
          <w:sz w:val="20"/>
          <w:szCs w:val="20"/>
        </w:rPr>
        <w:t>Levinson</w:t>
      </w:r>
      <w:proofErr w:type="spellEnd"/>
      <w:r w:rsidRPr="00781920">
        <w:rPr>
          <w:rFonts w:ascii="Verdana" w:hAnsi="Verdana"/>
          <w:sz w:val="20"/>
          <w:szCs w:val="20"/>
        </w:rPr>
        <w:t>, S.A. de C.V.</w:t>
      </w:r>
    </w:p>
    <w:p w:rsidR="00781920" w:rsidRPr="00781920" w:rsidRDefault="00781920" w:rsidP="00781920">
      <w:pPr>
        <w:rPr>
          <w:rFonts w:ascii="Verdana" w:hAnsi="Verdana"/>
          <w:sz w:val="20"/>
          <w:szCs w:val="20"/>
        </w:rPr>
      </w:pPr>
      <w:r w:rsidRPr="00781920">
        <w:rPr>
          <w:rFonts w:ascii="Verdana" w:hAnsi="Verdana"/>
          <w:sz w:val="20"/>
          <w:szCs w:val="20"/>
        </w:rPr>
        <w:t>Av. Ruiz Cortines Poniente No. 1824</w:t>
      </w:r>
    </w:p>
    <w:p w:rsidR="00781920" w:rsidRPr="00781920" w:rsidRDefault="00781920" w:rsidP="00781920">
      <w:pPr>
        <w:rPr>
          <w:rFonts w:ascii="Verdana" w:hAnsi="Verdana"/>
          <w:sz w:val="20"/>
          <w:szCs w:val="20"/>
        </w:rPr>
      </w:pPr>
      <w:r w:rsidRPr="00781920">
        <w:rPr>
          <w:rFonts w:ascii="Verdana" w:hAnsi="Verdana"/>
          <w:sz w:val="20"/>
          <w:szCs w:val="20"/>
        </w:rPr>
        <w:t>Col. Garza Nieto</w:t>
      </w:r>
    </w:p>
    <w:p w:rsidR="00781920" w:rsidRPr="00781920" w:rsidRDefault="00781920" w:rsidP="00781920">
      <w:pPr>
        <w:rPr>
          <w:rFonts w:ascii="Verdana" w:hAnsi="Verdana"/>
          <w:sz w:val="20"/>
          <w:szCs w:val="20"/>
        </w:rPr>
      </w:pPr>
      <w:r w:rsidRPr="00781920">
        <w:rPr>
          <w:rFonts w:ascii="Verdana" w:hAnsi="Verdana"/>
          <w:sz w:val="20"/>
          <w:szCs w:val="20"/>
        </w:rPr>
        <w:t>C.P. 64420, Monterrey, Nuevo León</w:t>
      </w:r>
    </w:p>
    <w:p w:rsidR="00781920" w:rsidRPr="00781920" w:rsidRDefault="00781920" w:rsidP="00781920">
      <w:pPr>
        <w:rPr>
          <w:rFonts w:ascii="Verdana" w:hAnsi="Verdana"/>
          <w:sz w:val="20"/>
          <w:szCs w:val="20"/>
        </w:rPr>
      </w:pPr>
      <w:proofErr w:type="spellStart"/>
      <w:r w:rsidRPr="00781920">
        <w:rPr>
          <w:rFonts w:ascii="Verdana" w:hAnsi="Verdana"/>
          <w:sz w:val="20"/>
          <w:szCs w:val="20"/>
        </w:rPr>
        <w:t>Andritz</w:t>
      </w:r>
      <w:proofErr w:type="spellEnd"/>
      <w:r w:rsidRPr="00781920">
        <w:rPr>
          <w:rFonts w:ascii="Verdana" w:hAnsi="Verdana"/>
          <w:sz w:val="20"/>
          <w:szCs w:val="20"/>
        </w:rPr>
        <w:t xml:space="preserve"> </w:t>
      </w:r>
      <w:proofErr w:type="spellStart"/>
      <w:r w:rsidRPr="00781920">
        <w:rPr>
          <w:rFonts w:ascii="Verdana" w:hAnsi="Verdana"/>
          <w:sz w:val="20"/>
          <w:szCs w:val="20"/>
        </w:rPr>
        <w:t>Hydro</w:t>
      </w:r>
      <w:proofErr w:type="spellEnd"/>
      <w:r w:rsidRPr="00781920">
        <w:rPr>
          <w:rFonts w:ascii="Verdana" w:hAnsi="Verdana"/>
          <w:sz w:val="20"/>
          <w:szCs w:val="20"/>
        </w:rPr>
        <w:t>, S.A. de C.V.</w:t>
      </w:r>
    </w:p>
    <w:p w:rsidR="00781920" w:rsidRPr="00781920" w:rsidRDefault="00781920" w:rsidP="00781920">
      <w:pPr>
        <w:rPr>
          <w:rFonts w:ascii="Verdana" w:hAnsi="Verdana"/>
          <w:sz w:val="20"/>
          <w:szCs w:val="20"/>
        </w:rPr>
      </w:pPr>
      <w:r w:rsidRPr="00781920">
        <w:rPr>
          <w:rFonts w:ascii="Verdana" w:hAnsi="Verdana"/>
          <w:sz w:val="20"/>
          <w:szCs w:val="20"/>
        </w:rPr>
        <w:lastRenderedPageBreak/>
        <w:t>Av. Ciudad Industrial No. 977</w:t>
      </w:r>
    </w:p>
    <w:p w:rsidR="00781920" w:rsidRPr="00781920" w:rsidRDefault="00781920" w:rsidP="00781920">
      <w:pPr>
        <w:rPr>
          <w:rFonts w:ascii="Verdana" w:hAnsi="Verdana"/>
          <w:sz w:val="20"/>
          <w:szCs w:val="20"/>
        </w:rPr>
      </w:pPr>
      <w:r w:rsidRPr="00781920">
        <w:rPr>
          <w:rFonts w:ascii="Verdana" w:hAnsi="Verdana"/>
          <w:sz w:val="20"/>
          <w:szCs w:val="20"/>
        </w:rPr>
        <w:t>Col. Ciudad Industrial</w:t>
      </w:r>
    </w:p>
    <w:p w:rsidR="00781920" w:rsidRPr="00781920" w:rsidRDefault="00781920" w:rsidP="00781920">
      <w:pPr>
        <w:rPr>
          <w:rFonts w:ascii="Verdana" w:hAnsi="Verdana"/>
          <w:sz w:val="20"/>
          <w:szCs w:val="20"/>
        </w:rPr>
      </w:pPr>
      <w:r w:rsidRPr="00781920">
        <w:rPr>
          <w:rFonts w:ascii="Verdana" w:hAnsi="Verdana"/>
          <w:sz w:val="20"/>
          <w:szCs w:val="20"/>
        </w:rPr>
        <w:t>C.P. 58200, Morelia, Michoacán</w:t>
      </w:r>
    </w:p>
    <w:p w:rsidR="00781920" w:rsidRPr="00781920" w:rsidRDefault="00781920" w:rsidP="00781920">
      <w:pPr>
        <w:rPr>
          <w:rFonts w:ascii="Verdana" w:hAnsi="Verdana"/>
          <w:sz w:val="20"/>
          <w:szCs w:val="20"/>
        </w:rPr>
      </w:pPr>
      <w:r w:rsidRPr="00781920">
        <w:rPr>
          <w:rFonts w:ascii="Verdana" w:hAnsi="Verdana"/>
          <w:sz w:val="20"/>
          <w:szCs w:val="20"/>
        </w:rPr>
        <w:t>C&amp;F Steel International México, S.A. de C.V.</w:t>
      </w:r>
    </w:p>
    <w:p w:rsidR="00781920" w:rsidRPr="00781920" w:rsidRDefault="00781920" w:rsidP="00781920">
      <w:pPr>
        <w:rPr>
          <w:rFonts w:ascii="Verdana" w:hAnsi="Verdana"/>
          <w:sz w:val="20"/>
          <w:szCs w:val="20"/>
        </w:rPr>
      </w:pPr>
      <w:r w:rsidRPr="00781920">
        <w:rPr>
          <w:rFonts w:ascii="Verdana" w:hAnsi="Verdana"/>
          <w:sz w:val="20"/>
          <w:szCs w:val="20"/>
        </w:rPr>
        <w:t xml:space="preserve">Av. Ricardo </w:t>
      </w:r>
      <w:proofErr w:type="spellStart"/>
      <w:r w:rsidRPr="00781920">
        <w:rPr>
          <w:rFonts w:ascii="Verdana" w:hAnsi="Verdana"/>
          <w:sz w:val="20"/>
          <w:szCs w:val="20"/>
        </w:rPr>
        <w:t>Margaín</w:t>
      </w:r>
      <w:proofErr w:type="spellEnd"/>
      <w:r w:rsidRPr="00781920">
        <w:rPr>
          <w:rFonts w:ascii="Verdana" w:hAnsi="Verdana"/>
          <w:sz w:val="20"/>
          <w:szCs w:val="20"/>
        </w:rPr>
        <w:t xml:space="preserve"> No. 260 PB 24</w:t>
      </w:r>
    </w:p>
    <w:p w:rsidR="00781920" w:rsidRPr="00781920" w:rsidRDefault="00781920" w:rsidP="00781920">
      <w:pPr>
        <w:rPr>
          <w:rFonts w:ascii="Verdana" w:hAnsi="Verdana"/>
          <w:sz w:val="20"/>
          <w:szCs w:val="20"/>
        </w:rPr>
      </w:pPr>
      <w:r w:rsidRPr="00781920">
        <w:rPr>
          <w:rFonts w:ascii="Verdana" w:hAnsi="Verdana"/>
          <w:sz w:val="20"/>
          <w:szCs w:val="20"/>
        </w:rPr>
        <w:t>Col. Valle del Campestre</w:t>
      </w:r>
    </w:p>
    <w:p w:rsidR="00781920" w:rsidRPr="00781920" w:rsidRDefault="00781920" w:rsidP="00781920">
      <w:pPr>
        <w:rPr>
          <w:rFonts w:ascii="Verdana" w:hAnsi="Verdana"/>
          <w:sz w:val="20"/>
          <w:szCs w:val="20"/>
        </w:rPr>
      </w:pPr>
      <w:r w:rsidRPr="00781920">
        <w:rPr>
          <w:rFonts w:ascii="Verdana" w:hAnsi="Verdana"/>
          <w:sz w:val="20"/>
          <w:szCs w:val="20"/>
        </w:rPr>
        <w:t>C.P. 66267, San Pedro Garza, Nuevo León</w:t>
      </w:r>
    </w:p>
    <w:p w:rsidR="00781920" w:rsidRPr="00781920" w:rsidRDefault="00781920" w:rsidP="00781920">
      <w:pPr>
        <w:rPr>
          <w:rFonts w:ascii="Verdana" w:hAnsi="Verdana"/>
          <w:sz w:val="20"/>
          <w:szCs w:val="20"/>
        </w:rPr>
      </w:pPr>
      <w:r w:rsidRPr="00781920">
        <w:rPr>
          <w:rFonts w:ascii="Verdana" w:hAnsi="Verdana"/>
          <w:sz w:val="20"/>
          <w:szCs w:val="20"/>
        </w:rPr>
        <w:t>Industrial Mexicana del Hierro y el Acero, S.A. de C.V.</w:t>
      </w:r>
    </w:p>
    <w:p w:rsidR="00781920" w:rsidRPr="00781920" w:rsidRDefault="00781920" w:rsidP="00781920">
      <w:pPr>
        <w:rPr>
          <w:rFonts w:ascii="Verdana" w:hAnsi="Verdana"/>
          <w:sz w:val="20"/>
          <w:szCs w:val="20"/>
        </w:rPr>
      </w:pPr>
      <w:r w:rsidRPr="00781920">
        <w:rPr>
          <w:rFonts w:ascii="Verdana" w:hAnsi="Verdana"/>
          <w:sz w:val="20"/>
          <w:szCs w:val="20"/>
        </w:rPr>
        <w:t>Julio Díaz Torre No. 206</w:t>
      </w:r>
    </w:p>
    <w:p w:rsidR="00781920" w:rsidRPr="00781920" w:rsidRDefault="00781920" w:rsidP="00781920">
      <w:pPr>
        <w:rPr>
          <w:rFonts w:ascii="Verdana" w:hAnsi="Verdana"/>
          <w:sz w:val="20"/>
          <w:szCs w:val="20"/>
        </w:rPr>
      </w:pPr>
      <w:r w:rsidRPr="00781920">
        <w:rPr>
          <w:rFonts w:ascii="Verdana" w:hAnsi="Verdana"/>
          <w:sz w:val="20"/>
          <w:szCs w:val="20"/>
        </w:rPr>
        <w:t>Col. Ciudad Industrial</w:t>
      </w:r>
    </w:p>
    <w:p w:rsidR="00781920" w:rsidRPr="00781920" w:rsidRDefault="00781920" w:rsidP="00781920">
      <w:pPr>
        <w:rPr>
          <w:rFonts w:ascii="Verdana" w:hAnsi="Verdana"/>
          <w:sz w:val="20"/>
          <w:szCs w:val="20"/>
        </w:rPr>
      </w:pPr>
      <w:r w:rsidRPr="00781920">
        <w:rPr>
          <w:rFonts w:ascii="Verdana" w:hAnsi="Verdana"/>
          <w:sz w:val="20"/>
          <w:szCs w:val="20"/>
        </w:rPr>
        <w:t>C.P. 20290, Aguascalientes, Aguascalientes</w:t>
      </w:r>
    </w:p>
    <w:p w:rsidR="00781920" w:rsidRPr="00781920" w:rsidRDefault="00781920" w:rsidP="00781920">
      <w:pPr>
        <w:rPr>
          <w:rFonts w:ascii="Verdana" w:hAnsi="Verdana"/>
          <w:sz w:val="20"/>
          <w:szCs w:val="20"/>
        </w:rPr>
      </w:pPr>
      <w:r w:rsidRPr="00781920">
        <w:rPr>
          <w:rFonts w:ascii="Verdana" w:hAnsi="Verdana"/>
          <w:sz w:val="20"/>
          <w:szCs w:val="20"/>
        </w:rPr>
        <w:t>Servicios de Aceros de Occidente, S.A. de C.V.</w:t>
      </w:r>
    </w:p>
    <w:p w:rsidR="00781920" w:rsidRPr="00781920" w:rsidRDefault="00781920" w:rsidP="00781920">
      <w:pPr>
        <w:rPr>
          <w:rFonts w:ascii="Verdana" w:hAnsi="Verdana"/>
          <w:sz w:val="20"/>
          <w:szCs w:val="20"/>
        </w:rPr>
      </w:pPr>
      <w:r w:rsidRPr="00781920">
        <w:rPr>
          <w:rFonts w:ascii="Verdana" w:hAnsi="Verdana"/>
          <w:sz w:val="20"/>
          <w:szCs w:val="20"/>
        </w:rPr>
        <w:t>Calle 22 No. 2403</w:t>
      </w:r>
    </w:p>
    <w:p w:rsidR="00781920" w:rsidRPr="00781920" w:rsidRDefault="00781920" w:rsidP="00781920">
      <w:pPr>
        <w:rPr>
          <w:rFonts w:ascii="Verdana" w:hAnsi="Verdana"/>
          <w:sz w:val="20"/>
          <w:szCs w:val="20"/>
        </w:rPr>
      </w:pPr>
      <w:r w:rsidRPr="00781920">
        <w:rPr>
          <w:rFonts w:ascii="Verdana" w:hAnsi="Verdana"/>
          <w:sz w:val="20"/>
          <w:szCs w:val="20"/>
        </w:rPr>
        <w:t>Col. Zona Industrial</w:t>
      </w:r>
    </w:p>
    <w:p w:rsidR="00781920" w:rsidRPr="00781920" w:rsidRDefault="00781920" w:rsidP="00781920">
      <w:pPr>
        <w:rPr>
          <w:rFonts w:ascii="Verdana" w:hAnsi="Verdana"/>
          <w:sz w:val="20"/>
          <w:szCs w:val="20"/>
        </w:rPr>
      </w:pPr>
      <w:r w:rsidRPr="00781920">
        <w:rPr>
          <w:rFonts w:ascii="Verdana" w:hAnsi="Verdana"/>
          <w:sz w:val="20"/>
          <w:szCs w:val="20"/>
        </w:rPr>
        <w:t>C.P. 44940, Guadalajara, Jalisco</w:t>
      </w:r>
    </w:p>
    <w:p w:rsidR="00781920" w:rsidRPr="00781920" w:rsidRDefault="00781920" w:rsidP="00781920">
      <w:pPr>
        <w:rPr>
          <w:rFonts w:ascii="Verdana" w:hAnsi="Verdana"/>
          <w:sz w:val="20"/>
          <w:szCs w:val="20"/>
        </w:rPr>
      </w:pPr>
      <w:r w:rsidRPr="00781920">
        <w:rPr>
          <w:rFonts w:ascii="Verdana" w:hAnsi="Verdana"/>
          <w:b/>
          <w:bCs/>
          <w:sz w:val="20"/>
          <w:szCs w:val="20"/>
        </w:rPr>
        <w:t>3. Gobierno</w:t>
      </w:r>
    </w:p>
    <w:p w:rsidR="00781920" w:rsidRPr="00781920" w:rsidRDefault="00781920" w:rsidP="00781920">
      <w:pPr>
        <w:rPr>
          <w:rFonts w:ascii="Verdana" w:hAnsi="Verdana"/>
          <w:sz w:val="20"/>
          <w:szCs w:val="20"/>
        </w:rPr>
      </w:pPr>
      <w:r w:rsidRPr="00781920">
        <w:rPr>
          <w:rFonts w:ascii="Verdana" w:hAnsi="Verdana"/>
          <w:sz w:val="20"/>
          <w:szCs w:val="20"/>
        </w:rPr>
        <w:t>Embajada de China en México</w:t>
      </w:r>
    </w:p>
    <w:p w:rsidR="00781920" w:rsidRPr="00781920" w:rsidRDefault="00781920" w:rsidP="00781920">
      <w:pPr>
        <w:rPr>
          <w:rFonts w:ascii="Verdana" w:hAnsi="Verdana"/>
          <w:sz w:val="20"/>
          <w:szCs w:val="20"/>
        </w:rPr>
      </w:pPr>
      <w:r w:rsidRPr="00781920">
        <w:rPr>
          <w:rFonts w:ascii="Verdana" w:hAnsi="Verdana"/>
          <w:sz w:val="20"/>
          <w:szCs w:val="20"/>
        </w:rPr>
        <w:t>Platón No. 317</w:t>
      </w:r>
    </w:p>
    <w:p w:rsidR="00781920" w:rsidRPr="00781920" w:rsidRDefault="00781920" w:rsidP="00781920">
      <w:pPr>
        <w:rPr>
          <w:rFonts w:ascii="Verdana" w:hAnsi="Verdana"/>
          <w:sz w:val="20"/>
          <w:szCs w:val="20"/>
        </w:rPr>
      </w:pPr>
      <w:r w:rsidRPr="00781920">
        <w:rPr>
          <w:rFonts w:ascii="Verdana" w:hAnsi="Verdana"/>
          <w:sz w:val="20"/>
          <w:szCs w:val="20"/>
        </w:rPr>
        <w:t> </w:t>
      </w:r>
    </w:p>
    <w:p w:rsidR="00781920" w:rsidRPr="00781920" w:rsidRDefault="00781920" w:rsidP="00781920">
      <w:pPr>
        <w:rPr>
          <w:rFonts w:ascii="Verdana" w:hAnsi="Verdana"/>
          <w:sz w:val="20"/>
          <w:szCs w:val="20"/>
        </w:rPr>
      </w:pPr>
      <w:r w:rsidRPr="00781920">
        <w:rPr>
          <w:rFonts w:ascii="Verdana" w:hAnsi="Verdana"/>
          <w:sz w:val="20"/>
          <w:szCs w:val="20"/>
        </w:rPr>
        <w:t>Col. Polanco</w:t>
      </w:r>
    </w:p>
    <w:p w:rsidR="00781920" w:rsidRPr="00781920" w:rsidRDefault="00781920" w:rsidP="00781920">
      <w:pPr>
        <w:rPr>
          <w:rFonts w:ascii="Verdana" w:hAnsi="Verdana"/>
          <w:sz w:val="20"/>
          <w:szCs w:val="20"/>
        </w:rPr>
      </w:pPr>
      <w:r w:rsidRPr="00781920">
        <w:rPr>
          <w:rFonts w:ascii="Verdana" w:hAnsi="Verdana"/>
          <w:sz w:val="20"/>
          <w:szCs w:val="20"/>
        </w:rPr>
        <w:t>C.P. 11560, Ciudad de México</w:t>
      </w:r>
    </w:p>
    <w:p w:rsidR="00781920" w:rsidRPr="00781920" w:rsidRDefault="00781920" w:rsidP="00781920">
      <w:pPr>
        <w:rPr>
          <w:rFonts w:ascii="Verdana" w:hAnsi="Verdana"/>
          <w:b/>
          <w:bCs/>
          <w:sz w:val="20"/>
          <w:szCs w:val="20"/>
        </w:rPr>
      </w:pPr>
      <w:r w:rsidRPr="00781920">
        <w:rPr>
          <w:rFonts w:ascii="Verdana" w:hAnsi="Verdana"/>
          <w:b/>
          <w:bCs/>
          <w:sz w:val="20"/>
          <w:szCs w:val="20"/>
        </w:rPr>
        <w:t>CONSIDERANDOS</w:t>
      </w:r>
    </w:p>
    <w:p w:rsidR="00781920" w:rsidRPr="00781920" w:rsidRDefault="00781920" w:rsidP="00781920">
      <w:pPr>
        <w:rPr>
          <w:rFonts w:ascii="Verdana" w:hAnsi="Verdana"/>
          <w:sz w:val="20"/>
          <w:szCs w:val="20"/>
        </w:rPr>
      </w:pPr>
      <w:r w:rsidRPr="00781920">
        <w:rPr>
          <w:rFonts w:ascii="Verdana" w:hAnsi="Verdana"/>
          <w:b/>
          <w:bCs/>
          <w:sz w:val="20"/>
          <w:szCs w:val="20"/>
        </w:rPr>
        <w:t>A. Competencia</w:t>
      </w:r>
    </w:p>
    <w:p w:rsidR="00781920" w:rsidRPr="00781920" w:rsidRDefault="00781920" w:rsidP="00781920">
      <w:pPr>
        <w:rPr>
          <w:rFonts w:ascii="Verdana" w:hAnsi="Verdana"/>
          <w:sz w:val="20"/>
          <w:szCs w:val="20"/>
        </w:rPr>
      </w:pPr>
      <w:r w:rsidRPr="00781920">
        <w:rPr>
          <w:rFonts w:ascii="Verdana" w:hAnsi="Verdana"/>
          <w:b/>
          <w:bCs/>
          <w:sz w:val="20"/>
          <w:szCs w:val="20"/>
        </w:rPr>
        <w:t>17. </w:t>
      </w:r>
      <w:r w:rsidRPr="00781920">
        <w:rPr>
          <w:rFonts w:ascii="Verdana" w:hAnsi="Verdana"/>
          <w:sz w:val="20"/>
          <w:szCs w:val="20"/>
        </w:rPr>
        <w:t xml:space="preserve">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w:t>
      </w:r>
      <w:r w:rsidRPr="00781920">
        <w:rPr>
          <w:rFonts w:ascii="Verdana" w:hAnsi="Verdana"/>
          <w:sz w:val="20"/>
          <w:szCs w:val="20"/>
        </w:rPr>
        <w:lastRenderedPageBreak/>
        <w:t>89 F de la Ley de Comercio Exterior (LCE), y 80 y 81 del Reglamento de la Ley de Comercio Exterior (RLCE).</w:t>
      </w:r>
    </w:p>
    <w:p w:rsidR="00781920" w:rsidRPr="00781920" w:rsidRDefault="00781920" w:rsidP="00781920">
      <w:pPr>
        <w:rPr>
          <w:rFonts w:ascii="Verdana" w:hAnsi="Verdana"/>
          <w:sz w:val="20"/>
          <w:szCs w:val="20"/>
        </w:rPr>
      </w:pPr>
      <w:r w:rsidRPr="00781920">
        <w:rPr>
          <w:rFonts w:ascii="Verdana" w:hAnsi="Verdana"/>
          <w:b/>
          <w:bCs/>
          <w:sz w:val="20"/>
          <w:szCs w:val="20"/>
        </w:rPr>
        <w:t>B. Legislación aplicable</w:t>
      </w:r>
    </w:p>
    <w:p w:rsidR="00781920" w:rsidRPr="00781920" w:rsidRDefault="00781920" w:rsidP="00781920">
      <w:pPr>
        <w:rPr>
          <w:rFonts w:ascii="Verdana" w:hAnsi="Verdana"/>
          <w:sz w:val="20"/>
          <w:szCs w:val="20"/>
        </w:rPr>
      </w:pPr>
      <w:r w:rsidRPr="00781920">
        <w:rPr>
          <w:rFonts w:ascii="Verdana" w:hAnsi="Verdana"/>
          <w:b/>
          <w:bCs/>
          <w:sz w:val="20"/>
          <w:szCs w:val="20"/>
        </w:rPr>
        <w:t>18. </w:t>
      </w:r>
      <w:r w:rsidRPr="00781920">
        <w:rPr>
          <w:rFonts w:ascii="Verdana" w:hAnsi="Verdana"/>
          <w:sz w:val="20"/>
          <w:szCs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781920" w:rsidRPr="00781920" w:rsidRDefault="00781920" w:rsidP="00781920">
      <w:pPr>
        <w:rPr>
          <w:rFonts w:ascii="Verdana" w:hAnsi="Verdana"/>
          <w:sz w:val="20"/>
          <w:szCs w:val="20"/>
        </w:rPr>
      </w:pPr>
      <w:r w:rsidRPr="00781920">
        <w:rPr>
          <w:rFonts w:ascii="Verdana" w:hAnsi="Verdana"/>
          <w:b/>
          <w:bCs/>
          <w:sz w:val="20"/>
          <w:szCs w:val="20"/>
        </w:rPr>
        <w:t>C. Protección de la información confidencial</w:t>
      </w:r>
    </w:p>
    <w:p w:rsidR="00781920" w:rsidRPr="00781920" w:rsidRDefault="00781920" w:rsidP="00781920">
      <w:pPr>
        <w:rPr>
          <w:rFonts w:ascii="Verdana" w:hAnsi="Verdana"/>
          <w:sz w:val="20"/>
          <w:szCs w:val="20"/>
        </w:rPr>
      </w:pPr>
      <w:r w:rsidRPr="00781920">
        <w:rPr>
          <w:rFonts w:ascii="Verdana" w:hAnsi="Verdana"/>
          <w:b/>
          <w:bCs/>
          <w:sz w:val="20"/>
          <w:szCs w:val="20"/>
        </w:rPr>
        <w:t>19. </w:t>
      </w:r>
      <w:r w:rsidRPr="00781920">
        <w:rPr>
          <w:rFonts w:ascii="Verdana" w:hAnsi="Verdana"/>
          <w:sz w:val="20"/>
          <w:szCs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781920" w:rsidRPr="00781920" w:rsidRDefault="00781920" w:rsidP="00781920">
      <w:pPr>
        <w:rPr>
          <w:rFonts w:ascii="Verdana" w:hAnsi="Verdana"/>
          <w:sz w:val="20"/>
          <w:szCs w:val="20"/>
        </w:rPr>
      </w:pPr>
      <w:r w:rsidRPr="00781920">
        <w:rPr>
          <w:rFonts w:ascii="Verdana" w:hAnsi="Verdana"/>
          <w:b/>
          <w:bCs/>
          <w:sz w:val="20"/>
          <w:szCs w:val="20"/>
        </w:rPr>
        <w:t>D. Legitimación para el inicio del examen de vigencia de cuota</w:t>
      </w:r>
    </w:p>
    <w:p w:rsidR="00781920" w:rsidRPr="00781920" w:rsidRDefault="00781920" w:rsidP="00781920">
      <w:pPr>
        <w:rPr>
          <w:rFonts w:ascii="Verdana" w:hAnsi="Verdana"/>
          <w:sz w:val="20"/>
          <w:szCs w:val="20"/>
        </w:rPr>
      </w:pPr>
      <w:r w:rsidRPr="00781920">
        <w:rPr>
          <w:rFonts w:ascii="Verdana" w:hAnsi="Verdana"/>
          <w:b/>
          <w:bCs/>
          <w:sz w:val="20"/>
          <w:szCs w:val="20"/>
        </w:rPr>
        <w:t>20.</w:t>
      </w:r>
      <w:r w:rsidRPr="00781920">
        <w:rPr>
          <w:rFonts w:ascii="Verdana" w:hAnsi="Verdana"/>
          <w:sz w:val="20"/>
          <w:szCs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781920" w:rsidRPr="00781920" w:rsidRDefault="00781920" w:rsidP="00781920">
      <w:pPr>
        <w:rPr>
          <w:rFonts w:ascii="Verdana" w:hAnsi="Verdana"/>
          <w:sz w:val="20"/>
          <w:szCs w:val="20"/>
        </w:rPr>
      </w:pPr>
      <w:r w:rsidRPr="00781920">
        <w:rPr>
          <w:rFonts w:ascii="Verdana" w:hAnsi="Verdana"/>
          <w:b/>
          <w:bCs/>
          <w:sz w:val="20"/>
          <w:szCs w:val="20"/>
        </w:rPr>
        <w:t>21.</w:t>
      </w:r>
      <w:r w:rsidRPr="00781920">
        <w:rPr>
          <w:rFonts w:ascii="Verdana" w:hAnsi="Verdana"/>
          <w:sz w:val="20"/>
          <w:szCs w:val="20"/>
        </w:rPr>
        <w:t>   En el presente caso, AHMSA, en su calidad de productor nacional del producto objeto de examen, manifestó en tiempo y forma su interés en que se inicie el examen de vigencia de la cuota compensatoria definitiva impuesta a las importaciones de placa de acero en hoja originarias de China, por lo que se actualizan los supuestos previstos en la legislación de la materia y, en consecuencia, procede iniciarlo.</w:t>
      </w:r>
    </w:p>
    <w:p w:rsidR="00781920" w:rsidRPr="00781920" w:rsidRDefault="00781920" w:rsidP="00781920">
      <w:pPr>
        <w:rPr>
          <w:rFonts w:ascii="Verdana" w:hAnsi="Verdana"/>
          <w:sz w:val="20"/>
          <w:szCs w:val="20"/>
        </w:rPr>
      </w:pPr>
      <w:r w:rsidRPr="00781920">
        <w:rPr>
          <w:rFonts w:ascii="Verdana" w:hAnsi="Verdana"/>
          <w:b/>
          <w:bCs/>
          <w:sz w:val="20"/>
          <w:szCs w:val="20"/>
        </w:rPr>
        <w:t>E. Periodo de examen y de análisis</w:t>
      </w:r>
    </w:p>
    <w:p w:rsidR="00781920" w:rsidRPr="00781920" w:rsidRDefault="00781920" w:rsidP="00781920">
      <w:pPr>
        <w:rPr>
          <w:rFonts w:ascii="Verdana" w:hAnsi="Verdana"/>
          <w:sz w:val="20"/>
          <w:szCs w:val="20"/>
        </w:rPr>
      </w:pPr>
      <w:r w:rsidRPr="00781920">
        <w:rPr>
          <w:rFonts w:ascii="Verdana" w:hAnsi="Verdana"/>
          <w:b/>
          <w:bCs/>
          <w:sz w:val="20"/>
          <w:szCs w:val="20"/>
        </w:rPr>
        <w:t>22. </w:t>
      </w:r>
      <w:r w:rsidRPr="00781920">
        <w:rPr>
          <w:rFonts w:ascii="Verdana" w:hAnsi="Verdana"/>
          <w:sz w:val="20"/>
          <w:szCs w:val="20"/>
        </w:rPr>
        <w:t>La Secretaría determina fijar como periodo de examen el propuesto por AHMSA, comprendido del 1 de julio de 2018 al 30 de junio de 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G/ADP/6 adoptado el 5 de mayo de 2000).</w:t>
      </w:r>
    </w:p>
    <w:p w:rsidR="00781920" w:rsidRPr="00781920" w:rsidRDefault="00781920" w:rsidP="00781920">
      <w:pPr>
        <w:rPr>
          <w:rFonts w:ascii="Verdana" w:hAnsi="Verdana"/>
          <w:sz w:val="20"/>
          <w:szCs w:val="20"/>
        </w:rPr>
      </w:pPr>
      <w:r w:rsidRPr="00781920">
        <w:rPr>
          <w:rFonts w:ascii="Verdana" w:hAnsi="Verdana"/>
          <w:b/>
          <w:bCs/>
          <w:sz w:val="20"/>
          <w:szCs w:val="20"/>
        </w:rPr>
        <w:t>23.</w:t>
      </w:r>
      <w:r w:rsidRPr="00781920">
        <w:rPr>
          <w:rFonts w:ascii="Verdana" w:hAnsi="Verdana"/>
          <w:sz w:val="20"/>
          <w:szCs w:val="20"/>
        </w:rPr>
        <w:t> Por lo expuesto, con fundamento en los artículos 11.1 y 11.3 del Acuerdo Antidumping, y 67, 70 </w:t>
      </w:r>
      <w:proofErr w:type="gramStart"/>
      <w:r w:rsidRPr="00781920">
        <w:rPr>
          <w:rFonts w:ascii="Verdana" w:hAnsi="Verdana"/>
          <w:sz w:val="20"/>
          <w:szCs w:val="20"/>
        </w:rPr>
        <w:t>fracción</w:t>
      </w:r>
      <w:proofErr w:type="gramEnd"/>
      <w:r w:rsidRPr="00781920">
        <w:rPr>
          <w:rFonts w:ascii="Verdana" w:hAnsi="Verdana"/>
          <w:sz w:val="20"/>
          <w:szCs w:val="20"/>
        </w:rPr>
        <w:t xml:space="preserve"> II, 70 B y 89 F de la LCE, se emite la siguiente</w:t>
      </w:r>
    </w:p>
    <w:p w:rsidR="00781920" w:rsidRPr="00781920" w:rsidRDefault="00781920" w:rsidP="00781920">
      <w:pPr>
        <w:rPr>
          <w:rFonts w:ascii="Verdana" w:hAnsi="Verdana"/>
          <w:b/>
          <w:bCs/>
          <w:sz w:val="20"/>
          <w:szCs w:val="20"/>
        </w:rPr>
      </w:pPr>
      <w:r w:rsidRPr="00781920">
        <w:rPr>
          <w:rFonts w:ascii="Verdana" w:hAnsi="Verdana"/>
          <w:b/>
          <w:bCs/>
          <w:sz w:val="20"/>
          <w:szCs w:val="20"/>
        </w:rPr>
        <w:t>RESOLUCIÓN</w:t>
      </w:r>
    </w:p>
    <w:p w:rsidR="00781920" w:rsidRPr="00781920" w:rsidRDefault="00781920" w:rsidP="00781920">
      <w:pPr>
        <w:rPr>
          <w:rFonts w:ascii="Verdana" w:hAnsi="Verdana"/>
          <w:sz w:val="20"/>
          <w:szCs w:val="20"/>
        </w:rPr>
      </w:pPr>
      <w:r w:rsidRPr="00781920">
        <w:rPr>
          <w:rFonts w:ascii="Verdana" w:hAnsi="Verdana"/>
          <w:b/>
          <w:bCs/>
          <w:sz w:val="20"/>
          <w:szCs w:val="20"/>
        </w:rPr>
        <w:t>24.</w:t>
      </w:r>
      <w:r w:rsidRPr="00781920">
        <w:rPr>
          <w:rFonts w:ascii="Verdana" w:hAnsi="Verdana"/>
          <w:sz w:val="20"/>
          <w:szCs w:val="20"/>
        </w:rPr>
        <w:t xml:space="preserve"> Se declara el inicio del examen de vigencia de la cuota compensatoria definitiva impuesta a las importaciones de placa de acero en hoja originarias de China, independientemente del país de procedencia, que ingresan a través de las fracciones </w:t>
      </w:r>
      <w:r w:rsidRPr="00781920">
        <w:rPr>
          <w:rFonts w:ascii="Verdana" w:hAnsi="Verdana"/>
          <w:sz w:val="20"/>
          <w:szCs w:val="20"/>
        </w:rPr>
        <w:lastRenderedPageBreak/>
        <w:t>arancelarias 7208.51.01, 7208.51.02, 7208.51.03, 7208.52.01, 7225.40.01 y 7225.40.02 de la TIGIE, o por cualquier otra.</w:t>
      </w:r>
    </w:p>
    <w:p w:rsidR="00781920" w:rsidRPr="00781920" w:rsidRDefault="00781920" w:rsidP="00781920">
      <w:pPr>
        <w:rPr>
          <w:rFonts w:ascii="Verdana" w:hAnsi="Verdana"/>
          <w:sz w:val="20"/>
          <w:szCs w:val="20"/>
        </w:rPr>
      </w:pPr>
      <w:r w:rsidRPr="00781920">
        <w:rPr>
          <w:rFonts w:ascii="Verdana" w:hAnsi="Verdana"/>
          <w:b/>
          <w:bCs/>
          <w:sz w:val="20"/>
          <w:szCs w:val="20"/>
        </w:rPr>
        <w:t>25.</w:t>
      </w:r>
      <w:r w:rsidRPr="00781920">
        <w:rPr>
          <w:rFonts w:ascii="Verdana" w:hAnsi="Verdana"/>
          <w:sz w:val="20"/>
          <w:szCs w:val="20"/>
        </w:rPr>
        <w:t> Se fija como periodo de examen el comprendido 1 de julio de 2018 al 30 de junio de 2019 y como periodo de análisis el comprendido del 1 de julio de 2014 al 30 de junio de 2019.</w:t>
      </w:r>
    </w:p>
    <w:p w:rsidR="00781920" w:rsidRPr="00781920" w:rsidRDefault="00781920" w:rsidP="00781920">
      <w:pPr>
        <w:rPr>
          <w:rFonts w:ascii="Verdana" w:hAnsi="Verdana"/>
          <w:sz w:val="20"/>
          <w:szCs w:val="20"/>
        </w:rPr>
      </w:pPr>
      <w:r w:rsidRPr="00781920">
        <w:rPr>
          <w:rFonts w:ascii="Verdana" w:hAnsi="Verdana"/>
          <w:b/>
          <w:bCs/>
          <w:sz w:val="20"/>
          <w:szCs w:val="20"/>
        </w:rPr>
        <w:t>26. </w:t>
      </w:r>
      <w:r w:rsidRPr="00781920">
        <w:rPr>
          <w:rFonts w:ascii="Verdana" w:hAnsi="Verdana"/>
          <w:sz w:val="20"/>
          <w:szCs w:val="20"/>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781920" w:rsidRPr="00781920" w:rsidRDefault="00781920" w:rsidP="00781920">
      <w:pPr>
        <w:rPr>
          <w:rFonts w:ascii="Verdana" w:hAnsi="Verdana"/>
          <w:sz w:val="20"/>
          <w:szCs w:val="20"/>
        </w:rPr>
      </w:pPr>
      <w:r w:rsidRPr="00781920">
        <w:rPr>
          <w:rFonts w:ascii="Verdana" w:hAnsi="Verdana"/>
          <w:b/>
          <w:bCs/>
          <w:sz w:val="20"/>
          <w:szCs w:val="20"/>
        </w:rPr>
        <w:t>27. </w:t>
      </w:r>
      <w:r w:rsidRPr="00781920">
        <w:rPr>
          <w:rFonts w:ascii="Verdana" w:hAnsi="Verdana"/>
          <w:sz w:val="20"/>
          <w:szCs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781920" w:rsidRPr="00781920" w:rsidRDefault="00781920" w:rsidP="00781920">
      <w:pPr>
        <w:rPr>
          <w:rFonts w:ascii="Verdana" w:hAnsi="Verdana"/>
          <w:sz w:val="20"/>
          <w:szCs w:val="20"/>
        </w:rPr>
      </w:pPr>
      <w:r w:rsidRPr="00781920">
        <w:rPr>
          <w:rFonts w:ascii="Verdana" w:hAnsi="Verdana"/>
          <w:b/>
          <w:bCs/>
          <w:sz w:val="20"/>
          <w:szCs w:val="20"/>
        </w:rPr>
        <w:t>28.</w:t>
      </w:r>
      <w:r w:rsidRPr="00781920">
        <w:rPr>
          <w:rFonts w:ascii="Verdana" w:hAnsi="Verdana"/>
          <w:sz w:val="20"/>
          <w:szCs w:val="20"/>
        </w:rPr>
        <w:t> 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781920" w:rsidRPr="00781920" w:rsidRDefault="00781920" w:rsidP="00781920">
      <w:pPr>
        <w:rPr>
          <w:rFonts w:ascii="Verdana" w:hAnsi="Verdana"/>
          <w:sz w:val="20"/>
          <w:szCs w:val="20"/>
        </w:rPr>
      </w:pPr>
      <w:r w:rsidRPr="00781920">
        <w:rPr>
          <w:rFonts w:ascii="Verdana" w:hAnsi="Verdana"/>
          <w:b/>
          <w:bCs/>
          <w:sz w:val="20"/>
          <w:szCs w:val="20"/>
        </w:rPr>
        <w:t>29.</w:t>
      </w:r>
      <w:r w:rsidRPr="00781920">
        <w:rPr>
          <w:rFonts w:ascii="Verdana" w:hAnsi="Verdana"/>
          <w:sz w:val="20"/>
          <w:szCs w:val="20"/>
        </w:rPr>
        <w:t> Notifíquese la presente Resolución a las partes de que se tenga conocimiento.</w:t>
      </w:r>
    </w:p>
    <w:p w:rsidR="00781920" w:rsidRPr="00781920" w:rsidRDefault="00781920" w:rsidP="00781920">
      <w:pPr>
        <w:rPr>
          <w:rFonts w:ascii="Verdana" w:hAnsi="Verdana"/>
          <w:sz w:val="20"/>
          <w:szCs w:val="20"/>
        </w:rPr>
      </w:pPr>
      <w:r w:rsidRPr="00781920">
        <w:rPr>
          <w:rFonts w:ascii="Verdana" w:hAnsi="Verdana"/>
          <w:b/>
          <w:bCs/>
          <w:sz w:val="20"/>
          <w:szCs w:val="20"/>
        </w:rPr>
        <w:t>30. </w:t>
      </w:r>
      <w:r w:rsidRPr="00781920">
        <w:rPr>
          <w:rFonts w:ascii="Verdana" w:hAnsi="Verdana"/>
          <w:sz w:val="20"/>
          <w:szCs w:val="20"/>
        </w:rPr>
        <w:t>Comuníquese esta Resolución al Servicio de Administración Tributaria, para los efectos legales correspondientes.</w:t>
      </w:r>
    </w:p>
    <w:p w:rsidR="00781920" w:rsidRPr="00781920" w:rsidRDefault="00781920" w:rsidP="00781920">
      <w:pPr>
        <w:rPr>
          <w:rFonts w:ascii="Verdana" w:hAnsi="Verdana"/>
          <w:sz w:val="20"/>
          <w:szCs w:val="20"/>
        </w:rPr>
      </w:pPr>
      <w:r w:rsidRPr="00781920">
        <w:rPr>
          <w:rFonts w:ascii="Verdana" w:hAnsi="Verdana"/>
          <w:sz w:val="20"/>
          <w:szCs w:val="20"/>
        </w:rPr>
        <w:t> </w:t>
      </w:r>
    </w:p>
    <w:p w:rsidR="00781920" w:rsidRPr="00781920" w:rsidRDefault="00781920" w:rsidP="00781920">
      <w:pPr>
        <w:rPr>
          <w:rFonts w:ascii="Verdana" w:hAnsi="Verdana"/>
          <w:sz w:val="20"/>
          <w:szCs w:val="20"/>
        </w:rPr>
      </w:pPr>
      <w:r w:rsidRPr="00781920">
        <w:rPr>
          <w:rFonts w:ascii="Verdana" w:hAnsi="Verdana"/>
          <w:b/>
          <w:bCs/>
          <w:sz w:val="20"/>
          <w:szCs w:val="20"/>
        </w:rPr>
        <w:t>31.</w:t>
      </w:r>
      <w:r w:rsidRPr="00781920">
        <w:rPr>
          <w:rFonts w:ascii="Verdana" w:hAnsi="Verdana"/>
          <w:sz w:val="20"/>
          <w:szCs w:val="20"/>
        </w:rPr>
        <w:t> La presente Resolución entrará en vigor al día siguiente de su publicación en el DOF.</w:t>
      </w:r>
    </w:p>
    <w:p w:rsidR="00781920" w:rsidRPr="00781920" w:rsidRDefault="00781920" w:rsidP="00781920">
      <w:pPr>
        <w:rPr>
          <w:rFonts w:ascii="Verdana" w:hAnsi="Verdana"/>
        </w:rPr>
      </w:pPr>
      <w:r w:rsidRPr="00781920">
        <w:rPr>
          <w:rFonts w:ascii="Verdana" w:hAnsi="Verdana"/>
          <w:sz w:val="20"/>
          <w:szCs w:val="20"/>
        </w:rPr>
        <w:t>Ciudad de México, a 19 de septiembre de 2019.- La Secretaria de Economía, </w:t>
      </w:r>
      <w:r w:rsidRPr="00781920">
        <w:rPr>
          <w:rFonts w:ascii="Verdana" w:hAnsi="Verdana"/>
          <w:b/>
          <w:bCs/>
          <w:sz w:val="20"/>
          <w:szCs w:val="20"/>
        </w:rPr>
        <w:t>Graciela Márquez Colín</w:t>
      </w:r>
      <w:r w:rsidRPr="00781920">
        <w:rPr>
          <w:rFonts w:ascii="Verdana" w:hAnsi="Verdana"/>
          <w:sz w:val="20"/>
          <w:szCs w:val="20"/>
        </w:rPr>
        <w:t>.- Rúbrica.</w:t>
      </w:r>
    </w:p>
    <w:p w:rsidR="00781920" w:rsidRPr="00781920" w:rsidRDefault="00781920">
      <w:pPr>
        <w:rPr>
          <w:rFonts w:ascii="Verdana" w:hAnsi="Verdana"/>
        </w:rPr>
      </w:pPr>
    </w:p>
    <w:sectPr w:rsidR="00781920" w:rsidRPr="00781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20"/>
    <w:rsid w:val="00781920"/>
    <w:rsid w:val="00CF4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99880">
      <w:bodyDiv w:val="1"/>
      <w:marLeft w:val="0"/>
      <w:marRight w:val="0"/>
      <w:marTop w:val="0"/>
      <w:marBottom w:val="0"/>
      <w:divBdr>
        <w:top w:val="none" w:sz="0" w:space="0" w:color="auto"/>
        <w:left w:val="none" w:sz="0" w:space="0" w:color="auto"/>
        <w:bottom w:val="none" w:sz="0" w:space="0" w:color="auto"/>
        <w:right w:val="none" w:sz="0" w:space="0" w:color="auto"/>
      </w:divBdr>
      <w:divsChild>
        <w:div w:id="862211478">
          <w:marLeft w:val="0"/>
          <w:marRight w:val="0"/>
          <w:marTop w:val="0"/>
          <w:marBottom w:val="101"/>
          <w:divBdr>
            <w:top w:val="none" w:sz="0" w:space="0" w:color="auto"/>
            <w:left w:val="none" w:sz="0" w:space="0" w:color="auto"/>
            <w:bottom w:val="none" w:sz="0" w:space="0" w:color="auto"/>
            <w:right w:val="none" w:sz="0" w:space="0" w:color="auto"/>
          </w:divBdr>
        </w:div>
        <w:div w:id="94450263">
          <w:marLeft w:val="0"/>
          <w:marRight w:val="0"/>
          <w:marTop w:val="0"/>
          <w:marBottom w:val="101"/>
          <w:divBdr>
            <w:top w:val="none" w:sz="0" w:space="0" w:color="auto"/>
            <w:left w:val="none" w:sz="0" w:space="0" w:color="auto"/>
            <w:bottom w:val="none" w:sz="0" w:space="0" w:color="auto"/>
            <w:right w:val="none" w:sz="0" w:space="0" w:color="auto"/>
          </w:divBdr>
        </w:div>
        <w:div w:id="1566405936">
          <w:marLeft w:val="0"/>
          <w:marRight w:val="0"/>
          <w:marTop w:val="101"/>
          <w:marBottom w:val="101"/>
          <w:divBdr>
            <w:top w:val="none" w:sz="0" w:space="0" w:color="auto"/>
            <w:left w:val="none" w:sz="0" w:space="0" w:color="auto"/>
            <w:bottom w:val="none" w:sz="0" w:space="0" w:color="auto"/>
            <w:right w:val="none" w:sz="0" w:space="0" w:color="auto"/>
          </w:divBdr>
        </w:div>
        <w:div w:id="1454472476">
          <w:marLeft w:val="0"/>
          <w:marRight w:val="0"/>
          <w:marTop w:val="0"/>
          <w:marBottom w:val="101"/>
          <w:divBdr>
            <w:top w:val="none" w:sz="0" w:space="0" w:color="auto"/>
            <w:left w:val="none" w:sz="0" w:space="0" w:color="auto"/>
            <w:bottom w:val="none" w:sz="0" w:space="0" w:color="auto"/>
            <w:right w:val="none" w:sz="0" w:space="0" w:color="auto"/>
          </w:divBdr>
        </w:div>
        <w:div w:id="960763783">
          <w:marLeft w:val="0"/>
          <w:marRight w:val="0"/>
          <w:marTop w:val="0"/>
          <w:marBottom w:val="101"/>
          <w:divBdr>
            <w:top w:val="none" w:sz="0" w:space="0" w:color="auto"/>
            <w:left w:val="none" w:sz="0" w:space="0" w:color="auto"/>
            <w:bottom w:val="none" w:sz="0" w:space="0" w:color="auto"/>
            <w:right w:val="none" w:sz="0" w:space="0" w:color="auto"/>
          </w:divBdr>
        </w:div>
        <w:div w:id="445852274">
          <w:marLeft w:val="0"/>
          <w:marRight w:val="0"/>
          <w:marTop w:val="0"/>
          <w:marBottom w:val="101"/>
          <w:divBdr>
            <w:top w:val="none" w:sz="0" w:space="0" w:color="auto"/>
            <w:left w:val="none" w:sz="0" w:space="0" w:color="auto"/>
            <w:bottom w:val="none" w:sz="0" w:space="0" w:color="auto"/>
            <w:right w:val="none" w:sz="0" w:space="0" w:color="auto"/>
          </w:divBdr>
        </w:div>
        <w:div w:id="1992054751">
          <w:marLeft w:val="0"/>
          <w:marRight w:val="0"/>
          <w:marTop w:val="0"/>
          <w:marBottom w:val="101"/>
          <w:divBdr>
            <w:top w:val="none" w:sz="0" w:space="0" w:color="auto"/>
            <w:left w:val="none" w:sz="0" w:space="0" w:color="auto"/>
            <w:bottom w:val="none" w:sz="0" w:space="0" w:color="auto"/>
            <w:right w:val="none" w:sz="0" w:space="0" w:color="auto"/>
          </w:divBdr>
        </w:div>
        <w:div w:id="362832009">
          <w:marLeft w:val="0"/>
          <w:marRight w:val="0"/>
          <w:marTop w:val="0"/>
          <w:marBottom w:val="101"/>
          <w:divBdr>
            <w:top w:val="none" w:sz="0" w:space="0" w:color="auto"/>
            <w:left w:val="none" w:sz="0" w:space="0" w:color="auto"/>
            <w:bottom w:val="none" w:sz="0" w:space="0" w:color="auto"/>
            <w:right w:val="none" w:sz="0" w:space="0" w:color="auto"/>
          </w:divBdr>
        </w:div>
        <w:div w:id="2144150478">
          <w:marLeft w:val="0"/>
          <w:marRight w:val="0"/>
          <w:marTop w:val="0"/>
          <w:marBottom w:val="101"/>
          <w:divBdr>
            <w:top w:val="none" w:sz="0" w:space="0" w:color="auto"/>
            <w:left w:val="none" w:sz="0" w:space="0" w:color="auto"/>
            <w:bottom w:val="none" w:sz="0" w:space="0" w:color="auto"/>
            <w:right w:val="none" w:sz="0" w:space="0" w:color="auto"/>
          </w:divBdr>
        </w:div>
        <w:div w:id="833030701">
          <w:marLeft w:val="0"/>
          <w:marRight w:val="0"/>
          <w:marTop w:val="0"/>
          <w:marBottom w:val="101"/>
          <w:divBdr>
            <w:top w:val="none" w:sz="0" w:space="0" w:color="auto"/>
            <w:left w:val="none" w:sz="0" w:space="0" w:color="auto"/>
            <w:bottom w:val="none" w:sz="0" w:space="0" w:color="auto"/>
            <w:right w:val="none" w:sz="0" w:space="0" w:color="auto"/>
          </w:divBdr>
        </w:div>
        <w:div w:id="1479834787">
          <w:marLeft w:val="0"/>
          <w:marRight w:val="0"/>
          <w:marTop w:val="0"/>
          <w:marBottom w:val="101"/>
          <w:divBdr>
            <w:top w:val="none" w:sz="0" w:space="0" w:color="auto"/>
            <w:left w:val="none" w:sz="0" w:space="0" w:color="auto"/>
            <w:bottom w:val="none" w:sz="0" w:space="0" w:color="auto"/>
            <w:right w:val="none" w:sz="0" w:space="0" w:color="auto"/>
          </w:divBdr>
        </w:div>
        <w:div w:id="468477288">
          <w:marLeft w:val="0"/>
          <w:marRight w:val="0"/>
          <w:marTop w:val="0"/>
          <w:marBottom w:val="101"/>
          <w:divBdr>
            <w:top w:val="none" w:sz="0" w:space="0" w:color="auto"/>
            <w:left w:val="none" w:sz="0" w:space="0" w:color="auto"/>
            <w:bottom w:val="none" w:sz="0" w:space="0" w:color="auto"/>
            <w:right w:val="none" w:sz="0" w:space="0" w:color="auto"/>
          </w:divBdr>
        </w:div>
        <w:div w:id="1531652074">
          <w:marLeft w:val="0"/>
          <w:marRight w:val="0"/>
          <w:marTop w:val="0"/>
          <w:marBottom w:val="101"/>
          <w:divBdr>
            <w:top w:val="none" w:sz="0" w:space="0" w:color="auto"/>
            <w:left w:val="none" w:sz="0" w:space="0" w:color="auto"/>
            <w:bottom w:val="none" w:sz="0" w:space="0" w:color="auto"/>
            <w:right w:val="none" w:sz="0" w:space="0" w:color="auto"/>
          </w:divBdr>
        </w:div>
        <w:div w:id="1233278730">
          <w:marLeft w:val="0"/>
          <w:marRight w:val="0"/>
          <w:marTop w:val="0"/>
          <w:marBottom w:val="101"/>
          <w:divBdr>
            <w:top w:val="none" w:sz="0" w:space="0" w:color="auto"/>
            <w:left w:val="none" w:sz="0" w:space="0" w:color="auto"/>
            <w:bottom w:val="none" w:sz="0" w:space="0" w:color="auto"/>
            <w:right w:val="none" w:sz="0" w:space="0" w:color="auto"/>
          </w:divBdr>
        </w:div>
        <w:div w:id="757093039">
          <w:marLeft w:val="0"/>
          <w:marRight w:val="0"/>
          <w:marTop w:val="0"/>
          <w:marBottom w:val="101"/>
          <w:divBdr>
            <w:top w:val="none" w:sz="0" w:space="0" w:color="auto"/>
            <w:left w:val="none" w:sz="0" w:space="0" w:color="auto"/>
            <w:bottom w:val="none" w:sz="0" w:space="0" w:color="auto"/>
            <w:right w:val="none" w:sz="0" w:space="0" w:color="auto"/>
          </w:divBdr>
        </w:div>
        <w:div w:id="860245778">
          <w:marLeft w:val="0"/>
          <w:marRight w:val="0"/>
          <w:marTop w:val="0"/>
          <w:marBottom w:val="101"/>
          <w:divBdr>
            <w:top w:val="none" w:sz="0" w:space="0" w:color="auto"/>
            <w:left w:val="none" w:sz="0" w:space="0" w:color="auto"/>
            <w:bottom w:val="none" w:sz="0" w:space="0" w:color="auto"/>
            <w:right w:val="none" w:sz="0" w:space="0" w:color="auto"/>
          </w:divBdr>
        </w:div>
        <w:div w:id="1987123394">
          <w:marLeft w:val="0"/>
          <w:marRight w:val="0"/>
          <w:marTop w:val="0"/>
          <w:marBottom w:val="101"/>
          <w:divBdr>
            <w:top w:val="none" w:sz="0" w:space="0" w:color="auto"/>
            <w:left w:val="none" w:sz="0" w:space="0" w:color="auto"/>
            <w:bottom w:val="none" w:sz="0" w:space="0" w:color="auto"/>
            <w:right w:val="none" w:sz="0" w:space="0" w:color="auto"/>
          </w:divBdr>
        </w:div>
        <w:div w:id="1822112134">
          <w:marLeft w:val="0"/>
          <w:marRight w:val="0"/>
          <w:marTop w:val="20"/>
          <w:marBottom w:val="20"/>
          <w:divBdr>
            <w:top w:val="none" w:sz="0" w:space="0" w:color="auto"/>
            <w:left w:val="none" w:sz="0" w:space="0" w:color="auto"/>
            <w:bottom w:val="none" w:sz="0" w:space="0" w:color="auto"/>
            <w:right w:val="none" w:sz="0" w:space="0" w:color="auto"/>
          </w:divBdr>
        </w:div>
        <w:div w:id="1401832990">
          <w:marLeft w:val="0"/>
          <w:marRight w:val="0"/>
          <w:marTop w:val="20"/>
          <w:marBottom w:val="20"/>
          <w:divBdr>
            <w:top w:val="none" w:sz="0" w:space="0" w:color="auto"/>
            <w:left w:val="none" w:sz="0" w:space="0" w:color="auto"/>
            <w:bottom w:val="none" w:sz="0" w:space="0" w:color="auto"/>
            <w:right w:val="none" w:sz="0" w:space="0" w:color="auto"/>
          </w:divBdr>
        </w:div>
        <w:div w:id="193347990">
          <w:marLeft w:val="0"/>
          <w:marRight w:val="0"/>
          <w:marTop w:val="20"/>
          <w:marBottom w:val="20"/>
          <w:divBdr>
            <w:top w:val="none" w:sz="0" w:space="0" w:color="auto"/>
            <w:left w:val="none" w:sz="0" w:space="0" w:color="auto"/>
            <w:bottom w:val="none" w:sz="0" w:space="0" w:color="auto"/>
            <w:right w:val="none" w:sz="0" w:space="0" w:color="auto"/>
          </w:divBdr>
        </w:div>
        <w:div w:id="995187720">
          <w:marLeft w:val="0"/>
          <w:marRight w:val="0"/>
          <w:marTop w:val="20"/>
          <w:marBottom w:val="20"/>
          <w:divBdr>
            <w:top w:val="none" w:sz="0" w:space="0" w:color="auto"/>
            <w:left w:val="none" w:sz="0" w:space="0" w:color="auto"/>
            <w:bottom w:val="none" w:sz="0" w:space="0" w:color="auto"/>
            <w:right w:val="none" w:sz="0" w:space="0" w:color="auto"/>
          </w:divBdr>
        </w:div>
        <w:div w:id="1250820404">
          <w:marLeft w:val="0"/>
          <w:marRight w:val="0"/>
          <w:marTop w:val="20"/>
          <w:marBottom w:val="20"/>
          <w:divBdr>
            <w:top w:val="none" w:sz="0" w:space="0" w:color="auto"/>
            <w:left w:val="none" w:sz="0" w:space="0" w:color="auto"/>
            <w:bottom w:val="none" w:sz="0" w:space="0" w:color="auto"/>
            <w:right w:val="none" w:sz="0" w:space="0" w:color="auto"/>
          </w:divBdr>
        </w:div>
        <w:div w:id="726536323">
          <w:marLeft w:val="0"/>
          <w:marRight w:val="0"/>
          <w:marTop w:val="20"/>
          <w:marBottom w:val="20"/>
          <w:divBdr>
            <w:top w:val="none" w:sz="0" w:space="0" w:color="auto"/>
            <w:left w:val="none" w:sz="0" w:space="0" w:color="auto"/>
            <w:bottom w:val="none" w:sz="0" w:space="0" w:color="auto"/>
            <w:right w:val="none" w:sz="0" w:space="0" w:color="auto"/>
          </w:divBdr>
        </w:div>
        <w:div w:id="144667534">
          <w:marLeft w:val="0"/>
          <w:marRight w:val="0"/>
          <w:marTop w:val="20"/>
          <w:marBottom w:val="20"/>
          <w:divBdr>
            <w:top w:val="none" w:sz="0" w:space="0" w:color="auto"/>
            <w:left w:val="none" w:sz="0" w:space="0" w:color="auto"/>
            <w:bottom w:val="none" w:sz="0" w:space="0" w:color="auto"/>
            <w:right w:val="none" w:sz="0" w:space="0" w:color="auto"/>
          </w:divBdr>
        </w:div>
        <w:div w:id="976111798">
          <w:marLeft w:val="0"/>
          <w:marRight w:val="0"/>
          <w:marTop w:val="20"/>
          <w:marBottom w:val="20"/>
          <w:divBdr>
            <w:top w:val="none" w:sz="0" w:space="0" w:color="auto"/>
            <w:left w:val="none" w:sz="0" w:space="0" w:color="auto"/>
            <w:bottom w:val="none" w:sz="0" w:space="0" w:color="auto"/>
            <w:right w:val="none" w:sz="0" w:space="0" w:color="auto"/>
          </w:divBdr>
        </w:div>
        <w:div w:id="65955574">
          <w:marLeft w:val="0"/>
          <w:marRight w:val="0"/>
          <w:marTop w:val="20"/>
          <w:marBottom w:val="20"/>
          <w:divBdr>
            <w:top w:val="none" w:sz="0" w:space="0" w:color="auto"/>
            <w:left w:val="none" w:sz="0" w:space="0" w:color="auto"/>
            <w:bottom w:val="none" w:sz="0" w:space="0" w:color="auto"/>
            <w:right w:val="none" w:sz="0" w:space="0" w:color="auto"/>
          </w:divBdr>
        </w:div>
        <w:div w:id="318388490">
          <w:marLeft w:val="0"/>
          <w:marRight w:val="0"/>
          <w:marTop w:val="20"/>
          <w:marBottom w:val="20"/>
          <w:divBdr>
            <w:top w:val="none" w:sz="0" w:space="0" w:color="auto"/>
            <w:left w:val="none" w:sz="0" w:space="0" w:color="auto"/>
            <w:bottom w:val="none" w:sz="0" w:space="0" w:color="auto"/>
            <w:right w:val="none" w:sz="0" w:space="0" w:color="auto"/>
          </w:divBdr>
        </w:div>
        <w:div w:id="1079863637">
          <w:marLeft w:val="0"/>
          <w:marRight w:val="0"/>
          <w:marTop w:val="20"/>
          <w:marBottom w:val="20"/>
          <w:divBdr>
            <w:top w:val="none" w:sz="0" w:space="0" w:color="auto"/>
            <w:left w:val="none" w:sz="0" w:space="0" w:color="auto"/>
            <w:bottom w:val="none" w:sz="0" w:space="0" w:color="auto"/>
            <w:right w:val="none" w:sz="0" w:space="0" w:color="auto"/>
          </w:divBdr>
        </w:div>
        <w:div w:id="411436415">
          <w:marLeft w:val="0"/>
          <w:marRight w:val="0"/>
          <w:marTop w:val="20"/>
          <w:marBottom w:val="20"/>
          <w:divBdr>
            <w:top w:val="none" w:sz="0" w:space="0" w:color="auto"/>
            <w:left w:val="none" w:sz="0" w:space="0" w:color="auto"/>
            <w:bottom w:val="none" w:sz="0" w:space="0" w:color="auto"/>
            <w:right w:val="none" w:sz="0" w:space="0" w:color="auto"/>
          </w:divBdr>
        </w:div>
        <w:div w:id="1767649391">
          <w:marLeft w:val="0"/>
          <w:marRight w:val="0"/>
          <w:marTop w:val="20"/>
          <w:marBottom w:val="20"/>
          <w:divBdr>
            <w:top w:val="none" w:sz="0" w:space="0" w:color="auto"/>
            <w:left w:val="none" w:sz="0" w:space="0" w:color="auto"/>
            <w:bottom w:val="none" w:sz="0" w:space="0" w:color="auto"/>
            <w:right w:val="none" w:sz="0" w:space="0" w:color="auto"/>
          </w:divBdr>
        </w:div>
        <w:div w:id="725252552">
          <w:marLeft w:val="0"/>
          <w:marRight w:val="0"/>
          <w:marTop w:val="20"/>
          <w:marBottom w:val="20"/>
          <w:divBdr>
            <w:top w:val="none" w:sz="0" w:space="0" w:color="auto"/>
            <w:left w:val="none" w:sz="0" w:space="0" w:color="auto"/>
            <w:bottom w:val="none" w:sz="0" w:space="0" w:color="auto"/>
            <w:right w:val="none" w:sz="0" w:space="0" w:color="auto"/>
          </w:divBdr>
        </w:div>
        <w:div w:id="548759833">
          <w:marLeft w:val="0"/>
          <w:marRight w:val="0"/>
          <w:marTop w:val="20"/>
          <w:marBottom w:val="20"/>
          <w:divBdr>
            <w:top w:val="none" w:sz="0" w:space="0" w:color="auto"/>
            <w:left w:val="none" w:sz="0" w:space="0" w:color="auto"/>
            <w:bottom w:val="none" w:sz="0" w:space="0" w:color="auto"/>
            <w:right w:val="none" w:sz="0" w:space="0" w:color="auto"/>
          </w:divBdr>
        </w:div>
        <w:div w:id="358816125">
          <w:marLeft w:val="0"/>
          <w:marRight w:val="0"/>
          <w:marTop w:val="20"/>
          <w:marBottom w:val="20"/>
          <w:divBdr>
            <w:top w:val="none" w:sz="0" w:space="0" w:color="auto"/>
            <w:left w:val="none" w:sz="0" w:space="0" w:color="auto"/>
            <w:bottom w:val="none" w:sz="0" w:space="0" w:color="auto"/>
            <w:right w:val="none" w:sz="0" w:space="0" w:color="auto"/>
          </w:divBdr>
        </w:div>
        <w:div w:id="1742562656">
          <w:marLeft w:val="0"/>
          <w:marRight w:val="0"/>
          <w:marTop w:val="20"/>
          <w:marBottom w:val="20"/>
          <w:divBdr>
            <w:top w:val="none" w:sz="0" w:space="0" w:color="auto"/>
            <w:left w:val="none" w:sz="0" w:space="0" w:color="auto"/>
            <w:bottom w:val="none" w:sz="0" w:space="0" w:color="auto"/>
            <w:right w:val="none" w:sz="0" w:space="0" w:color="auto"/>
          </w:divBdr>
        </w:div>
        <w:div w:id="1239902025">
          <w:marLeft w:val="0"/>
          <w:marRight w:val="0"/>
          <w:marTop w:val="20"/>
          <w:marBottom w:val="20"/>
          <w:divBdr>
            <w:top w:val="none" w:sz="0" w:space="0" w:color="auto"/>
            <w:left w:val="none" w:sz="0" w:space="0" w:color="auto"/>
            <w:bottom w:val="none" w:sz="0" w:space="0" w:color="auto"/>
            <w:right w:val="none" w:sz="0" w:space="0" w:color="auto"/>
          </w:divBdr>
        </w:div>
        <w:div w:id="2089189010">
          <w:marLeft w:val="0"/>
          <w:marRight w:val="0"/>
          <w:marTop w:val="20"/>
          <w:marBottom w:val="20"/>
          <w:divBdr>
            <w:top w:val="none" w:sz="0" w:space="0" w:color="auto"/>
            <w:left w:val="none" w:sz="0" w:space="0" w:color="auto"/>
            <w:bottom w:val="none" w:sz="0" w:space="0" w:color="auto"/>
            <w:right w:val="none" w:sz="0" w:space="0" w:color="auto"/>
          </w:divBdr>
        </w:div>
        <w:div w:id="1149861138">
          <w:marLeft w:val="0"/>
          <w:marRight w:val="0"/>
          <w:marTop w:val="20"/>
          <w:marBottom w:val="20"/>
          <w:divBdr>
            <w:top w:val="none" w:sz="0" w:space="0" w:color="auto"/>
            <w:left w:val="none" w:sz="0" w:space="0" w:color="auto"/>
            <w:bottom w:val="none" w:sz="0" w:space="0" w:color="auto"/>
            <w:right w:val="none" w:sz="0" w:space="0" w:color="auto"/>
          </w:divBdr>
        </w:div>
        <w:div w:id="1507358712">
          <w:marLeft w:val="0"/>
          <w:marRight w:val="0"/>
          <w:marTop w:val="20"/>
          <w:marBottom w:val="20"/>
          <w:divBdr>
            <w:top w:val="none" w:sz="0" w:space="0" w:color="auto"/>
            <w:left w:val="none" w:sz="0" w:space="0" w:color="auto"/>
            <w:bottom w:val="none" w:sz="0" w:space="0" w:color="auto"/>
            <w:right w:val="none" w:sz="0" w:space="0" w:color="auto"/>
          </w:divBdr>
        </w:div>
        <w:div w:id="173568393">
          <w:marLeft w:val="0"/>
          <w:marRight w:val="0"/>
          <w:marTop w:val="20"/>
          <w:marBottom w:val="20"/>
          <w:divBdr>
            <w:top w:val="none" w:sz="0" w:space="0" w:color="auto"/>
            <w:left w:val="none" w:sz="0" w:space="0" w:color="auto"/>
            <w:bottom w:val="none" w:sz="0" w:space="0" w:color="auto"/>
            <w:right w:val="none" w:sz="0" w:space="0" w:color="auto"/>
          </w:divBdr>
        </w:div>
        <w:div w:id="777523575">
          <w:marLeft w:val="0"/>
          <w:marRight w:val="0"/>
          <w:marTop w:val="20"/>
          <w:marBottom w:val="20"/>
          <w:divBdr>
            <w:top w:val="none" w:sz="0" w:space="0" w:color="auto"/>
            <w:left w:val="none" w:sz="0" w:space="0" w:color="auto"/>
            <w:bottom w:val="none" w:sz="0" w:space="0" w:color="auto"/>
            <w:right w:val="none" w:sz="0" w:space="0" w:color="auto"/>
          </w:divBdr>
        </w:div>
        <w:div w:id="442846854">
          <w:marLeft w:val="0"/>
          <w:marRight w:val="0"/>
          <w:marTop w:val="20"/>
          <w:marBottom w:val="20"/>
          <w:divBdr>
            <w:top w:val="none" w:sz="0" w:space="0" w:color="auto"/>
            <w:left w:val="none" w:sz="0" w:space="0" w:color="auto"/>
            <w:bottom w:val="none" w:sz="0" w:space="0" w:color="auto"/>
            <w:right w:val="none" w:sz="0" w:space="0" w:color="auto"/>
          </w:divBdr>
        </w:div>
        <w:div w:id="8334587">
          <w:marLeft w:val="0"/>
          <w:marRight w:val="0"/>
          <w:marTop w:val="20"/>
          <w:marBottom w:val="20"/>
          <w:divBdr>
            <w:top w:val="none" w:sz="0" w:space="0" w:color="auto"/>
            <w:left w:val="none" w:sz="0" w:space="0" w:color="auto"/>
            <w:bottom w:val="none" w:sz="0" w:space="0" w:color="auto"/>
            <w:right w:val="none" w:sz="0" w:space="0" w:color="auto"/>
          </w:divBdr>
        </w:div>
        <w:div w:id="799763165">
          <w:marLeft w:val="0"/>
          <w:marRight w:val="0"/>
          <w:marTop w:val="20"/>
          <w:marBottom w:val="20"/>
          <w:divBdr>
            <w:top w:val="none" w:sz="0" w:space="0" w:color="auto"/>
            <w:left w:val="none" w:sz="0" w:space="0" w:color="auto"/>
            <w:bottom w:val="none" w:sz="0" w:space="0" w:color="auto"/>
            <w:right w:val="none" w:sz="0" w:space="0" w:color="auto"/>
          </w:divBdr>
        </w:div>
        <w:div w:id="1433356096">
          <w:marLeft w:val="0"/>
          <w:marRight w:val="0"/>
          <w:marTop w:val="20"/>
          <w:marBottom w:val="20"/>
          <w:divBdr>
            <w:top w:val="none" w:sz="0" w:space="0" w:color="auto"/>
            <w:left w:val="none" w:sz="0" w:space="0" w:color="auto"/>
            <w:bottom w:val="none" w:sz="0" w:space="0" w:color="auto"/>
            <w:right w:val="none" w:sz="0" w:space="0" w:color="auto"/>
          </w:divBdr>
        </w:div>
        <w:div w:id="1997108609">
          <w:marLeft w:val="0"/>
          <w:marRight w:val="0"/>
          <w:marTop w:val="20"/>
          <w:marBottom w:val="20"/>
          <w:divBdr>
            <w:top w:val="none" w:sz="0" w:space="0" w:color="auto"/>
            <w:left w:val="none" w:sz="0" w:space="0" w:color="auto"/>
            <w:bottom w:val="none" w:sz="0" w:space="0" w:color="auto"/>
            <w:right w:val="none" w:sz="0" w:space="0" w:color="auto"/>
          </w:divBdr>
        </w:div>
        <w:div w:id="1901091627">
          <w:marLeft w:val="0"/>
          <w:marRight w:val="0"/>
          <w:marTop w:val="0"/>
          <w:marBottom w:val="101"/>
          <w:divBdr>
            <w:top w:val="none" w:sz="0" w:space="0" w:color="auto"/>
            <w:left w:val="none" w:sz="0" w:space="0" w:color="auto"/>
            <w:bottom w:val="none" w:sz="0" w:space="0" w:color="auto"/>
            <w:right w:val="none" w:sz="0" w:space="0" w:color="auto"/>
          </w:divBdr>
        </w:div>
        <w:div w:id="428625121">
          <w:marLeft w:val="0"/>
          <w:marRight w:val="0"/>
          <w:marTop w:val="0"/>
          <w:marBottom w:val="60"/>
          <w:divBdr>
            <w:top w:val="none" w:sz="0" w:space="0" w:color="auto"/>
            <w:left w:val="none" w:sz="0" w:space="0" w:color="auto"/>
            <w:bottom w:val="none" w:sz="0" w:space="0" w:color="auto"/>
            <w:right w:val="none" w:sz="0" w:space="0" w:color="auto"/>
          </w:divBdr>
        </w:div>
        <w:div w:id="1875456267">
          <w:marLeft w:val="0"/>
          <w:marRight w:val="0"/>
          <w:marTop w:val="0"/>
          <w:marBottom w:val="60"/>
          <w:divBdr>
            <w:top w:val="none" w:sz="0" w:space="0" w:color="auto"/>
            <w:left w:val="none" w:sz="0" w:space="0" w:color="auto"/>
            <w:bottom w:val="none" w:sz="0" w:space="0" w:color="auto"/>
            <w:right w:val="none" w:sz="0" w:space="0" w:color="auto"/>
          </w:divBdr>
        </w:div>
        <w:div w:id="2135715037">
          <w:marLeft w:val="0"/>
          <w:marRight w:val="0"/>
          <w:marTop w:val="0"/>
          <w:marBottom w:val="60"/>
          <w:divBdr>
            <w:top w:val="none" w:sz="0" w:space="0" w:color="auto"/>
            <w:left w:val="none" w:sz="0" w:space="0" w:color="auto"/>
            <w:bottom w:val="none" w:sz="0" w:space="0" w:color="auto"/>
            <w:right w:val="none" w:sz="0" w:space="0" w:color="auto"/>
          </w:divBdr>
        </w:div>
        <w:div w:id="2024940007">
          <w:marLeft w:val="0"/>
          <w:marRight w:val="0"/>
          <w:marTop w:val="0"/>
          <w:marBottom w:val="60"/>
          <w:divBdr>
            <w:top w:val="none" w:sz="0" w:space="0" w:color="auto"/>
            <w:left w:val="none" w:sz="0" w:space="0" w:color="auto"/>
            <w:bottom w:val="none" w:sz="0" w:space="0" w:color="auto"/>
            <w:right w:val="none" w:sz="0" w:space="0" w:color="auto"/>
          </w:divBdr>
        </w:div>
        <w:div w:id="441657114">
          <w:marLeft w:val="0"/>
          <w:marRight w:val="0"/>
          <w:marTop w:val="0"/>
          <w:marBottom w:val="60"/>
          <w:divBdr>
            <w:top w:val="none" w:sz="0" w:space="0" w:color="auto"/>
            <w:left w:val="none" w:sz="0" w:space="0" w:color="auto"/>
            <w:bottom w:val="none" w:sz="0" w:space="0" w:color="auto"/>
            <w:right w:val="none" w:sz="0" w:space="0" w:color="auto"/>
          </w:divBdr>
        </w:div>
        <w:div w:id="470175761">
          <w:marLeft w:val="0"/>
          <w:marRight w:val="0"/>
          <w:marTop w:val="0"/>
          <w:marBottom w:val="60"/>
          <w:divBdr>
            <w:top w:val="none" w:sz="0" w:space="0" w:color="auto"/>
            <w:left w:val="none" w:sz="0" w:space="0" w:color="auto"/>
            <w:bottom w:val="none" w:sz="0" w:space="0" w:color="auto"/>
            <w:right w:val="none" w:sz="0" w:space="0" w:color="auto"/>
          </w:divBdr>
        </w:div>
        <w:div w:id="1224483803">
          <w:marLeft w:val="0"/>
          <w:marRight w:val="0"/>
          <w:marTop w:val="0"/>
          <w:marBottom w:val="60"/>
          <w:divBdr>
            <w:top w:val="none" w:sz="0" w:space="0" w:color="auto"/>
            <w:left w:val="none" w:sz="0" w:space="0" w:color="auto"/>
            <w:bottom w:val="none" w:sz="0" w:space="0" w:color="auto"/>
            <w:right w:val="none" w:sz="0" w:space="0" w:color="auto"/>
          </w:divBdr>
        </w:div>
        <w:div w:id="225343373">
          <w:marLeft w:val="720"/>
          <w:marRight w:val="0"/>
          <w:marTop w:val="0"/>
          <w:marBottom w:val="60"/>
          <w:divBdr>
            <w:top w:val="none" w:sz="0" w:space="0" w:color="auto"/>
            <w:left w:val="none" w:sz="0" w:space="0" w:color="auto"/>
            <w:bottom w:val="none" w:sz="0" w:space="0" w:color="auto"/>
            <w:right w:val="none" w:sz="0" w:space="0" w:color="auto"/>
          </w:divBdr>
        </w:div>
        <w:div w:id="37243764">
          <w:marLeft w:val="720"/>
          <w:marRight w:val="0"/>
          <w:marTop w:val="0"/>
          <w:marBottom w:val="101"/>
          <w:divBdr>
            <w:top w:val="none" w:sz="0" w:space="0" w:color="auto"/>
            <w:left w:val="none" w:sz="0" w:space="0" w:color="auto"/>
            <w:bottom w:val="none" w:sz="0" w:space="0" w:color="auto"/>
            <w:right w:val="none" w:sz="0" w:space="0" w:color="auto"/>
          </w:divBdr>
        </w:div>
        <w:div w:id="1371372536">
          <w:marLeft w:val="720"/>
          <w:marRight w:val="0"/>
          <w:marTop w:val="0"/>
          <w:marBottom w:val="101"/>
          <w:divBdr>
            <w:top w:val="none" w:sz="0" w:space="0" w:color="auto"/>
            <w:left w:val="none" w:sz="0" w:space="0" w:color="auto"/>
            <w:bottom w:val="none" w:sz="0" w:space="0" w:color="auto"/>
            <w:right w:val="none" w:sz="0" w:space="0" w:color="auto"/>
          </w:divBdr>
        </w:div>
        <w:div w:id="278076431">
          <w:marLeft w:val="720"/>
          <w:marRight w:val="0"/>
          <w:marTop w:val="0"/>
          <w:marBottom w:val="101"/>
          <w:divBdr>
            <w:top w:val="none" w:sz="0" w:space="0" w:color="auto"/>
            <w:left w:val="none" w:sz="0" w:space="0" w:color="auto"/>
            <w:bottom w:val="none" w:sz="0" w:space="0" w:color="auto"/>
            <w:right w:val="none" w:sz="0" w:space="0" w:color="auto"/>
          </w:divBdr>
        </w:div>
        <w:div w:id="75175375">
          <w:marLeft w:val="720"/>
          <w:marRight w:val="0"/>
          <w:marTop w:val="0"/>
          <w:marBottom w:val="101"/>
          <w:divBdr>
            <w:top w:val="none" w:sz="0" w:space="0" w:color="auto"/>
            <w:left w:val="none" w:sz="0" w:space="0" w:color="auto"/>
            <w:bottom w:val="none" w:sz="0" w:space="0" w:color="auto"/>
            <w:right w:val="none" w:sz="0" w:space="0" w:color="auto"/>
          </w:divBdr>
        </w:div>
        <w:div w:id="1091043476">
          <w:marLeft w:val="0"/>
          <w:marRight w:val="0"/>
          <w:marTop w:val="0"/>
          <w:marBottom w:val="101"/>
          <w:divBdr>
            <w:top w:val="none" w:sz="0" w:space="0" w:color="auto"/>
            <w:left w:val="none" w:sz="0" w:space="0" w:color="auto"/>
            <w:bottom w:val="none" w:sz="0" w:space="0" w:color="auto"/>
            <w:right w:val="none" w:sz="0" w:space="0" w:color="auto"/>
          </w:divBdr>
        </w:div>
        <w:div w:id="688065651">
          <w:marLeft w:val="0"/>
          <w:marRight w:val="0"/>
          <w:marTop w:val="0"/>
          <w:marBottom w:val="101"/>
          <w:divBdr>
            <w:top w:val="none" w:sz="0" w:space="0" w:color="auto"/>
            <w:left w:val="none" w:sz="0" w:space="0" w:color="auto"/>
            <w:bottom w:val="none" w:sz="0" w:space="0" w:color="auto"/>
            <w:right w:val="none" w:sz="0" w:space="0" w:color="auto"/>
          </w:divBdr>
        </w:div>
        <w:div w:id="307780251">
          <w:marLeft w:val="0"/>
          <w:marRight w:val="0"/>
          <w:marTop w:val="0"/>
          <w:marBottom w:val="101"/>
          <w:divBdr>
            <w:top w:val="none" w:sz="0" w:space="0" w:color="auto"/>
            <w:left w:val="none" w:sz="0" w:space="0" w:color="auto"/>
            <w:bottom w:val="none" w:sz="0" w:space="0" w:color="auto"/>
            <w:right w:val="none" w:sz="0" w:space="0" w:color="auto"/>
          </w:divBdr>
        </w:div>
        <w:div w:id="397703596">
          <w:marLeft w:val="0"/>
          <w:marRight w:val="0"/>
          <w:marTop w:val="0"/>
          <w:marBottom w:val="101"/>
          <w:divBdr>
            <w:top w:val="none" w:sz="0" w:space="0" w:color="auto"/>
            <w:left w:val="none" w:sz="0" w:space="0" w:color="auto"/>
            <w:bottom w:val="none" w:sz="0" w:space="0" w:color="auto"/>
            <w:right w:val="none" w:sz="0" w:space="0" w:color="auto"/>
          </w:divBdr>
        </w:div>
        <w:div w:id="1789935149">
          <w:marLeft w:val="0"/>
          <w:marRight w:val="0"/>
          <w:marTop w:val="0"/>
          <w:marBottom w:val="101"/>
          <w:divBdr>
            <w:top w:val="none" w:sz="0" w:space="0" w:color="auto"/>
            <w:left w:val="none" w:sz="0" w:space="0" w:color="auto"/>
            <w:bottom w:val="none" w:sz="0" w:space="0" w:color="auto"/>
            <w:right w:val="none" w:sz="0" w:space="0" w:color="auto"/>
          </w:divBdr>
        </w:div>
        <w:div w:id="1452750657">
          <w:marLeft w:val="0"/>
          <w:marRight w:val="0"/>
          <w:marTop w:val="0"/>
          <w:marBottom w:val="101"/>
          <w:divBdr>
            <w:top w:val="none" w:sz="0" w:space="0" w:color="auto"/>
            <w:left w:val="none" w:sz="0" w:space="0" w:color="auto"/>
            <w:bottom w:val="none" w:sz="0" w:space="0" w:color="auto"/>
            <w:right w:val="none" w:sz="0" w:space="0" w:color="auto"/>
          </w:divBdr>
        </w:div>
        <w:div w:id="1144395929">
          <w:marLeft w:val="0"/>
          <w:marRight w:val="0"/>
          <w:marTop w:val="0"/>
          <w:marBottom w:val="101"/>
          <w:divBdr>
            <w:top w:val="none" w:sz="0" w:space="0" w:color="auto"/>
            <w:left w:val="none" w:sz="0" w:space="0" w:color="auto"/>
            <w:bottom w:val="none" w:sz="0" w:space="0" w:color="auto"/>
            <w:right w:val="none" w:sz="0" w:space="0" w:color="auto"/>
          </w:divBdr>
        </w:div>
        <w:div w:id="942107330">
          <w:marLeft w:val="0"/>
          <w:marRight w:val="0"/>
          <w:marTop w:val="0"/>
          <w:marBottom w:val="20"/>
          <w:divBdr>
            <w:top w:val="none" w:sz="0" w:space="0" w:color="auto"/>
            <w:left w:val="none" w:sz="0" w:space="0" w:color="auto"/>
            <w:bottom w:val="none" w:sz="0" w:space="0" w:color="auto"/>
            <w:right w:val="none" w:sz="0" w:space="0" w:color="auto"/>
          </w:divBdr>
        </w:div>
        <w:div w:id="1089934383">
          <w:marLeft w:val="0"/>
          <w:marRight w:val="0"/>
          <w:marTop w:val="0"/>
          <w:marBottom w:val="20"/>
          <w:divBdr>
            <w:top w:val="none" w:sz="0" w:space="0" w:color="auto"/>
            <w:left w:val="none" w:sz="0" w:space="0" w:color="auto"/>
            <w:bottom w:val="none" w:sz="0" w:space="0" w:color="auto"/>
            <w:right w:val="none" w:sz="0" w:space="0" w:color="auto"/>
          </w:divBdr>
        </w:div>
        <w:div w:id="1292782928">
          <w:marLeft w:val="0"/>
          <w:marRight w:val="0"/>
          <w:marTop w:val="0"/>
          <w:marBottom w:val="20"/>
          <w:divBdr>
            <w:top w:val="none" w:sz="0" w:space="0" w:color="auto"/>
            <w:left w:val="none" w:sz="0" w:space="0" w:color="auto"/>
            <w:bottom w:val="none" w:sz="0" w:space="0" w:color="auto"/>
            <w:right w:val="none" w:sz="0" w:space="0" w:color="auto"/>
          </w:divBdr>
        </w:div>
        <w:div w:id="60182760">
          <w:marLeft w:val="0"/>
          <w:marRight w:val="0"/>
          <w:marTop w:val="0"/>
          <w:marBottom w:val="101"/>
          <w:divBdr>
            <w:top w:val="none" w:sz="0" w:space="0" w:color="auto"/>
            <w:left w:val="none" w:sz="0" w:space="0" w:color="auto"/>
            <w:bottom w:val="none" w:sz="0" w:space="0" w:color="auto"/>
            <w:right w:val="none" w:sz="0" w:space="0" w:color="auto"/>
          </w:divBdr>
        </w:div>
        <w:div w:id="25110207">
          <w:marLeft w:val="0"/>
          <w:marRight w:val="0"/>
          <w:marTop w:val="0"/>
          <w:marBottom w:val="101"/>
          <w:divBdr>
            <w:top w:val="none" w:sz="0" w:space="0" w:color="auto"/>
            <w:left w:val="none" w:sz="0" w:space="0" w:color="auto"/>
            <w:bottom w:val="none" w:sz="0" w:space="0" w:color="auto"/>
            <w:right w:val="none" w:sz="0" w:space="0" w:color="auto"/>
          </w:divBdr>
        </w:div>
        <w:div w:id="221909621">
          <w:marLeft w:val="0"/>
          <w:marRight w:val="0"/>
          <w:marTop w:val="0"/>
          <w:marBottom w:val="20"/>
          <w:divBdr>
            <w:top w:val="none" w:sz="0" w:space="0" w:color="auto"/>
            <w:left w:val="none" w:sz="0" w:space="0" w:color="auto"/>
            <w:bottom w:val="none" w:sz="0" w:space="0" w:color="auto"/>
            <w:right w:val="none" w:sz="0" w:space="0" w:color="auto"/>
          </w:divBdr>
        </w:div>
        <w:div w:id="675808457">
          <w:marLeft w:val="0"/>
          <w:marRight w:val="0"/>
          <w:marTop w:val="0"/>
          <w:marBottom w:val="20"/>
          <w:divBdr>
            <w:top w:val="none" w:sz="0" w:space="0" w:color="auto"/>
            <w:left w:val="none" w:sz="0" w:space="0" w:color="auto"/>
            <w:bottom w:val="none" w:sz="0" w:space="0" w:color="auto"/>
            <w:right w:val="none" w:sz="0" w:space="0" w:color="auto"/>
          </w:divBdr>
        </w:div>
        <w:div w:id="343895951">
          <w:marLeft w:val="0"/>
          <w:marRight w:val="0"/>
          <w:marTop w:val="0"/>
          <w:marBottom w:val="20"/>
          <w:divBdr>
            <w:top w:val="none" w:sz="0" w:space="0" w:color="auto"/>
            <w:left w:val="none" w:sz="0" w:space="0" w:color="auto"/>
            <w:bottom w:val="none" w:sz="0" w:space="0" w:color="auto"/>
            <w:right w:val="none" w:sz="0" w:space="0" w:color="auto"/>
          </w:divBdr>
        </w:div>
        <w:div w:id="1714036943">
          <w:marLeft w:val="0"/>
          <w:marRight w:val="0"/>
          <w:marTop w:val="0"/>
          <w:marBottom w:val="101"/>
          <w:divBdr>
            <w:top w:val="none" w:sz="0" w:space="0" w:color="auto"/>
            <w:left w:val="none" w:sz="0" w:space="0" w:color="auto"/>
            <w:bottom w:val="none" w:sz="0" w:space="0" w:color="auto"/>
            <w:right w:val="none" w:sz="0" w:space="0" w:color="auto"/>
          </w:divBdr>
        </w:div>
        <w:div w:id="922568952">
          <w:marLeft w:val="0"/>
          <w:marRight w:val="0"/>
          <w:marTop w:val="0"/>
          <w:marBottom w:val="20"/>
          <w:divBdr>
            <w:top w:val="none" w:sz="0" w:space="0" w:color="auto"/>
            <w:left w:val="none" w:sz="0" w:space="0" w:color="auto"/>
            <w:bottom w:val="none" w:sz="0" w:space="0" w:color="auto"/>
            <w:right w:val="none" w:sz="0" w:space="0" w:color="auto"/>
          </w:divBdr>
        </w:div>
        <w:div w:id="2064520474">
          <w:marLeft w:val="0"/>
          <w:marRight w:val="0"/>
          <w:marTop w:val="0"/>
          <w:marBottom w:val="20"/>
          <w:divBdr>
            <w:top w:val="none" w:sz="0" w:space="0" w:color="auto"/>
            <w:left w:val="none" w:sz="0" w:space="0" w:color="auto"/>
            <w:bottom w:val="none" w:sz="0" w:space="0" w:color="auto"/>
            <w:right w:val="none" w:sz="0" w:space="0" w:color="auto"/>
          </w:divBdr>
        </w:div>
        <w:div w:id="543056579">
          <w:marLeft w:val="0"/>
          <w:marRight w:val="0"/>
          <w:marTop w:val="0"/>
          <w:marBottom w:val="20"/>
          <w:divBdr>
            <w:top w:val="none" w:sz="0" w:space="0" w:color="auto"/>
            <w:left w:val="none" w:sz="0" w:space="0" w:color="auto"/>
            <w:bottom w:val="none" w:sz="0" w:space="0" w:color="auto"/>
            <w:right w:val="none" w:sz="0" w:space="0" w:color="auto"/>
          </w:divBdr>
        </w:div>
        <w:div w:id="1930696743">
          <w:marLeft w:val="0"/>
          <w:marRight w:val="0"/>
          <w:marTop w:val="0"/>
          <w:marBottom w:val="101"/>
          <w:divBdr>
            <w:top w:val="none" w:sz="0" w:space="0" w:color="auto"/>
            <w:left w:val="none" w:sz="0" w:space="0" w:color="auto"/>
            <w:bottom w:val="none" w:sz="0" w:space="0" w:color="auto"/>
            <w:right w:val="none" w:sz="0" w:space="0" w:color="auto"/>
          </w:divBdr>
        </w:div>
        <w:div w:id="257905394">
          <w:marLeft w:val="0"/>
          <w:marRight w:val="0"/>
          <w:marTop w:val="0"/>
          <w:marBottom w:val="20"/>
          <w:divBdr>
            <w:top w:val="none" w:sz="0" w:space="0" w:color="auto"/>
            <w:left w:val="none" w:sz="0" w:space="0" w:color="auto"/>
            <w:bottom w:val="none" w:sz="0" w:space="0" w:color="auto"/>
            <w:right w:val="none" w:sz="0" w:space="0" w:color="auto"/>
          </w:divBdr>
        </w:div>
        <w:div w:id="594823006">
          <w:marLeft w:val="0"/>
          <w:marRight w:val="0"/>
          <w:marTop w:val="0"/>
          <w:marBottom w:val="20"/>
          <w:divBdr>
            <w:top w:val="none" w:sz="0" w:space="0" w:color="auto"/>
            <w:left w:val="none" w:sz="0" w:space="0" w:color="auto"/>
            <w:bottom w:val="none" w:sz="0" w:space="0" w:color="auto"/>
            <w:right w:val="none" w:sz="0" w:space="0" w:color="auto"/>
          </w:divBdr>
        </w:div>
        <w:div w:id="2006126270">
          <w:marLeft w:val="0"/>
          <w:marRight w:val="0"/>
          <w:marTop w:val="0"/>
          <w:marBottom w:val="20"/>
          <w:divBdr>
            <w:top w:val="none" w:sz="0" w:space="0" w:color="auto"/>
            <w:left w:val="none" w:sz="0" w:space="0" w:color="auto"/>
            <w:bottom w:val="none" w:sz="0" w:space="0" w:color="auto"/>
            <w:right w:val="none" w:sz="0" w:space="0" w:color="auto"/>
          </w:divBdr>
        </w:div>
        <w:div w:id="367224914">
          <w:marLeft w:val="0"/>
          <w:marRight w:val="0"/>
          <w:marTop w:val="0"/>
          <w:marBottom w:val="101"/>
          <w:divBdr>
            <w:top w:val="none" w:sz="0" w:space="0" w:color="auto"/>
            <w:left w:val="none" w:sz="0" w:space="0" w:color="auto"/>
            <w:bottom w:val="none" w:sz="0" w:space="0" w:color="auto"/>
            <w:right w:val="none" w:sz="0" w:space="0" w:color="auto"/>
          </w:divBdr>
        </w:div>
        <w:div w:id="1245068276">
          <w:marLeft w:val="0"/>
          <w:marRight w:val="0"/>
          <w:marTop w:val="0"/>
          <w:marBottom w:val="20"/>
          <w:divBdr>
            <w:top w:val="none" w:sz="0" w:space="0" w:color="auto"/>
            <w:left w:val="none" w:sz="0" w:space="0" w:color="auto"/>
            <w:bottom w:val="none" w:sz="0" w:space="0" w:color="auto"/>
            <w:right w:val="none" w:sz="0" w:space="0" w:color="auto"/>
          </w:divBdr>
        </w:div>
        <w:div w:id="342635047">
          <w:marLeft w:val="0"/>
          <w:marRight w:val="0"/>
          <w:marTop w:val="0"/>
          <w:marBottom w:val="20"/>
          <w:divBdr>
            <w:top w:val="none" w:sz="0" w:space="0" w:color="auto"/>
            <w:left w:val="none" w:sz="0" w:space="0" w:color="auto"/>
            <w:bottom w:val="none" w:sz="0" w:space="0" w:color="auto"/>
            <w:right w:val="none" w:sz="0" w:space="0" w:color="auto"/>
          </w:divBdr>
        </w:div>
        <w:div w:id="311066240">
          <w:marLeft w:val="0"/>
          <w:marRight w:val="0"/>
          <w:marTop w:val="0"/>
          <w:marBottom w:val="20"/>
          <w:divBdr>
            <w:top w:val="none" w:sz="0" w:space="0" w:color="auto"/>
            <w:left w:val="none" w:sz="0" w:space="0" w:color="auto"/>
            <w:bottom w:val="none" w:sz="0" w:space="0" w:color="auto"/>
            <w:right w:val="none" w:sz="0" w:space="0" w:color="auto"/>
          </w:divBdr>
        </w:div>
        <w:div w:id="766192145">
          <w:marLeft w:val="0"/>
          <w:marRight w:val="0"/>
          <w:marTop w:val="0"/>
          <w:marBottom w:val="101"/>
          <w:divBdr>
            <w:top w:val="none" w:sz="0" w:space="0" w:color="auto"/>
            <w:left w:val="none" w:sz="0" w:space="0" w:color="auto"/>
            <w:bottom w:val="none" w:sz="0" w:space="0" w:color="auto"/>
            <w:right w:val="none" w:sz="0" w:space="0" w:color="auto"/>
          </w:divBdr>
        </w:div>
        <w:div w:id="1896774875">
          <w:marLeft w:val="0"/>
          <w:marRight w:val="0"/>
          <w:marTop w:val="0"/>
          <w:marBottom w:val="20"/>
          <w:divBdr>
            <w:top w:val="none" w:sz="0" w:space="0" w:color="auto"/>
            <w:left w:val="none" w:sz="0" w:space="0" w:color="auto"/>
            <w:bottom w:val="none" w:sz="0" w:space="0" w:color="auto"/>
            <w:right w:val="none" w:sz="0" w:space="0" w:color="auto"/>
          </w:divBdr>
        </w:div>
        <w:div w:id="2124109785">
          <w:marLeft w:val="0"/>
          <w:marRight w:val="0"/>
          <w:marTop w:val="0"/>
          <w:marBottom w:val="20"/>
          <w:divBdr>
            <w:top w:val="none" w:sz="0" w:space="0" w:color="auto"/>
            <w:left w:val="none" w:sz="0" w:space="0" w:color="auto"/>
            <w:bottom w:val="none" w:sz="0" w:space="0" w:color="auto"/>
            <w:right w:val="none" w:sz="0" w:space="0" w:color="auto"/>
          </w:divBdr>
        </w:div>
        <w:div w:id="1141582661">
          <w:marLeft w:val="0"/>
          <w:marRight w:val="0"/>
          <w:marTop w:val="0"/>
          <w:marBottom w:val="20"/>
          <w:divBdr>
            <w:top w:val="none" w:sz="0" w:space="0" w:color="auto"/>
            <w:left w:val="none" w:sz="0" w:space="0" w:color="auto"/>
            <w:bottom w:val="none" w:sz="0" w:space="0" w:color="auto"/>
            <w:right w:val="none" w:sz="0" w:space="0" w:color="auto"/>
          </w:divBdr>
        </w:div>
        <w:div w:id="2089883222">
          <w:marLeft w:val="0"/>
          <w:marRight w:val="0"/>
          <w:marTop w:val="0"/>
          <w:marBottom w:val="101"/>
          <w:divBdr>
            <w:top w:val="none" w:sz="0" w:space="0" w:color="auto"/>
            <w:left w:val="none" w:sz="0" w:space="0" w:color="auto"/>
            <w:bottom w:val="none" w:sz="0" w:space="0" w:color="auto"/>
            <w:right w:val="none" w:sz="0" w:space="0" w:color="auto"/>
          </w:divBdr>
        </w:div>
        <w:div w:id="1575122923">
          <w:marLeft w:val="0"/>
          <w:marRight w:val="0"/>
          <w:marTop w:val="0"/>
          <w:marBottom w:val="101"/>
          <w:divBdr>
            <w:top w:val="none" w:sz="0" w:space="0" w:color="auto"/>
            <w:left w:val="none" w:sz="0" w:space="0" w:color="auto"/>
            <w:bottom w:val="none" w:sz="0" w:space="0" w:color="auto"/>
            <w:right w:val="none" w:sz="0" w:space="0" w:color="auto"/>
          </w:divBdr>
        </w:div>
        <w:div w:id="268585933">
          <w:marLeft w:val="0"/>
          <w:marRight w:val="0"/>
          <w:marTop w:val="0"/>
          <w:marBottom w:val="20"/>
          <w:divBdr>
            <w:top w:val="none" w:sz="0" w:space="0" w:color="auto"/>
            <w:left w:val="none" w:sz="0" w:space="0" w:color="auto"/>
            <w:bottom w:val="none" w:sz="0" w:space="0" w:color="auto"/>
            <w:right w:val="none" w:sz="0" w:space="0" w:color="auto"/>
          </w:divBdr>
        </w:div>
        <w:div w:id="216401939">
          <w:marLeft w:val="0"/>
          <w:marRight w:val="0"/>
          <w:marTop w:val="0"/>
          <w:marBottom w:val="20"/>
          <w:divBdr>
            <w:top w:val="none" w:sz="0" w:space="0" w:color="auto"/>
            <w:left w:val="none" w:sz="0" w:space="0" w:color="auto"/>
            <w:bottom w:val="none" w:sz="0" w:space="0" w:color="auto"/>
            <w:right w:val="none" w:sz="0" w:space="0" w:color="auto"/>
          </w:divBdr>
        </w:div>
        <w:div w:id="1398018699">
          <w:marLeft w:val="0"/>
          <w:marRight w:val="0"/>
          <w:marTop w:val="0"/>
          <w:marBottom w:val="20"/>
          <w:divBdr>
            <w:top w:val="none" w:sz="0" w:space="0" w:color="auto"/>
            <w:left w:val="none" w:sz="0" w:space="0" w:color="auto"/>
            <w:bottom w:val="none" w:sz="0" w:space="0" w:color="auto"/>
            <w:right w:val="none" w:sz="0" w:space="0" w:color="auto"/>
          </w:divBdr>
        </w:div>
        <w:div w:id="1799185061">
          <w:marLeft w:val="0"/>
          <w:marRight w:val="0"/>
          <w:marTop w:val="0"/>
          <w:marBottom w:val="20"/>
          <w:divBdr>
            <w:top w:val="none" w:sz="0" w:space="0" w:color="auto"/>
            <w:left w:val="none" w:sz="0" w:space="0" w:color="auto"/>
            <w:bottom w:val="none" w:sz="0" w:space="0" w:color="auto"/>
            <w:right w:val="none" w:sz="0" w:space="0" w:color="auto"/>
          </w:divBdr>
        </w:div>
        <w:div w:id="2010012525">
          <w:marLeft w:val="0"/>
          <w:marRight w:val="0"/>
          <w:marTop w:val="0"/>
          <w:marBottom w:val="101"/>
          <w:divBdr>
            <w:top w:val="none" w:sz="0" w:space="0" w:color="auto"/>
            <w:left w:val="none" w:sz="0" w:space="0" w:color="auto"/>
            <w:bottom w:val="none" w:sz="0" w:space="0" w:color="auto"/>
            <w:right w:val="none" w:sz="0" w:space="0" w:color="auto"/>
          </w:divBdr>
        </w:div>
        <w:div w:id="15695736">
          <w:marLeft w:val="0"/>
          <w:marRight w:val="0"/>
          <w:marTop w:val="101"/>
          <w:marBottom w:val="101"/>
          <w:divBdr>
            <w:top w:val="none" w:sz="0" w:space="0" w:color="auto"/>
            <w:left w:val="none" w:sz="0" w:space="0" w:color="auto"/>
            <w:bottom w:val="none" w:sz="0" w:space="0" w:color="auto"/>
            <w:right w:val="none" w:sz="0" w:space="0" w:color="auto"/>
          </w:divBdr>
        </w:div>
        <w:div w:id="1210848322">
          <w:marLeft w:val="0"/>
          <w:marRight w:val="0"/>
          <w:marTop w:val="0"/>
          <w:marBottom w:val="46"/>
          <w:divBdr>
            <w:top w:val="none" w:sz="0" w:space="0" w:color="auto"/>
            <w:left w:val="none" w:sz="0" w:space="0" w:color="auto"/>
            <w:bottom w:val="none" w:sz="0" w:space="0" w:color="auto"/>
            <w:right w:val="none" w:sz="0" w:space="0" w:color="auto"/>
          </w:divBdr>
        </w:div>
        <w:div w:id="710811147">
          <w:marLeft w:val="0"/>
          <w:marRight w:val="0"/>
          <w:marTop w:val="0"/>
          <w:marBottom w:val="46"/>
          <w:divBdr>
            <w:top w:val="none" w:sz="0" w:space="0" w:color="auto"/>
            <w:left w:val="none" w:sz="0" w:space="0" w:color="auto"/>
            <w:bottom w:val="none" w:sz="0" w:space="0" w:color="auto"/>
            <w:right w:val="none" w:sz="0" w:space="0" w:color="auto"/>
          </w:divBdr>
        </w:div>
        <w:div w:id="667101600">
          <w:marLeft w:val="0"/>
          <w:marRight w:val="0"/>
          <w:marTop w:val="0"/>
          <w:marBottom w:val="46"/>
          <w:divBdr>
            <w:top w:val="none" w:sz="0" w:space="0" w:color="auto"/>
            <w:left w:val="none" w:sz="0" w:space="0" w:color="auto"/>
            <w:bottom w:val="none" w:sz="0" w:space="0" w:color="auto"/>
            <w:right w:val="none" w:sz="0" w:space="0" w:color="auto"/>
          </w:divBdr>
        </w:div>
        <w:div w:id="1861821388">
          <w:marLeft w:val="0"/>
          <w:marRight w:val="0"/>
          <w:marTop w:val="0"/>
          <w:marBottom w:val="46"/>
          <w:divBdr>
            <w:top w:val="none" w:sz="0" w:space="0" w:color="auto"/>
            <w:left w:val="none" w:sz="0" w:space="0" w:color="auto"/>
            <w:bottom w:val="none" w:sz="0" w:space="0" w:color="auto"/>
            <w:right w:val="none" w:sz="0" w:space="0" w:color="auto"/>
          </w:divBdr>
        </w:div>
        <w:div w:id="1300725425">
          <w:marLeft w:val="0"/>
          <w:marRight w:val="0"/>
          <w:marTop w:val="0"/>
          <w:marBottom w:val="46"/>
          <w:divBdr>
            <w:top w:val="none" w:sz="0" w:space="0" w:color="auto"/>
            <w:left w:val="none" w:sz="0" w:space="0" w:color="auto"/>
            <w:bottom w:val="none" w:sz="0" w:space="0" w:color="auto"/>
            <w:right w:val="none" w:sz="0" w:space="0" w:color="auto"/>
          </w:divBdr>
        </w:div>
        <w:div w:id="1822884849">
          <w:marLeft w:val="0"/>
          <w:marRight w:val="0"/>
          <w:marTop w:val="0"/>
          <w:marBottom w:val="46"/>
          <w:divBdr>
            <w:top w:val="none" w:sz="0" w:space="0" w:color="auto"/>
            <w:left w:val="none" w:sz="0" w:space="0" w:color="auto"/>
            <w:bottom w:val="none" w:sz="0" w:space="0" w:color="auto"/>
            <w:right w:val="none" w:sz="0" w:space="0" w:color="auto"/>
          </w:divBdr>
        </w:div>
        <w:div w:id="1153908115">
          <w:marLeft w:val="0"/>
          <w:marRight w:val="0"/>
          <w:marTop w:val="0"/>
          <w:marBottom w:val="46"/>
          <w:divBdr>
            <w:top w:val="none" w:sz="0" w:space="0" w:color="auto"/>
            <w:left w:val="none" w:sz="0" w:space="0" w:color="auto"/>
            <w:bottom w:val="none" w:sz="0" w:space="0" w:color="auto"/>
            <w:right w:val="none" w:sz="0" w:space="0" w:color="auto"/>
          </w:divBdr>
        </w:div>
        <w:div w:id="1314604922">
          <w:marLeft w:val="0"/>
          <w:marRight w:val="0"/>
          <w:marTop w:val="0"/>
          <w:marBottom w:val="46"/>
          <w:divBdr>
            <w:top w:val="none" w:sz="0" w:space="0" w:color="auto"/>
            <w:left w:val="none" w:sz="0" w:space="0" w:color="auto"/>
            <w:bottom w:val="none" w:sz="0" w:space="0" w:color="auto"/>
            <w:right w:val="none" w:sz="0" w:space="0" w:color="auto"/>
          </w:divBdr>
        </w:div>
        <w:div w:id="544563533">
          <w:marLeft w:val="0"/>
          <w:marRight w:val="0"/>
          <w:marTop w:val="0"/>
          <w:marBottom w:val="46"/>
          <w:divBdr>
            <w:top w:val="none" w:sz="0" w:space="0" w:color="auto"/>
            <w:left w:val="none" w:sz="0" w:space="0" w:color="auto"/>
            <w:bottom w:val="none" w:sz="0" w:space="0" w:color="auto"/>
            <w:right w:val="none" w:sz="0" w:space="0" w:color="auto"/>
          </w:divBdr>
        </w:div>
        <w:div w:id="1496385620">
          <w:marLeft w:val="0"/>
          <w:marRight w:val="0"/>
          <w:marTop w:val="0"/>
          <w:marBottom w:val="46"/>
          <w:divBdr>
            <w:top w:val="none" w:sz="0" w:space="0" w:color="auto"/>
            <w:left w:val="none" w:sz="0" w:space="0" w:color="auto"/>
            <w:bottom w:val="none" w:sz="0" w:space="0" w:color="auto"/>
            <w:right w:val="none" w:sz="0" w:space="0" w:color="auto"/>
          </w:divBdr>
        </w:div>
        <w:div w:id="66921182">
          <w:marLeft w:val="0"/>
          <w:marRight w:val="0"/>
          <w:marTop w:val="0"/>
          <w:marBottom w:val="46"/>
          <w:divBdr>
            <w:top w:val="none" w:sz="0" w:space="0" w:color="auto"/>
            <w:left w:val="none" w:sz="0" w:space="0" w:color="auto"/>
            <w:bottom w:val="none" w:sz="0" w:space="0" w:color="auto"/>
            <w:right w:val="none" w:sz="0" w:space="0" w:color="auto"/>
          </w:divBdr>
        </w:div>
        <w:div w:id="775103344">
          <w:marLeft w:val="0"/>
          <w:marRight w:val="0"/>
          <w:marTop w:val="0"/>
          <w:marBottom w:val="46"/>
          <w:divBdr>
            <w:top w:val="none" w:sz="0" w:space="0" w:color="auto"/>
            <w:left w:val="none" w:sz="0" w:space="0" w:color="auto"/>
            <w:bottom w:val="none" w:sz="0" w:space="0" w:color="auto"/>
            <w:right w:val="none" w:sz="0" w:space="0" w:color="auto"/>
          </w:divBdr>
        </w:div>
        <w:div w:id="210384416">
          <w:marLeft w:val="0"/>
          <w:marRight w:val="0"/>
          <w:marTop w:val="101"/>
          <w:marBottom w:val="46"/>
          <w:divBdr>
            <w:top w:val="none" w:sz="0" w:space="0" w:color="auto"/>
            <w:left w:val="none" w:sz="0" w:space="0" w:color="auto"/>
            <w:bottom w:val="none" w:sz="0" w:space="0" w:color="auto"/>
            <w:right w:val="none" w:sz="0" w:space="0" w:color="auto"/>
          </w:divBdr>
        </w:div>
        <w:div w:id="299576554">
          <w:marLeft w:val="0"/>
          <w:marRight w:val="0"/>
          <w:marTop w:val="0"/>
          <w:marBottom w:val="46"/>
          <w:divBdr>
            <w:top w:val="none" w:sz="0" w:space="0" w:color="auto"/>
            <w:left w:val="none" w:sz="0" w:space="0" w:color="auto"/>
            <w:bottom w:val="none" w:sz="0" w:space="0" w:color="auto"/>
            <w:right w:val="none" w:sz="0" w:space="0" w:color="auto"/>
          </w:divBdr>
        </w:div>
        <w:div w:id="341395657">
          <w:marLeft w:val="0"/>
          <w:marRight w:val="0"/>
          <w:marTop w:val="0"/>
          <w:marBottom w:val="46"/>
          <w:divBdr>
            <w:top w:val="none" w:sz="0" w:space="0" w:color="auto"/>
            <w:left w:val="none" w:sz="0" w:space="0" w:color="auto"/>
            <w:bottom w:val="none" w:sz="0" w:space="0" w:color="auto"/>
            <w:right w:val="none" w:sz="0" w:space="0" w:color="auto"/>
          </w:divBdr>
        </w:div>
        <w:div w:id="1717580611">
          <w:marLeft w:val="0"/>
          <w:marRight w:val="0"/>
          <w:marTop w:val="0"/>
          <w:marBottom w:val="46"/>
          <w:divBdr>
            <w:top w:val="none" w:sz="0" w:space="0" w:color="auto"/>
            <w:left w:val="none" w:sz="0" w:space="0" w:color="auto"/>
            <w:bottom w:val="none" w:sz="0" w:space="0" w:color="auto"/>
            <w:right w:val="none" w:sz="0" w:space="0" w:color="auto"/>
          </w:divBdr>
        </w:div>
        <w:div w:id="452753122">
          <w:marLeft w:val="0"/>
          <w:marRight w:val="0"/>
          <w:marTop w:val="0"/>
          <w:marBottom w:val="46"/>
          <w:divBdr>
            <w:top w:val="none" w:sz="0" w:space="0" w:color="auto"/>
            <w:left w:val="none" w:sz="0" w:space="0" w:color="auto"/>
            <w:bottom w:val="none" w:sz="0" w:space="0" w:color="auto"/>
            <w:right w:val="none" w:sz="0" w:space="0" w:color="auto"/>
          </w:divBdr>
        </w:div>
        <w:div w:id="1735932951">
          <w:marLeft w:val="0"/>
          <w:marRight w:val="0"/>
          <w:marTop w:val="0"/>
          <w:marBottom w:val="46"/>
          <w:divBdr>
            <w:top w:val="none" w:sz="0" w:space="0" w:color="auto"/>
            <w:left w:val="none" w:sz="0" w:space="0" w:color="auto"/>
            <w:bottom w:val="none" w:sz="0" w:space="0" w:color="auto"/>
            <w:right w:val="none" w:sz="0" w:space="0" w:color="auto"/>
          </w:divBdr>
        </w:div>
        <w:div w:id="1339850139">
          <w:marLeft w:val="0"/>
          <w:marRight w:val="0"/>
          <w:marTop w:val="0"/>
          <w:marBottom w:val="46"/>
          <w:divBdr>
            <w:top w:val="none" w:sz="0" w:space="0" w:color="auto"/>
            <w:left w:val="none" w:sz="0" w:space="0" w:color="auto"/>
            <w:bottom w:val="none" w:sz="0" w:space="0" w:color="auto"/>
            <w:right w:val="none" w:sz="0" w:space="0" w:color="auto"/>
          </w:divBdr>
        </w:div>
        <w:div w:id="1572230011">
          <w:marLeft w:val="0"/>
          <w:marRight w:val="0"/>
          <w:marTop w:val="0"/>
          <w:marBottom w:val="46"/>
          <w:divBdr>
            <w:top w:val="none" w:sz="0" w:space="0" w:color="auto"/>
            <w:left w:val="none" w:sz="0" w:space="0" w:color="auto"/>
            <w:bottom w:val="none" w:sz="0" w:space="0" w:color="auto"/>
            <w:right w:val="none" w:sz="0" w:space="0" w:color="auto"/>
          </w:divBdr>
        </w:div>
        <w:div w:id="844242627">
          <w:marLeft w:val="0"/>
          <w:marRight w:val="0"/>
          <w:marTop w:val="0"/>
          <w:marBottom w:val="46"/>
          <w:divBdr>
            <w:top w:val="none" w:sz="0" w:space="0" w:color="auto"/>
            <w:left w:val="none" w:sz="0" w:space="0" w:color="auto"/>
            <w:bottom w:val="none" w:sz="0" w:space="0" w:color="auto"/>
            <w:right w:val="none" w:sz="0" w:space="0" w:color="auto"/>
          </w:divBdr>
        </w:div>
        <w:div w:id="821578865">
          <w:marLeft w:val="0"/>
          <w:marRight w:val="0"/>
          <w:marTop w:val="0"/>
          <w:marBottom w:val="46"/>
          <w:divBdr>
            <w:top w:val="none" w:sz="0" w:space="0" w:color="auto"/>
            <w:left w:val="none" w:sz="0" w:space="0" w:color="auto"/>
            <w:bottom w:val="none" w:sz="0" w:space="0" w:color="auto"/>
            <w:right w:val="none" w:sz="0" w:space="0" w:color="auto"/>
          </w:divBdr>
        </w:div>
        <w:div w:id="711928032">
          <w:marLeft w:val="0"/>
          <w:marRight w:val="0"/>
          <w:marTop w:val="0"/>
          <w:marBottom w:val="101"/>
          <w:divBdr>
            <w:top w:val="none" w:sz="0" w:space="0" w:color="auto"/>
            <w:left w:val="none" w:sz="0" w:space="0" w:color="auto"/>
            <w:bottom w:val="none" w:sz="0" w:space="0" w:color="auto"/>
            <w:right w:val="none" w:sz="0" w:space="0" w:color="auto"/>
          </w:divBdr>
        </w:div>
      </w:divsChild>
    </w:div>
    <w:div w:id="1854298809">
      <w:bodyDiv w:val="1"/>
      <w:marLeft w:val="0"/>
      <w:marRight w:val="0"/>
      <w:marTop w:val="0"/>
      <w:marBottom w:val="0"/>
      <w:divBdr>
        <w:top w:val="none" w:sz="0" w:space="0" w:color="auto"/>
        <w:left w:val="none" w:sz="0" w:space="0" w:color="auto"/>
        <w:bottom w:val="none" w:sz="0" w:space="0" w:color="auto"/>
        <w:right w:val="none" w:sz="0" w:space="0" w:color="auto"/>
      </w:divBdr>
    </w:div>
    <w:div w:id="1889145433">
      <w:bodyDiv w:val="1"/>
      <w:marLeft w:val="0"/>
      <w:marRight w:val="0"/>
      <w:marTop w:val="0"/>
      <w:marBottom w:val="0"/>
      <w:divBdr>
        <w:top w:val="none" w:sz="0" w:space="0" w:color="auto"/>
        <w:left w:val="none" w:sz="0" w:space="0" w:color="auto"/>
        <w:bottom w:val="none" w:sz="0" w:space="0" w:color="auto"/>
        <w:right w:val="none" w:sz="0" w:space="0" w:color="auto"/>
      </w:divBdr>
      <w:divsChild>
        <w:div w:id="1337852929">
          <w:marLeft w:val="0"/>
          <w:marRight w:val="0"/>
          <w:marTop w:val="0"/>
          <w:marBottom w:val="101"/>
          <w:divBdr>
            <w:top w:val="none" w:sz="0" w:space="0" w:color="auto"/>
            <w:left w:val="none" w:sz="0" w:space="0" w:color="auto"/>
            <w:bottom w:val="none" w:sz="0" w:space="0" w:color="auto"/>
            <w:right w:val="none" w:sz="0" w:space="0" w:color="auto"/>
          </w:divBdr>
        </w:div>
        <w:div w:id="290331492">
          <w:marLeft w:val="0"/>
          <w:marRight w:val="0"/>
          <w:marTop w:val="0"/>
          <w:marBottom w:val="101"/>
          <w:divBdr>
            <w:top w:val="none" w:sz="0" w:space="0" w:color="auto"/>
            <w:left w:val="none" w:sz="0" w:space="0" w:color="auto"/>
            <w:bottom w:val="none" w:sz="0" w:space="0" w:color="auto"/>
            <w:right w:val="none" w:sz="0" w:space="0" w:color="auto"/>
          </w:divBdr>
        </w:div>
        <w:div w:id="1404644720">
          <w:marLeft w:val="0"/>
          <w:marRight w:val="0"/>
          <w:marTop w:val="101"/>
          <w:marBottom w:val="101"/>
          <w:divBdr>
            <w:top w:val="none" w:sz="0" w:space="0" w:color="auto"/>
            <w:left w:val="none" w:sz="0" w:space="0" w:color="auto"/>
            <w:bottom w:val="none" w:sz="0" w:space="0" w:color="auto"/>
            <w:right w:val="none" w:sz="0" w:space="0" w:color="auto"/>
          </w:divBdr>
        </w:div>
        <w:div w:id="912084921">
          <w:marLeft w:val="0"/>
          <w:marRight w:val="0"/>
          <w:marTop w:val="0"/>
          <w:marBottom w:val="101"/>
          <w:divBdr>
            <w:top w:val="none" w:sz="0" w:space="0" w:color="auto"/>
            <w:left w:val="none" w:sz="0" w:space="0" w:color="auto"/>
            <w:bottom w:val="none" w:sz="0" w:space="0" w:color="auto"/>
            <w:right w:val="none" w:sz="0" w:space="0" w:color="auto"/>
          </w:divBdr>
        </w:div>
        <w:div w:id="483855593">
          <w:marLeft w:val="0"/>
          <w:marRight w:val="0"/>
          <w:marTop w:val="0"/>
          <w:marBottom w:val="101"/>
          <w:divBdr>
            <w:top w:val="none" w:sz="0" w:space="0" w:color="auto"/>
            <w:left w:val="none" w:sz="0" w:space="0" w:color="auto"/>
            <w:bottom w:val="none" w:sz="0" w:space="0" w:color="auto"/>
            <w:right w:val="none" w:sz="0" w:space="0" w:color="auto"/>
          </w:divBdr>
        </w:div>
        <w:div w:id="1314021732">
          <w:marLeft w:val="0"/>
          <w:marRight w:val="0"/>
          <w:marTop w:val="0"/>
          <w:marBottom w:val="101"/>
          <w:divBdr>
            <w:top w:val="none" w:sz="0" w:space="0" w:color="auto"/>
            <w:left w:val="none" w:sz="0" w:space="0" w:color="auto"/>
            <w:bottom w:val="none" w:sz="0" w:space="0" w:color="auto"/>
            <w:right w:val="none" w:sz="0" w:space="0" w:color="auto"/>
          </w:divBdr>
        </w:div>
        <w:div w:id="1538004090">
          <w:marLeft w:val="0"/>
          <w:marRight w:val="0"/>
          <w:marTop w:val="0"/>
          <w:marBottom w:val="101"/>
          <w:divBdr>
            <w:top w:val="none" w:sz="0" w:space="0" w:color="auto"/>
            <w:left w:val="none" w:sz="0" w:space="0" w:color="auto"/>
            <w:bottom w:val="none" w:sz="0" w:space="0" w:color="auto"/>
            <w:right w:val="none" w:sz="0" w:space="0" w:color="auto"/>
          </w:divBdr>
        </w:div>
        <w:div w:id="459494382">
          <w:marLeft w:val="0"/>
          <w:marRight w:val="0"/>
          <w:marTop w:val="0"/>
          <w:marBottom w:val="101"/>
          <w:divBdr>
            <w:top w:val="none" w:sz="0" w:space="0" w:color="auto"/>
            <w:left w:val="none" w:sz="0" w:space="0" w:color="auto"/>
            <w:bottom w:val="none" w:sz="0" w:space="0" w:color="auto"/>
            <w:right w:val="none" w:sz="0" w:space="0" w:color="auto"/>
          </w:divBdr>
        </w:div>
        <w:div w:id="1785422499">
          <w:marLeft w:val="0"/>
          <w:marRight w:val="0"/>
          <w:marTop w:val="0"/>
          <w:marBottom w:val="101"/>
          <w:divBdr>
            <w:top w:val="none" w:sz="0" w:space="0" w:color="auto"/>
            <w:left w:val="none" w:sz="0" w:space="0" w:color="auto"/>
            <w:bottom w:val="none" w:sz="0" w:space="0" w:color="auto"/>
            <w:right w:val="none" w:sz="0" w:space="0" w:color="auto"/>
          </w:divBdr>
        </w:div>
        <w:div w:id="986517567">
          <w:marLeft w:val="0"/>
          <w:marRight w:val="0"/>
          <w:marTop w:val="0"/>
          <w:marBottom w:val="101"/>
          <w:divBdr>
            <w:top w:val="none" w:sz="0" w:space="0" w:color="auto"/>
            <w:left w:val="none" w:sz="0" w:space="0" w:color="auto"/>
            <w:bottom w:val="none" w:sz="0" w:space="0" w:color="auto"/>
            <w:right w:val="none" w:sz="0" w:space="0" w:color="auto"/>
          </w:divBdr>
        </w:div>
        <w:div w:id="1599823312">
          <w:marLeft w:val="0"/>
          <w:marRight w:val="0"/>
          <w:marTop w:val="0"/>
          <w:marBottom w:val="101"/>
          <w:divBdr>
            <w:top w:val="none" w:sz="0" w:space="0" w:color="auto"/>
            <w:left w:val="none" w:sz="0" w:space="0" w:color="auto"/>
            <w:bottom w:val="none" w:sz="0" w:space="0" w:color="auto"/>
            <w:right w:val="none" w:sz="0" w:space="0" w:color="auto"/>
          </w:divBdr>
        </w:div>
        <w:div w:id="391006472">
          <w:marLeft w:val="0"/>
          <w:marRight w:val="0"/>
          <w:marTop w:val="0"/>
          <w:marBottom w:val="101"/>
          <w:divBdr>
            <w:top w:val="none" w:sz="0" w:space="0" w:color="auto"/>
            <w:left w:val="none" w:sz="0" w:space="0" w:color="auto"/>
            <w:bottom w:val="none" w:sz="0" w:space="0" w:color="auto"/>
            <w:right w:val="none" w:sz="0" w:space="0" w:color="auto"/>
          </w:divBdr>
        </w:div>
        <w:div w:id="1677727018">
          <w:marLeft w:val="0"/>
          <w:marRight w:val="0"/>
          <w:marTop w:val="0"/>
          <w:marBottom w:val="101"/>
          <w:divBdr>
            <w:top w:val="none" w:sz="0" w:space="0" w:color="auto"/>
            <w:left w:val="none" w:sz="0" w:space="0" w:color="auto"/>
            <w:bottom w:val="none" w:sz="0" w:space="0" w:color="auto"/>
            <w:right w:val="none" w:sz="0" w:space="0" w:color="auto"/>
          </w:divBdr>
        </w:div>
        <w:div w:id="126170037">
          <w:marLeft w:val="0"/>
          <w:marRight w:val="0"/>
          <w:marTop w:val="0"/>
          <w:marBottom w:val="101"/>
          <w:divBdr>
            <w:top w:val="none" w:sz="0" w:space="0" w:color="auto"/>
            <w:left w:val="none" w:sz="0" w:space="0" w:color="auto"/>
            <w:bottom w:val="none" w:sz="0" w:space="0" w:color="auto"/>
            <w:right w:val="none" w:sz="0" w:space="0" w:color="auto"/>
          </w:divBdr>
        </w:div>
        <w:div w:id="1344741932">
          <w:marLeft w:val="0"/>
          <w:marRight w:val="0"/>
          <w:marTop w:val="0"/>
          <w:marBottom w:val="101"/>
          <w:divBdr>
            <w:top w:val="none" w:sz="0" w:space="0" w:color="auto"/>
            <w:left w:val="none" w:sz="0" w:space="0" w:color="auto"/>
            <w:bottom w:val="none" w:sz="0" w:space="0" w:color="auto"/>
            <w:right w:val="none" w:sz="0" w:space="0" w:color="auto"/>
          </w:divBdr>
        </w:div>
        <w:div w:id="67117455">
          <w:marLeft w:val="0"/>
          <w:marRight w:val="0"/>
          <w:marTop w:val="0"/>
          <w:marBottom w:val="101"/>
          <w:divBdr>
            <w:top w:val="none" w:sz="0" w:space="0" w:color="auto"/>
            <w:left w:val="none" w:sz="0" w:space="0" w:color="auto"/>
            <w:bottom w:val="none" w:sz="0" w:space="0" w:color="auto"/>
            <w:right w:val="none" w:sz="0" w:space="0" w:color="auto"/>
          </w:divBdr>
        </w:div>
        <w:div w:id="24982882">
          <w:marLeft w:val="0"/>
          <w:marRight w:val="0"/>
          <w:marTop w:val="0"/>
          <w:marBottom w:val="101"/>
          <w:divBdr>
            <w:top w:val="none" w:sz="0" w:space="0" w:color="auto"/>
            <w:left w:val="none" w:sz="0" w:space="0" w:color="auto"/>
            <w:bottom w:val="none" w:sz="0" w:space="0" w:color="auto"/>
            <w:right w:val="none" w:sz="0" w:space="0" w:color="auto"/>
          </w:divBdr>
        </w:div>
        <w:div w:id="2134402266">
          <w:marLeft w:val="0"/>
          <w:marRight w:val="0"/>
          <w:marTop w:val="20"/>
          <w:marBottom w:val="20"/>
          <w:divBdr>
            <w:top w:val="none" w:sz="0" w:space="0" w:color="auto"/>
            <w:left w:val="none" w:sz="0" w:space="0" w:color="auto"/>
            <w:bottom w:val="none" w:sz="0" w:space="0" w:color="auto"/>
            <w:right w:val="none" w:sz="0" w:space="0" w:color="auto"/>
          </w:divBdr>
        </w:div>
        <w:div w:id="366948660">
          <w:marLeft w:val="0"/>
          <w:marRight w:val="0"/>
          <w:marTop w:val="20"/>
          <w:marBottom w:val="20"/>
          <w:divBdr>
            <w:top w:val="none" w:sz="0" w:space="0" w:color="auto"/>
            <w:left w:val="none" w:sz="0" w:space="0" w:color="auto"/>
            <w:bottom w:val="none" w:sz="0" w:space="0" w:color="auto"/>
            <w:right w:val="none" w:sz="0" w:space="0" w:color="auto"/>
          </w:divBdr>
        </w:div>
        <w:div w:id="707528254">
          <w:marLeft w:val="0"/>
          <w:marRight w:val="0"/>
          <w:marTop w:val="20"/>
          <w:marBottom w:val="20"/>
          <w:divBdr>
            <w:top w:val="none" w:sz="0" w:space="0" w:color="auto"/>
            <w:left w:val="none" w:sz="0" w:space="0" w:color="auto"/>
            <w:bottom w:val="none" w:sz="0" w:space="0" w:color="auto"/>
            <w:right w:val="none" w:sz="0" w:space="0" w:color="auto"/>
          </w:divBdr>
        </w:div>
        <w:div w:id="295065684">
          <w:marLeft w:val="0"/>
          <w:marRight w:val="0"/>
          <w:marTop w:val="20"/>
          <w:marBottom w:val="20"/>
          <w:divBdr>
            <w:top w:val="none" w:sz="0" w:space="0" w:color="auto"/>
            <w:left w:val="none" w:sz="0" w:space="0" w:color="auto"/>
            <w:bottom w:val="none" w:sz="0" w:space="0" w:color="auto"/>
            <w:right w:val="none" w:sz="0" w:space="0" w:color="auto"/>
          </w:divBdr>
        </w:div>
        <w:div w:id="803085330">
          <w:marLeft w:val="0"/>
          <w:marRight w:val="0"/>
          <w:marTop w:val="20"/>
          <w:marBottom w:val="20"/>
          <w:divBdr>
            <w:top w:val="none" w:sz="0" w:space="0" w:color="auto"/>
            <w:left w:val="none" w:sz="0" w:space="0" w:color="auto"/>
            <w:bottom w:val="none" w:sz="0" w:space="0" w:color="auto"/>
            <w:right w:val="none" w:sz="0" w:space="0" w:color="auto"/>
          </w:divBdr>
        </w:div>
        <w:div w:id="1699575793">
          <w:marLeft w:val="0"/>
          <w:marRight w:val="0"/>
          <w:marTop w:val="20"/>
          <w:marBottom w:val="20"/>
          <w:divBdr>
            <w:top w:val="none" w:sz="0" w:space="0" w:color="auto"/>
            <w:left w:val="none" w:sz="0" w:space="0" w:color="auto"/>
            <w:bottom w:val="none" w:sz="0" w:space="0" w:color="auto"/>
            <w:right w:val="none" w:sz="0" w:space="0" w:color="auto"/>
          </w:divBdr>
        </w:div>
        <w:div w:id="53622941">
          <w:marLeft w:val="0"/>
          <w:marRight w:val="0"/>
          <w:marTop w:val="20"/>
          <w:marBottom w:val="20"/>
          <w:divBdr>
            <w:top w:val="none" w:sz="0" w:space="0" w:color="auto"/>
            <w:left w:val="none" w:sz="0" w:space="0" w:color="auto"/>
            <w:bottom w:val="none" w:sz="0" w:space="0" w:color="auto"/>
            <w:right w:val="none" w:sz="0" w:space="0" w:color="auto"/>
          </w:divBdr>
        </w:div>
        <w:div w:id="101539743">
          <w:marLeft w:val="0"/>
          <w:marRight w:val="0"/>
          <w:marTop w:val="20"/>
          <w:marBottom w:val="20"/>
          <w:divBdr>
            <w:top w:val="none" w:sz="0" w:space="0" w:color="auto"/>
            <w:left w:val="none" w:sz="0" w:space="0" w:color="auto"/>
            <w:bottom w:val="none" w:sz="0" w:space="0" w:color="auto"/>
            <w:right w:val="none" w:sz="0" w:space="0" w:color="auto"/>
          </w:divBdr>
        </w:div>
        <w:div w:id="238952941">
          <w:marLeft w:val="0"/>
          <w:marRight w:val="0"/>
          <w:marTop w:val="20"/>
          <w:marBottom w:val="20"/>
          <w:divBdr>
            <w:top w:val="none" w:sz="0" w:space="0" w:color="auto"/>
            <w:left w:val="none" w:sz="0" w:space="0" w:color="auto"/>
            <w:bottom w:val="none" w:sz="0" w:space="0" w:color="auto"/>
            <w:right w:val="none" w:sz="0" w:space="0" w:color="auto"/>
          </w:divBdr>
        </w:div>
        <w:div w:id="49772396">
          <w:marLeft w:val="0"/>
          <w:marRight w:val="0"/>
          <w:marTop w:val="20"/>
          <w:marBottom w:val="20"/>
          <w:divBdr>
            <w:top w:val="none" w:sz="0" w:space="0" w:color="auto"/>
            <w:left w:val="none" w:sz="0" w:space="0" w:color="auto"/>
            <w:bottom w:val="none" w:sz="0" w:space="0" w:color="auto"/>
            <w:right w:val="none" w:sz="0" w:space="0" w:color="auto"/>
          </w:divBdr>
        </w:div>
        <w:div w:id="555966825">
          <w:marLeft w:val="0"/>
          <w:marRight w:val="0"/>
          <w:marTop w:val="20"/>
          <w:marBottom w:val="20"/>
          <w:divBdr>
            <w:top w:val="none" w:sz="0" w:space="0" w:color="auto"/>
            <w:left w:val="none" w:sz="0" w:space="0" w:color="auto"/>
            <w:bottom w:val="none" w:sz="0" w:space="0" w:color="auto"/>
            <w:right w:val="none" w:sz="0" w:space="0" w:color="auto"/>
          </w:divBdr>
        </w:div>
        <w:div w:id="742415379">
          <w:marLeft w:val="0"/>
          <w:marRight w:val="0"/>
          <w:marTop w:val="20"/>
          <w:marBottom w:val="20"/>
          <w:divBdr>
            <w:top w:val="none" w:sz="0" w:space="0" w:color="auto"/>
            <w:left w:val="none" w:sz="0" w:space="0" w:color="auto"/>
            <w:bottom w:val="none" w:sz="0" w:space="0" w:color="auto"/>
            <w:right w:val="none" w:sz="0" w:space="0" w:color="auto"/>
          </w:divBdr>
        </w:div>
        <w:div w:id="1931114728">
          <w:marLeft w:val="0"/>
          <w:marRight w:val="0"/>
          <w:marTop w:val="20"/>
          <w:marBottom w:val="20"/>
          <w:divBdr>
            <w:top w:val="none" w:sz="0" w:space="0" w:color="auto"/>
            <w:left w:val="none" w:sz="0" w:space="0" w:color="auto"/>
            <w:bottom w:val="none" w:sz="0" w:space="0" w:color="auto"/>
            <w:right w:val="none" w:sz="0" w:space="0" w:color="auto"/>
          </w:divBdr>
        </w:div>
        <w:div w:id="456796629">
          <w:marLeft w:val="0"/>
          <w:marRight w:val="0"/>
          <w:marTop w:val="20"/>
          <w:marBottom w:val="20"/>
          <w:divBdr>
            <w:top w:val="none" w:sz="0" w:space="0" w:color="auto"/>
            <w:left w:val="none" w:sz="0" w:space="0" w:color="auto"/>
            <w:bottom w:val="none" w:sz="0" w:space="0" w:color="auto"/>
            <w:right w:val="none" w:sz="0" w:space="0" w:color="auto"/>
          </w:divBdr>
        </w:div>
        <w:div w:id="1660962691">
          <w:marLeft w:val="0"/>
          <w:marRight w:val="0"/>
          <w:marTop w:val="20"/>
          <w:marBottom w:val="20"/>
          <w:divBdr>
            <w:top w:val="none" w:sz="0" w:space="0" w:color="auto"/>
            <w:left w:val="none" w:sz="0" w:space="0" w:color="auto"/>
            <w:bottom w:val="none" w:sz="0" w:space="0" w:color="auto"/>
            <w:right w:val="none" w:sz="0" w:space="0" w:color="auto"/>
          </w:divBdr>
        </w:div>
        <w:div w:id="147794025">
          <w:marLeft w:val="0"/>
          <w:marRight w:val="0"/>
          <w:marTop w:val="20"/>
          <w:marBottom w:val="20"/>
          <w:divBdr>
            <w:top w:val="none" w:sz="0" w:space="0" w:color="auto"/>
            <w:left w:val="none" w:sz="0" w:space="0" w:color="auto"/>
            <w:bottom w:val="none" w:sz="0" w:space="0" w:color="auto"/>
            <w:right w:val="none" w:sz="0" w:space="0" w:color="auto"/>
          </w:divBdr>
        </w:div>
        <w:div w:id="1576670786">
          <w:marLeft w:val="0"/>
          <w:marRight w:val="0"/>
          <w:marTop w:val="20"/>
          <w:marBottom w:val="20"/>
          <w:divBdr>
            <w:top w:val="none" w:sz="0" w:space="0" w:color="auto"/>
            <w:left w:val="none" w:sz="0" w:space="0" w:color="auto"/>
            <w:bottom w:val="none" w:sz="0" w:space="0" w:color="auto"/>
            <w:right w:val="none" w:sz="0" w:space="0" w:color="auto"/>
          </w:divBdr>
        </w:div>
        <w:div w:id="2146778845">
          <w:marLeft w:val="0"/>
          <w:marRight w:val="0"/>
          <w:marTop w:val="20"/>
          <w:marBottom w:val="20"/>
          <w:divBdr>
            <w:top w:val="none" w:sz="0" w:space="0" w:color="auto"/>
            <w:left w:val="none" w:sz="0" w:space="0" w:color="auto"/>
            <w:bottom w:val="none" w:sz="0" w:space="0" w:color="auto"/>
            <w:right w:val="none" w:sz="0" w:space="0" w:color="auto"/>
          </w:divBdr>
        </w:div>
        <w:div w:id="1172377450">
          <w:marLeft w:val="0"/>
          <w:marRight w:val="0"/>
          <w:marTop w:val="20"/>
          <w:marBottom w:val="20"/>
          <w:divBdr>
            <w:top w:val="none" w:sz="0" w:space="0" w:color="auto"/>
            <w:left w:val="none" w:sz="0" w:space="0" w:color="auto"/>
            <w:bottom w:val="none" w:sz="0" w:space="0" w:color="auto"/>
            <w:right w:val="none" w:sz="0" w:space="0" w:color="auto"/>
          </w:divBdr>
        </w:div>
        <w:div w:id="1636134061">
          <w:marLeft w:val="0"/>
          <w:marRight w:val="0"/>
          <w:marTop w:val="20"/>
          <w:marBottom w:val="20"/>
          <w:divBdr>
            <w:top w:val="none" w:sz="0" w:space="0" w:color="auto"/>
            <w:left w:val="none" w:sz="0" w:space="0" w:color="auto"/>
            <w:bottom w:val="none" w:sz="0" w:space="0" w:color="auto"/>
            <w:right w:val="none" w:sz="0" w:space="0" w:color="auto"/>
          </w:divBdr>
        </w:div>
        <w:div w:id="1603294505">
          <w:marLeft w:val="0"/>
          <w:marRight w:val="0"/>
          <w:marTop w:val="20"/>
          <w:marBottom w:val="20"/>
          <w:divBdr>
            <w:top w:val="none" w:sz="0" w:space="0" w:color="auto"/>
            <w:left w:val="none" w:sz="0" w:space="0" w:color="auto"/>
            <w:bottom w:val="none" w:sz="0" w:space="0" w:color="auto"/>
            <w:right w:val="none" w:sz="0" w:space="0" w:color="auto"/>
          </w:divBdr>
        </w:div>
        <w:div w:id="584144097">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227612848">
          <w:marLeft w:val="0"/>
          <w:marRight w:val="0"/>
          <w:marTop w:val="20"/>
          <w:marBottom w:val="20"/>
          <w:divBdr>
            <w:top w:val="none" w:sz="0" w:space="0" w:color="auto"/>
            <w:left w:val="none" w:sz="0" w:space="0" w:color="auto"/>
            <w:bottom w:val="none" w:sz="0" w:space="0" w:color="auto"/>
            <w:right w:val="none" w:sz="0" w:space="0" w:color="auto"/>
          </w:divBdr>
        </w:div>
        <w:div w:id="433016933">
          <w:marLeft w:val="0"/>
          <w:marRight w:val="0"/>
          <w:marTop w:val="20"/>
          <w:marBottom w:val="20"/>
          <w:divBdr>
            <w:top w:val="none" w:sz="0" w:space="0" w:color="auto"/>
            <w:left w:val="none" w:sz="0" w:space="0" w:color="auto"/>
            <w:bottom w:val="none" w:sz="0" w:space="0" w:color="auto"/>
            <w:right w:val="none" w:sz="0" w:space="0" w:color="auto"/>
          </w:divBdr>
        </w:div>
        <w:div w:id="1325091893">
          <w:marLeft w:val="0"/>
          <w:marRight w:val="0"/>
          <w:marTop w:val="20"/>
          <w:marBottom w:val="20"/>
          <w:divBdr>
            <w:top w:val="none" w:sz="0" w:space="0" w:color="auto"/>
            <w:left w:val="none" w:sz="0" w:space="0" w:color="auto"/>
            <w:bottom w:val="none" w:sz="0" w:space="0" w:color="auto"/>
            <w:right w:val="none" w:sz="0" w:space="0" w:color="auto"/>
          </w:divBdr>
        </w:div>
        <w:div w:id="875120383">
          <w:marLeft w:val="0"/>
          <w:marRight w:val="0"/>
          <w:marTop w:val="20"/>
          <w:marBottom w:val="20"/>
          <w:divBdr>
            <w:top w:val="none" w:sz="0" w:space="0" w:color="auto"/>
            <w:left w:val="none" w:sz="0" w:space="0" w:color="auto"/>
            <w:bottom w:val="none" w:sz="0" w:space="0" w:color="auto"/>
            <w:right w:val="none" w:sz="0" w:space="0" w:color="auto"/>
          </w:divBdr>
        </w:div>
        <w:div w:id="1078208458">
          <w:marLeft w:val="0"/>
          <w:marRight w:val="0"/>
          <w:marTop w:val="20"/>
          <w:marBottom w:val="20"/>
          <w:divBdr>
            <w:top w:val="none" w:sz="0" w:space="0" w:color="auto"/>
            <w:left w:val="none" w:sz="0" w:space="0" w:color="auto"/>
            <w:bottom w:val="none" w:sz="0" w:space="0" w:color="auto"/>
            <w:right w:val="none" w:sz="0" w:space="0" w:color="auto"/>
          </w:divBdr>
        </w:div>
        <w:div w:id="736516843">
          <w:marLeft w:val="0"/>
          <w:marRight w:val="0"/>
          <w:marTop w:val="0"/>
          <w:marBottom w:val="101"/>
          <w:divBdr>
            <w:top w:val="none" w:sz="0" w:space="0" w:color="auto"/>
            <w:left w:val="none" w:sz="0" w:space="0" w:color="auto"/>
            <w:bottom w:val="none" w:sz="0" w:space="0" w:color="auto"/>
            <w:right w:val="none" w:sz="0" w:space="0" w:color="auto"/>
          </w:divBdr>
        </w:div>
        <w:div w:id="426119863">
          <w:marLeft w:val="0"/>
          <w:marRight w:val="0"/>
          <w:marTop w:val="0"/>
          <w:marBottom w:val="60"/>
          <w:divBdr>
            <w:top w:val="none" w:sz="0" w:space="0" w:color="auto"/>
            <w:left w:val="none" w:sz="0" w:space="0" w:color="auto"/>
            <w:bottom w:val="none" w:sz="0" w:space="0" w:color="auto"/>
            <w:right w:val="none" w:sz="0" w:space="0" w:color="auto"/>
          </w:divBdr>
        </w:div>
        <w:div w:id="368649710">
          <w:marLeft w:val="0"/>
          <w:marRight w:val="0"/>
          <w:marTop w:val="0"/>
          <w:marBottom w:val="60"/>
          <w:divBdr>
            <w:top w:val="none" w:sz="0" w:space="0" w:color="auto"/>
            <w:left w:val="none" w:sz="0" w:space="0" w:color="auto"/>
            <w:bottom w:val="none" w:sz="0" w:space="0" w:color="auto"/>
            <w:right w:val="none" w:sz="0" w:space="0" w:color="auto"/>
          </w:divBdr>
        </w:div>
        <w:div w:id="922563532">
          <w:marLeft w:val="0"/>
          <w:marRight w:val="0"/>
          <w:marTop w:val="0"/>
          <w:marBottom w:val="60"/>
          <w:divBdr>
            <w:top w:val="none" w:sz="0" w:space="0" w:color="auto"/>
            <w:left w:val="none" w:sz="0" w:space="0" w:color="auto"/>
            <w:bottom w:val="none" w:sz="0" w:space="0" w:color="auto"/>
            <w:right w:val="none" w:sz="0" w:space="0" w:color="auto"/>
          </w:divBdr>
        </w:div>
        <w:div w:id="896937226">
          <w:marLeft w:val="0"/>
          <w:marRight w:val="0"/>
          <w:marTop w:val="0"/>
          <w:marBottom w:val="60"/>
          <w:divBdr>
            <w:top w:val="none" w:sz="0" w:space="0" w:color="auto"/>
            <w:left w:val="none" w:sz="0" w:space="0" w:color="auto"/>
            <w:bottom w:val="none" w:sz="0" w:space="0" w:color="auto"/>
            <w:right w:val="none" w:sz="0" w:space="0" w:color="auto"/>
          </w:divBdr>
        </w:div>
        <w:div w:id="1825779295">
          <w:marLeft w:val="0"/>
          <w:marRight w:val="0"/>
          <w:marTop w:val="0"/>
          <w:marBottom w:val="60"/>
          <w:divBdr>
            <w:top w:val="none" w:sz="0" w:space="0" w:color="auto"/>
            <w:left w:val="none" w:sz="0" w:space="0" w:color="auto"/>
            <w:bottom w:val="none" w:sz="0" w:space="0" w:color="auto"/>
            <w:right w:val="none" w:sz="0" w:space="0" w:color="auto"/>
          </w:divBdr>
        </w:div>
        <w:div w:id="331219606">
          <w:marLeft w:val="0"/>
          <w:marRight w:val="0"/>
          <w:marTop w:val="0"/>
          <w:marBottom w:val="60"/>
          <w:divBdr>
            <w:top w:val="none" w:sz="0" w:space="0" w:color="auto"/>
            <w:left w:val="none" w:sz="0" w:space="0" w:color="auto"/>
            <w:bottom w:val="none" w:sz="0" w:space="0" w:color="auto"/>
            <w:right w:val="none" w:sz="0" w:space="0" w:color="auto"/>
          </w:divBdr>
        </w:div>
        <w:div w:id="1173833221">
          <w:marLeft w:val="0"/>
          <w:marRight w:val="0"/>
          <w:marTop w:val="0"/>
          <w:marBottom w:val="60"/>
          <w:divBdr>
            <w:top w:val="none" w:sz="0" w:space="0" w:color="auto"/>
            <w:left w:val="none" w:sz="0" w:space="0" w:color="auto"/>
            <w:bottom w:val="none" w:sz="0" w:space="0" w:color="auto"/>
            <w:right w:val="none" w:sz="0" w:space="0" w:color="auto"/>
          </w:divBdr>
        </w:div>
        <w:div w:id="1546062370">
          <w:marLeft w:val="720"/>
          <w:marRight w:val="0"/>
          <w:marTop w:val="0"/>
          <w:marBottom w:val="60"/>
          <w:divBdr>
            <w:top w:val="none" w:sz="0" w:space="0" w:color="auto"/>
            <w:left w:val="none" w:sz="0" w:space="0" w:color="auto"/>
            <w:bottom w:val="none" w:sz="0" w:space="0" w:color="auto"/>
            <w:right w:val="none" w:sz="0" w:space="0" w:color="auto"/>
          </w:divBdr>
        </w:div>
        <w:div w:id="1154950846">
          <w:marLeft w:val="720"/>
          <w:marRight w:val="0"/>
          <w:marTop w:val="0"/>
          <w:marBottom w:val="101"/>
          <w:divBdr>
            <w:top w:val="none" w:sz="0" w:space="0" w:color="auto"/>
            <w:left w:val="none" w:sz="0" w:space="0" w:color="auto"/>
            <w:bottom w:val="none" w:sz="0" w:space="0" w:color="auto"/>
            <w:right w:val="none" w:sz="0" w:space="0" w:color="auto"/>
          </w:divBdr>
        </w:div>
        <w:div w:id="1829981932">
          <w:marLeft w:val="720"/>
          <w:marRight w:val="0"/>
          <w:marTop w:val="0"/>
          <w:marBottom w:val="101"/>
          <w:divBdr>
            <w:top w:val="none" w:sz="0" w:space="0" w:color="auto"/>
            <w:left w:val="none" w:sz="0" w:space="0" w:color="auto"/>
            <w:bottom w:val="none" w:sz="0" w:space="0" w:color="auto"/>
            <w:right w:val="none" w:sz="0" w:space="0" w:color="auto"/>
          </w:divBdr>
        </w:div>
        <w:div w:id="1236238172">
          <w:marLeft w:val="720"/>
          <w:marRight w:val="0"/>
          <w:marTop w:val="0"/>
          <w:marBottom w:val="101"/>
          <w:divBdr>
            <w:top w:val="none" w:sz="0" w:space="0" w:color="auto"/>
            <w:left w:val="none" w:sz="0" w:space="0" w:color="auto"/>
            <w:bottom w:val="none" w:sz="0" w:space="0" w:color="auto"/>
            <w:right w:val="none" w:sz="0" w:space="0" w:color="auto"/>
          </w:divBdr>
        </w:div>
        <w:div w:id="328100212">
          <w:marLeft w:val="720"/>
          <w:marRight w:val="0"/>
          <w:marTop w:val="0"/>
          <w:marBottom w:val="101"/>
          <w:divBdr>
            <w:top w:val="none" w:sz="0" w:space="0" w:color="auto"/>
            <w:left w:val="none" w:sz="0" w:space="0" w:color="auto"/>
            <w:bottom w:val="none" w:sz="0" w:space="0" w:color="auto"/>
            <w:right w:val="none" w:sz="0" w:space="0" w:color="auto"/>
          </w:divBdr>
        </w:div>
        <w:div w:id="1010060596">
          <w:marLeft w:val="0"/>
          <w:marRight w:val="0"/>
          <w:marTop w:val="0"/>
          <w:marBottom w:val="101"/>
          <w:divBdr>
            <w:top w:val="none" w:sz="0" w:space="0" w:color="auto"/>
            <w:left w:val="none" w:sz="0" w:space="0" w:color="auto"/>
            <w:bottom w:val="none" w:sz="0" w:space="0" w:color="auto"/>
            <w:right w:val="none" w:sz="0" w:space="0" w:color="auto"/>
          </w:divBdr>
        </w:div>
        <w:div w:id="1662655515">
          <w:marLeft w:val="0"/>
          <w:marRight w:val="0"/>
          <w:marTop w:val="0"/>
          <w:marBottom w:val="101"/>
          <w:divBdr>
            <w:top w:val="none" w:sz="0" w:space="0" w:color="auto"/>
            <w:left w:val="none" w:sz="0" w:space="0" w:color="auto"/>
            <w:bottom w:val="none" w:sz="0" w:space="0" w:color="auto"/>
            <w:right w:val="none" w:sz="0" w:space="0" w:color="auto"/>
          </w:divBdr>
        </w:div>
        <w:div w:id="1168596977">
          <w:marLeft w:val="0"/>
          <w:marRight w:val="0"/>
          <w:marTop w:val="0"/>
          <w:marBottom w:val="101"/>
          <w:divBdr>
            <w:top w:val="none" w:sz="0" w:space="0" w:color="auto"/>
            <w:left w:val="none" w:sz="0" w:space="0" w:color="auto"/>
            <w:bottom w:val="none" w:sz="0" w:space="0" w:color="auto"/>
            <w:right w:val="none" w:sz="0" w:space="0" w:color="auto"/>
          </w:divBdr>
        </w:div>
        <w:div w:id="866988118">
          <w:marLeft w:val="0"/>
          <w:marRight w:val="0"/>
          <w:marTop w:val="0"/>
          <w:marBottom w:val="101"/>
          <w:divBdr>
            <w:top w:val="none" w:sz="0" w:space="0" w:color="auto"/>
            <w:left w:val="none" w:sz="0" w:space="0" w:color="auto"/>
            <w:bottom w:val="none" w:sz="0" w:space="0" w:color="auto"/>
            <w:right w:val="none" w:sz="0" w:space="0" w:color="auto"/>
          </w:divBdr>
        </w:div>
        <w:div w:id="1546602527">
          <w:marLeft w:val="0"/>
          <w:marRight w:val="0"/>
          <w:marTop w:val="0"/>
          <w:marBottom w:val="101"/>
          <w:divBdr>
            <w:top w:val="none" w:sz="0" w:space="0" w:color="auto"/>
            <w:left w:val="none" w:sz="0" w:space="0" w:color="auto"/>
            <w:bottom w:val="none" w:sz="0" w:space="0" w:color="auto"/>
            <w:right w:val="none" w:sz="0" w:space="0" w:color="auto"/>
          </w:divBdr>
        </w:div>
        <w:div w:id="1764687990">
          <w:marLeft w:val="0"/>
          <w:marRight w:val="0"/>
          <w:marTop w:val="0"/>
          <w:marBottom w:val="101"/>
          <w:divBdr>
            <w:top w:val="none" w:sz="0" w:space="0" w:color="auto"/>
            <w:left w:val="none" w:sz="0" w:space="0" w:color="auto"/>
            <w:bottom w:val="none" w:sz="0" w:space="0" w:color="auto"/>
            <w:right w:val="none" w:sz="0" w:space="0" w:color="auto"/>
          </w:divBdr>
        </w:div>
        <w:div w:id="719675111">
          <w:marLeft w:val="0"/>
          <w:marRight w:val="0"/>
          <w:marTop w:val="0"/>
          <w:marBottom w:val="101"/>
          <w:divBdr>
            <w:top w:val="none" w:sz="0" w:space="0" w:color="auto"/>
            <w:left w:val="none" w:sz="0" w:space="0" w:color="auto"/>
            <w:bottom w:val="none" w:sz="0" w:space="0" w:color="auto"/>
            <w:right w:val="none" w:sz="0" w:space="0" w:color="auto"/>
          </w:divBdr>
        </w:div>
        <w:div w:id="1531139336">
          <w:marLeft w:val="0"/>
          <w:marRight w:val="0"/>
          <w:marTop w:val="0"/>
          <w:marBottom w:val="20"/>
          <w:divBdr>
            <w:top w:val="none" w:sz="0" w:space="0" w:color="auto"/>
            <w:left w:val="none" w:sz="0" w:space="0" w:color="auto"/>
            <w:bottom w:val="none" w:sz="0" w:space="0" w:color="auto"/>
            <w:right w:val="none" w:sz="0" w:space="0" w:color="auto"/>
          </w:divBdr>
        </w:div>
        <w:div w:id="659889255">
          <w:marLeft w:val="0"/>
          <w:marRight w:val="0"/>
          <w:marTop w:val="0"/>
          <w:marBottom w:val="20"/>
          <w:divBdr>
            <w:top w:val="none" w:sz="0" w:space="0" w:color="auto"/>
            <w:left w:val="none" w:sz="0" w:space="0" w:color="auto"/>
            <w:bottom w:val="none" w:sz="0" w:space="0" w:color="auto"/>
            <w:right w:val="none" w:sz="0" w:space="0" w:color="auto"/>
          </w:divBdr>
        </w:div>
        <w:div w:id="823543752">
          <w:marLeft w:val="0"/>
          <w:marRight w:val="0"/>
          <w:marTop w:val="0"/>
          <w:marBottom w:val="20"/>
          <w:divBdr>
            <w:top w:val="none" w:sz="0" w:space="0" w:color="auto"/>
            <w:left w:val="none" w:sz="0" w:space="0" w:color="auto"/>
            <w:bottom w:val="none" w:sz="0" w:space="0" w:color="auto"/>
            <w:right w:val="none" w:sz="0" w:space="0" w:color="auto"/>
          </w:divBdr>
        </w:div>
        <w:div w:id="1683049781">
          <w:marLeft w:val="0"/>
          <w:marRight w:val="0"/>
          <w:marTop w:val="0"/>
          <w:marBottom w:val="101"/>
          <w:divBdr>
            <w:top w:val="none" w:sz="0" w:space="0" w:color="auto"/>
            <w:left w:val="none" w:sz="0" w:space="0" w:color="auto"/>
            <w:bottom w:val="none" w:sz="0" w:space="0" w:color="auto"/>
            <w:right w:val="none" w:sz="0" w:space="0" w:color="auto"/>
          </w:divBdr>
        </w:div>
        <w:div w:id="212080342">
          <w:marLeft w:val="0"/>
          <w:marRight w:val="0"/>
          <w:marTop w:val="0"/>
          <w:marBottom w:val="101"/>
          <w:divBdr>
            <w:top w:val="none" w:sz="0" w:space="0" w:color="auto"/>
            <w:left w:val="none" w:sz="0" w:space="0" w:color="auto"/>
            <w:bottom w:val="none" w:sz="0" w:space="0" w:color="auto"/>
            <w:right w:val="none" w:sz="0" w:space="0" w:color="auto"/>
          </w:divBdr>
        </w:div>
        <w:div w:id="810902739">
          <w:marLeft w:val="0"/>
          <w:marRight w:val="0"/>
          <w:marTop w:val="0"/>
          <w:marBottom w:val="20"/>
          <w:divBdr>
            <w:top w:val="none" w:sz="0" w:space="0" w:color="auto"/>
            <w:left w:val="none" w:sz="0" w:space="0" w:color="auto"/>
            <w:bottom w:val="none" w:sz="0" w:space="0" w:color="auto"/>
            <w:right w:val="none" w:sz="0" w:space="0" w:color="auto"/>
          </w:divBdr>
        </w:div>
        <w:div w:id="295189105">
          <w:marLeft w:val="0"/>
          <w:marRight w:val="0"/>
          <w:marTop w:val="0"/>
          <w:marBottom w:val="20"/>
          <w:divBdr>
            <w:top w:val="none" w:sz="0" w:space="0" w:color="auto"/>
            <w:left w:val="none" w:sz="0" w:space="0" w:color="auto"/>
            <w:bottom w:val="none" w:sz="0" w:space="0" w:color="auto"/>
            <w:right w:val="none" w:sz="0" w:space="0" w:color="auto"/>
          </w:divBdr>
        </w:div>
        <w:div w:id="200671626">
          <w:marLeft w:val="0"/>
          <w:marRight w:val="0"/>
          <w:marTop w:val="0"/>
          <w:marBottom w:val="20"/>
          <w:divBdr>
            <w:top w:val="none" w:sz="0" w:space="0" w:color="auto"/>
            <w:left w:val="none" w:sz="0" w:space="0" w:color="auto"/>
            <w:bottom w:val="none" w:sz="0" w:space="0" w:color="auto"/>
            <w:right w:val="none" w:sz="0" w:space="0" w:color="auto"/>
          </w:divBdr>
        </w:div>
        <w:div w:id="460535251">
          <w:marLeft w:val="0"/>
          <w:marRight w:val="0"/>
          <w:marTop w:val="0"/>
          <w:marBottom w:val="101"/>
          <w:divBdr>
            <w:top w:val="none" w:sz="0" w:space="0" w:color="auto"/>
            <w:left w:val="none" w:sz="0" w:space="0" w:color="auto"/>
            <w:bottom w:val="none" w:sz="0" w:space="0" w:color="auto"/>
            <w:right w:val="none" w:sz="0" w:space="0" w:color="auto"/>
          </w:divBdr>
        </w:div>
        <w:div w:id="1690712674">
          <w:marLeft w:val="0"/>
          <w:marRight w:val="0"/>
          <w:marTop w:val="0"/>
          <w:marBottom w:val="20"/>
          <w:divBdr>
            <w:top w:val="none" w:sz="0" w:space="0" w:color="auto"/>
            <w:left w:val="none" w:sz="0" w:space="0" w:color="auto"/>
            <w:bottom w:val="none" w:sz="0" w:space="0" w:color="auto"/>
            <w:right w:val="none" w:sz="0" w:space="0" w:color="auto"/>
          </w:divBdr>
        </w:div>
        <w:div w:id="1232892279">
          <w:marLeft w:val="0"/>
          <w:marRight w:val="0"/>
          <w:marTop w:val="0"/>
          <w:marBottom w:val="20"/>
          <w:divBdr>
            <w:top w:val="none" w:sz="0" w:space="0" w:color="auto"/>
            <w:left w:val="none" w:sz="0" w:space="0" w:color="auto"/>
            <w:bottom w:val="none" w:sz="0" w:space="0" w:color="auto"/>
            <w:right w:val="none" w:sz="0" w:space="0" w:color="auto"/>
          </w:divBdr>
        </w:div>
        <w:div w:id="505171762">
          <w:marLeft w:val="0"/>
          <w:marRight w:val="0"/>
          <w:marTop w:val="0"/>
          <w:marBottom w:val="20"/>
          <w:divBdr>
            <w:top w:val="none" w:sz="0" w:space="0" w:color="auto"/>
            <w:left w:val="none" w:sz="0" w:space="0" w:color="auto"/>
            <w:bottom w:val="none" w:sz="0" w:space="0" w:color="auto"/>
            <w:right w:val="none" w:sz="0" w:space="0" w:color="auto"/>
          </w:divBdr>
        </w:div>
        <w:div w:id="1497452825">
          <w:marLeft w:val="0"/>
          <w:marRight w:val="0"/>
          <w:marTop w:val="0"/>
          <w:marBottom w:val="101"/>
          <w:divBdr>
            <w:top w:val="none" w:sz="0" w:space="0" w:color="auto"/>
            <w:left w:val="none" w:sz="0" w:space="0" w:color="auto"/>
            <w:bottom w:val="none" w:sz="0" w:space="0" w:color="auto"/>
            <w:right w:val="none" w:sz="0" w:space="0" w:color="auto"/>
          </w:divBdr>
        </w:div>
        <w:div w:id="1207133771">
          <w:marLeft w:val="0"/>
          <w:marRight w:val="0"/>
          <w:marTop w:val="0"/>
          <w:marBottom w:val="20"/>
          <w:divBdr>
            <w:top w:val="none" w:sz="0" w:space="0" w:color="auto"/>
            <w:left w:val="none" w:sz="0" w:space="0" w:color="auto"/>
            <w:bottom w:val="none" w:sz="0" w:space="0" w:color="auto"/>
            <w:right w:val="none" w:sz="0" w:space="0" w:color="auto"/>
          </w:divBdr>
        </w:div>
        <w:div w:id="1726877557">
          <w:marLeft w:val="0"/>
          <w:marRight w:val="0"/>
          <w:marTop w:val="0"/>
          <w:marBottom w:val="20"/>
          <w:divBdr>
            <w:top w:val="none" w:sz="0" w:space="0" w:color="auto"/>
            <w:left w:val="none" w:sz="0" w:space="0" w:color="auto"/>
            <w:bottom w:val="none" w:sz="0" w:space="0" w:color="auto"/>
            <w:right w:val="none" w:sz="0" w:space="0" w:color="auto"/>
          </w:divBdr>
        </w:div>
        <w:div w:id="1997882557">
          <w:marLeft w:val="0"/>
          <w:marRight w:val="0"/>
          <w:marTop w:val="0"/>
          <w:marBottom w:val="20"/>
          <w:divBdr>
            <w:top w:val="none" w:sz="0" w:space="0" w:color="auto"/>
            <w:left w:val="none" w:sz="0" w:space="0" w:color="auto"/>
            <w:bottom w:val="none" w:sz="0" w:space="0" w:color="auto"/>
            <w:right w:val="none" w:sz="0" w:space="0" w:color="auto"/>
          </w:divBdr>
        </w:div>
        <w:div w:id="755514514">
          <w:marLeft w:val="0"/>
          <w:marRight w:val="0"/>
          <w:marTop w:val="0"/>
          <w:marBottom w:val="101"/>
          <w:divBdr>
            <w:top w:val="none" w:sz="0" w:space="0" w:color="auto"/>
            <w:left w:val="none" w:sz="0" w:space="0" w:color="auto"/>
            <w:bottom w:val="none" w:sz="0" w:space="0" w:color="auto"/>
            <w:right w:val="none" w:sz="0" w:space="0" w:color="auto"/>
          </w:divBdr>
        </w:div>
        <w:div w:id="1181159604">
          <w:marLeft w:val="0"/>
          <w:marRight w:val="0"/>
          <w:marTop w:val="0"/>
          <w:marBottom w:val="20"/>
          <w:divBdr>
            <w:top w:val="none" w:sz="0" w:space="0" w:color="auto"/>
            <w:left w:val="none" w:sz="0" w:space="0" w:color="auto"/>
            <w:bottom w:val="none" w:sz="0" w:space="0" w:color="auto"/>
            <w:right w:val="none" w:sz="0" w:space="0" w:color="auto"/>
          </w:divBdr>
        </w:div>
        <w:div w:id="1139759838">
          <w:marLeft w:val="0"/>
          <w:marRight w:val="0"/>
          <w:marTop w:val="0"/>
          <w:marBottom w:val="20"/>
          <w:divBdr>
            <w:top w:val="none" w:sz="0" w:space="0" w:color="auto"/>
            <w:left w:val="none" w:sz="0" w:space="0" w:color="auto"/>
            <w:bottom w:val="none" w:sz="0" w:space="0" w:color="auto"/>
            <w:right w:val="none" w:sz="0" w:space="0" w:color="auto"/>
          </w:divBdr>
        </w:div>
        <w:div w:id="307518962">
          <w:marLeft w:val="0"/>
          <w:marRight w:val="0"/>
          <w:marTop w:val="0"/>
          <w:marBottom w:val="20"/>
          <w:divBdr>
            <w:top w:val="none" w:sz="0" w:space="0" w:color="auto"/>
            <w:left w:val="none" w:sz="0" w:space="0" w:color="auto"/>
            <w:bottom w:val="none" w:sz="0" w:space="0" w:color="auto"/>
            <w:right w:val="none" w:sz="0" w:space="0" w:color="auto"/>
          </w:divBdr>
        </w:div>
        <w:div w:id="1108622765">
          <w:marLeft w:val="0"/>
          <w:marRight w:val="0"/>
          <w:marTop w:val="0"/>
          <w:marBottom w:val="101"/>
          <w:divBdr>
            <w:top w:val="none" w:sz="0" w:space="0" w:color="auto"/>
            <w:left w:val="none" w:sz="0" w:space="0" w:color="auto"/>
            <w:bottom w:val="none" w:sz="0" w:space="0" w:color="auto"/>
            <w:right w:val="none" w:sz="0" w:space="0" w:color="auto"/>
          </w:divBdr>
        </w:div>
        <w:div w:id="642319565">
          <w:marLeft w:val="0"/>
          <w:marRight w:val="0"/>
          <w:marTop w:val="0"/>
          <w:marBottom w:val="20"/>
          <w:divBdr>
            <w:top w:val="none" w:sz="0" w:space="0" w:color="auto"/>
            <w:left w:val="none" w:sz="0" w:space="0" w:color="auto"/>
            <w:bottom w:val="none" w:sz="0" w:space="0" w:color="auto"/>
            <w:right w:val="none" w:sz="0" w:space="0" w:color="auto"/>
          </w:divBdr>
        </w:div>
        <w:div w:id="683289153">
          <w:marLeft w:val="0"/>
          <w:marRight w:val="0"/>
          <w:marTop w:val="0"/>
          <w:marBottom w:val="20"/>
          <w:divBdr>
            <w:top w:val="none" w:sz="0" w:space="0" w:color="auto"/>
            <w:left w:val="none" w:sz="0" w:space="0" w:color="auto"/>
            <w:bottom w:val="none" w:sz="0" w:space="0" w:color="auto"/>
            <w:right w:val="none" w:sz="0" w:space="0" w:color="auto"/>
          </w:divBdr>
        </w:div>
        <w:div w:id="657685712">
          <w:marLeft w:val="0"/>
          <w:marRight w:val="0"/>
          <w:marTop w:val="0"/>
          <w:marBottom w:val="20"/>
          <w:divBdr>
            <w:top w:val="none" w:sz="0" w:space="0" w:color="auto"/>
            <w:left w:val="none" w:sz="0" w:space="0" w:color="auto"/>
            <w:bottom w:val="none" w:sz="0" w:space="0" w:color="auto"/>
            <w:right w:val="none" w:sz="0" w:space="0" w:color="auto"/>
          </w:divBdr>
        </w:div>
        <w:div w:id="1755013757">
          <w:marLeft w:val="0"/>
          <w:marRight w:val="0"/>
          <w:marTop w:val="0"/>
          <w:marBottom w:val="101"/>
          <w:divBdr>
            <w:top w:val="none" w:sz="0" w:space="0" w:color="auto"/>
            <w:left w:val="none" w:sz="0" w:space="0" w:color="auto"/>
            <w:bottom w:val="none" w:sz="0" w:space="0" w:color="auto"/>
            <w:right w:val="none" w:sz="0" w:space="0" w:color="auto"/>
          </w:divBdr>
        </w:div>
        <w:div w:id="2143693958">
          <w:marLeft w:val="0"/>
          <w:marRight w:val="0"/>
          <w:marTop w:val="0"/>
          <w:marBottom w:val="101"/>
          <w:divBdr>
            <w:top w:val="none" w:sz="0" w:space="0" w:color="auto"/>
            <w:left w:val="none" w:sz="0" w:space="0" w:color="auto"/>
            <w:bottom w:val="none" w:sz="0" w:space="0" w:color="auto"/>
            <w:right w:val="none" w:sz="0" w:space="0" w:color="auto"/>
          </w:divBdr>
        </w:div>
        <w:div w:id="793133926">
          <w:marLeft w:val="0"/>
          <w:marRight w:val="0"/>
          <w:marTop w:val="0"/>
          <w:marBottom w:val="20"/>
          <w:divBdr>
            <w:top w:val="none" w:sz="0" w:space="0" w:color="auto"/>
            <w:left w:val="none" w:sz="0" w:space="0" w:color="auto"/>
            <w:bottom w:val="none" w:sz="0" w:space="0" w:color="auto"/>
            <w:right w:val="none" w:sz="0" w:space="0" w:color="auto"/>
          </w:divBdr>
        </w:div>
        <w:div w:id="1029602162">
          <w:marLeft w:val="0"/>
          <w:marRight w:val="0"/>
          <w:marTop w:val="0"/>
          <w:marBottom w:val="20"/>
          <w:divBdr>
            <w:top w:val="none" w:sz="0" w:space="0" w:color="auto"/>
            <w:left w:val="none" w:sz="0" w:space="0" w:color="auto"/>
            <w:bottom w:val="none" w:sz="0" w:space="0" w:color="auto"/>
            <w:right w:val="none" w:sz="0" w:space="0" w:color="auto"/>
          </w:divBdr>
        </w:div>
        <w:div w:id="1933541149">
          <w:marLeft w:val="0"/>
          <w:marRight w:val="0"/>
          <w:marTop w:val="0"/>
          <w:marBottom w:val="20"/>
          <w:divBdr>
            <w:top w:val="none" w:sz="0" w:space="0" w:color="auto"/>
            <w:left w:val="none" w:sz="0" w:space="0" w:color="auto"/>
            <w:bottom w:val="none" w:sz="0" w:space="0" w:color="auto"/>
            <w:right w:val="none" w:sz="0" w:space="0" w:color="auto"/>
          </w:divBdr>
        </w:div>
        <w:div w:id="819929640">
          <w:marLeft w:val="0"/>
          <w:marRight w:val="0"/>
          <w:marTop w:val="0"/>
          <w:marBottom w:val="20"/>
          <w:divBdr>
            <w:top w:val="none" w:sz="0" w:space="0" w:color="auto"/>
            <w:left w:val="none" w:sz="0" w:space="0" w:color="auto"/>
            <w:bottom w:val="none" w:sz="0" w:space="0" w:color="auto"/>
            <w:right w:val="none" w:sz="0" w:space="0" w:color="auto"/>
          </w:divBdr>
        </w:div>
        <w:div w:id="1879127067">
          <w:marLeft w:val="0"/>
          <w:marRight w:val="0"/>
          <w:marTop w:val="0"/>
          <w:marBottom w:val="101"/>
          <w:divBdr>
            <w:top w:val="none" w:sz="0" w:space="0" w:color="auto"/>
            <w:left w:val="none" w:sz="0" w:space="0" w:color="auto"/>
            <w:bottom w:val="none" w:sz="0" w:space="0" w:color="auto"/>
            <w:right w:val="none" w:sz="0" w:space="0" w:color="auto"/>
          </w:divBdr>
        </w:div>
        <w:div w:id="342442533">
          <w:marLeft w:val="0"/>
          <w:marRight w:val="0"/>
          <w:marTop w:val="101"/>
          <w:marBottom w:val="101"/>
          <w:divBdr>
            <w:top w:val="none" w:sz="0" w:space="0" w:color="auto"/>
            <w:left w:val="none" w:sz="0" w:space="0" w:color="auto"/>
            <w:bottom w:val="none" w:sz="0" w:space="0" w:color="auto"/>
            <w:right w:val="none" w:sz="0" w:space="0" w:color="auto"/>
          </w:divBdr>
        </w:div>
        <w:div w:id="578559293">
          <w:marLeft w:val="0"/>
          <w:marRight w:val="0"/>
          <w:marTop w:val="0"/>
          <w:marBottom w:val="46"/>
          <w:divBdr>
            <w:top w:val="none" w:sz="0" w:space="0" w:color="auto"/>
            <w:left w:val="none" w:sz="0" w:space="0" w:color="auto"/>
            <w:bottom w:val="none" w:sz="0" w:space="0" w:color="auto"/>
            <w:right w:val="none" w:sz="0" w:space="0" w:color="auto"/>
          </w:divBdr>
        </w:div>
        <w:div w:id="885946889">
          <w:marLeft w:val="0"/>
          <w:marRight w:val="0"/>
          <w:marTop w:val="0"/>
          <w:marBottom w:val="46"/>
          <w:divBdr>
            <w:top w:val="none" w:sz="0" w:space="0" w:color="auto"/>
            <w:left w:val="none" w:sz="0" w:space="0" w:color="auto"/>
            <w:bottom w:val="none" w:sz="0" w:space="0" w:color="auto"/>
            <w:right w:val="none" w:sz="0" w:space="0" w:color="auto"/>
          </w:divBdr>
        </w:div>
        <w:div w:id="1721050133">
          <w:marLeft w:val="0"/>
          <w:marRight w:val="0"/>
          <w:marTop w:val="0"/>
          <w:marBottom w:val="46"/>
          <w:divBdr>
            <w:top w:val="none" w:sz="0" w:space="0" w:color="auto"/>
            <w:left w:val="none" w:sz="0" w:space="0" w:color="auto"/>
            <w:bottom w:val="none" w:sz="0" w:space="0" w:color="auto"/>
            <w:right w:val="none" w:sz="0" w:space="0" w:color="auto"/>
          </w:divBdr>
        </w:div>
        <w:div w:id="1013721629">
          <w:marLeft w:val="0"/>
          <w:marRight w:val="0"/>
          <w:marTop w:val="0"/>
          <w:marBottom w:val="46"/>
          <w:divBdr>
            <w:top w:val="none" w:sz="0" w:space="0" w:color="auto"/>
            <w:left w:val="none" w:sz="0" w:space="0" w:color="auto"/>
            <w:bottom w:val="none" w:sz="0" w:space="0" w:color="auto"/>
            <w:right w:val="none" w:sz="0" w:space="0" w:color="auto"/>
          </w:divBdr>
        </w:div>
        <w:div w:id="755321531">
          <w:marLeft w:val="0"/>
          <w:marRight w:val="0"/>
          <w:marTop w:val="0"/>
          <w:marBottom w:val="46"/>
          <w:divBdr>
            <w:top w:val="none" w:sz="0" w:space="0" w:color="auto"/>
            <w:left w:val="none" w:sz="0" w:space="0" w:color="auto"/>
            <w:bottom w:val="none" w:sz="0" w:space="0" w:color="auto"/>
            <w:right w:val="none" w:sz="0" w:space="0" w:color="auto"/>
          </w:divBdr>
        </w:div>
        <w:div w:id="93137388">
          <w:marLeft w:val="0"/>
          <w:marRight w:val="0"/>
          <w:marTop w:val="0"/>
          <w:marBottom w:val="46"/>
          <w:divBdr>
            <w:top w:val="none" w:sz="0" w:space="0" w:color="auto"/>
            <w:left w:val="none" w:sz="0" w:space="0" w:color="auto"/>
            <w:bottom w:val="none" w:sz="0" w:space="0" w:color="auto"/>
            <w:right w:val="none" w:sz="0" w:space="0" w:color="auto"/>
          </w:divBdr>
        </w:div>
        <w:div w:id="1232352545">
          <w:marLeft w:val="0"/>
          <w:marRight w:val="0"/>
          <w:marTop w:val="0"/>
          <w:marBottom w:val="46"/>
          <w:divBdr>
            <w:top w:val="none" w:sz="0" w:space="0" w:color="auto"/>
            <w:left w:val="none" w:sz="0" w:space="0" w:color="auto"/>
            <w:bottom w:val="none" w:sz="0" w:space="0" w:color="auto"/>
            <w:right w:val="none" w:sz="0" w:space="0" w:color="auto"/>
          </w:divBdr>
        </w:div>
        <w:div w:id="1310397712">
          <w:marLeft w:val="0"/>
          <w:marRight w:val="0"/>
          <w:marTop w:val="0"/>
          <w:marBottom w:val="46"/>
          <w:divBdr>
            <w:top w:val="none" w:sz="0" w:space="0" w:color="auto"/>
            <w:left w:val="none" w:sz="0" w:space="0" w:color="auto"/>
            <w:bottom w:val="none" w:sz="0" w:space="0" w:color="auto"/>
            <w:right w:val="none" w:sz="0" w:space="0" w:color="auto"/>
          </w:divBdr>
        </w:div>
        <w:div w:id="443960415">
          <w:marLeft w:val="0"/>
          <w:marRight w:val="0"/>
          <w:marTop w:val="0"/>
          <w:marBottom w:val="46"/>
          <w:divBdr>
            <w:top w:val="none" w:sz="0" w:space="0" w:color="auto"/>
            <w:left w:val="none" w:sz="0" w:space="0" w:color="auto"/>
            <w:bottom w:val="none" w:sz="0" w:space="0" w:color="auto"/>
            <w:right w:val="none" w:sz="0" w:space="0" w:color="auto"/>
          </w:divBdr>
        </w:div>
        <w:div w:id="1944412541">
          <w:marLeft w:val="0"/>
          <w:marRight w:val="0"/>
          <w:marTop w:val="0"/>
          <w:marBottom w:val="46"/>
          <w:divBdr>
            <w:top w:val="none" w:sz="0" w:space="0" w:color="auto"/>
            <w:left w:val="none" w:sz="0" w:space="0" w:color="auto"/>
            <w:bottom w:val="none" w:sz="0" w:space="0" w:color="auto"/>
            <w:right w:val="none" w:sz="0" w:space="0" w:color="auto"/>
          </w:divBdr>
        </w:div>
        <w:div w:id="292759082">
          <w:marLeft w:val="0"/>
          <w:marRight w:val="0"/>
          <w:marTop w:val="0"/>
          <w:marBottom w:val="46"/>
          <w:divBdr>
            <w:top w:val="none" w:sz="0" w:space="0" w:color="auto"/>
            <w:left w:val="none" w:sz="0" w:space="0" w:color="auto"/>
            <w:bottom w:val="none" w:sz="0" w:space="0" w:color="auto"/>
            <w:right w:val="none" w:sz="0" w:space="0" w:color="auto"/>
          </w:divBdr>
        </w:div>
        <w:div w:id="688144320">
          <w:marLeft w:val="0"/>
          <w:marRight w:val="0"/>
          <w:marTop w:val="0"/>
          <w:marBottom w:val="46"/>
          <w:divBdr>
            <w:top w:val="none" w:sz="0" w:space="0" w:color="auto"/>
            <w:left w:val="none" w:sz="0" w:space="0" w:color="auto"/>
            <w:bottom w:val="none" w:sz="0" w:space="0" w:color="auto"/>
            <w:right w:val="none" w:sz="0" w:space="0" w:color="auto"/>
          </w:divBdr>
        </w:div>
        <w:div w:id="1294869195">
          <w:marLeft w:val="0"/>
          <w:marRight w:val="0"/>
          <w:marTop w:val="101"/>
          <w:marBottom w:val="46"/>
          <w:divBdr>
            <w:top w:val="none" w:sz="0" w:space="0" w:color="auto"/>
            <w:left w:val="none" w:sz="0" w:space="0" w:color="auto"/>
            <w:bottom w:val="none" w:sz="0" w:space="0" w:color="auto"/>
            <w:right w:val="none" w:sz="0" w:space="0" w:color="auto"/>
          </w:divBdr>
        </w:div>
        <w:div w:id="1531989614">
          <w:marLeft w:val="0"/>
          <w:marRight w:val="0"/>
          <w:marTop w:val="0"/>
          <w:marBottom w:val="46"/>
          <w:divBdr>
            <w:top w:val="none" w:sz="0" w:space="0" w:color="auto"/>
            <w:left w:val="none" w:sz="0" w:space="0" w:color="auto"/>
            <w:bottom w:val="none" w:sz="0" w:space="0" w:color="auto"/>
            <w:right w:val="none" w:sz="0" w:space="0" w:color="auto"/>
          </w:divBdr>
        </w:div>
        <w:div w:id="1919830021">
          <w:marLeft w:val="0"/>
          <w:marRight w:val="0"/>
          <w:marTop w:val="0"/>
          <w:marBottom w:val="46"/>
          <w:divBdr>
            <w:top w:val="none" w:sz="0" w:space="0" w:color="auto"/>
            <w:left w:val="none" w:sz="0" w:space="0" w:color="auto"/>
            <w:bottom w:val="none" w:sz="0" w:space="0" w:color="auto"/>
            <w:right w:val="none" w:sz="0" w:space="0" w:color="auto"/>
          </w:divBdr>
        </w:div>
        <w:div w:id="184947346">
          <w:marLeft w:val="0"/>
          <w:marRight w:val="0"/>
          <w:marTop w:val="0"/>
          <w:marBottom w:val="46"/>
          <w:divBdr>
            <w:top w:val="none" w:sz="0" w:space="0" w:color="auto"/>
            <w:left w:val="none" w:sz="0" w:space="0" w:color="auto"/>
            <w:bottom w:val="none" w:sz="0" w:space="0" w:color="auto"/>
            <w:right w:val="none" w:sz="0" w:space="0" w:color="auto"/>
          </w:divBdr>
        </w:div>
        <w:div w:id="1869636893">
          <w:marLeft w:val="0"/>
          <w:marRight w:val="0"/>
          <w:marTop w:val="0"/>
          <w:marBottom w:val="46"/>
          <w:divBdr>
            <w:top w:val="none" w:sz="0" w:space="0" w:color="auto"/>
            <w:left w:val="none" w:sz="0" w:space="0" w:color="auto"/>
            <w:bottom w:val="none" w:sz="0" w:space="0" w:color="auto"/>
            <w:right w:val="none" w:sz="0" w:space="0" w:color="auto"/>
          </w:divBdr>
        </w:div>
        <w:div w:id="500048045">
          <w:marLeft w:val="0"/>
          <w:marRight w:val="0"/>
          <w:marTop w:val="0"/>
          <w:marBottom w:val="46"/>
          <w:divBdr>
            <w:top w:val="none" w:sz="0" w:space="0" w:color="auto"/>
            <w:left w:val="none" w:sz="0" w:space="0" w:color="auto"/>
            <w:bottom w:val="none" w:sz="0" w:space="0" w:color="auto"/>
            <w:right w:val="none" w:sz="0" w:space="0" w:color="auto"/>
          </w:divBdr>
        </w:div>
        <w:div w:id="412314914">
          <w:marLeft w:val="0"/>
          <w:marRight w:val="0"/>
          <w:marTop w:val="0"/>
          <w:marBottom w:val="46"/>
          <w:divBdr>
            <w:top w:val="none" w:sz="0" w:space="0" w:color="auto"/>
            <w:left w:val="none" w:sz="0" w:space="0" w:color="auto"/>
            <w:bottom w:val="none" w:sz="0" w:space="0" w:color="auto"/>
            <w:right w:val="none" w:sz="0" w:space="0" w:color="auto"/>
          </w:divBdr>
        </w:div>
        <w:div w:id="1669210974">
          <w:marLeft w:val="0"/>
          <w:marRight w:val="0"/>
          <w:marTop w:val="0"/>
          <w:marBottom w:val="46"/>
          <w:divBdr>
            <w:top w:val="none" w:sz="0" w:space="0" w:color="auto"/>
            <w:left w:val="none" w:sz="0" w:space="0" w:color="auto"/>
            <w:bottom w:val="none" w:sz="0" w:space="0" w:color="auto"/>
            <w:right w:val="none" w:sz="0" w:space="0" w:color="auto"/>
          </w:divBdr>
        </w:div>
        <w:div w:id="1500925042">
          <w:marLeft w:val="0"/>
          <w:marRight w:val="0"/>
          <w:marTop w:val="0"/>
          <w:marBottom w:val="46"/>
          <w:divBdr>
            <w:top w:val="none" w:sz="0" w:space="0" w:color="auto"/>
            <w:left w:val="none" w:sz="0" w:space="0" w:color="auto"/>
            <w:bottom w:val="none" w:sz="0" w:space="0" w:color="auto"/>
            <w:right w:val="none" w:sz="0" w:space="0" w:color="auto"/>
          </w:divBdr>
        </w:div>
        <w:div w:id="1520852295">
          <w:marLeft w:val="0"/>
          <w:marRight w:val="0"/>
          <w:marTop w:val="0"/>
          <w:marBottom w:val="46"/>
          <w:divBdr>
            <w:top w:val="none" w:sz="0" w:space="0" w:color="auto"/>
            <w:left w:val="none" w:sz="0" w:space="0" w:color="auto"/>
            <w:bottom w:val="none" w:sz="0" w:space="0" w:color="auto"/>
            <w:right w:val="none" w:sz="0" w:space="0" w:color="auto"/>
          </w:divBdr>
        </w:div>
        <w:div w:id="21135449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14509</Characters>
  <Application>Microsoft Office Word</Application>
  <DocSecurity>0</DocSecurity>
  <Lines>120</Lines>
  <Paragraphs>34</Paragraphs>
  <ScaleCrop>false</ScaleCrop>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2019-09-27T16:36:00Z</dcterms:created>
  <dcterms:modified xsi:type="dcterms:W3CDTF">2019-09-27T16:37:00Z</dcterms:modified>
</cp:coreProperties>
</file>