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Aviso por el que se dan a conocer las bases de regulación tarifaria para el cobro del servicio portuario de amarre o desamarre de cabos, aplicables en el recinto portuario de Tuxpan, Ver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(DOF del 29 de diciembre de 2022)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MARINA.- Secretaría de Marina.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MARÍA MARISA ABARCA HERNÁNDEZ, Capitán de Altura, Directora General de Puertos, con </w:t>
      </w:r>
      <w:r w:rsidDel="00000000" w:rsidR="00000000" w:rsidRPr="00000000">
        <w:rPr>
          <w:sz w:val="20"/>
          <w:szCs w:val="20"/>
          <w:rtl w:val="0"/>
        </w:rPr>
        <w:t xml:space="preserve">fundamento en los artículos 30, fracciones XIV Bis, XIV Quáter y XXVI, de la Ley Orgánica de la Administración Pública Federal; 1o y 4o, fracción III, 16, fracciones II, VIII y XIV, 44, fracción I, 45, 50, 51, fracción V, 59, 60 y 61, de la Ley de Puertos; 1, 3, 67 al 69 y 137, del Reglamento de la Ley de Puertos; la Regulación Tarifaria, publicada en el Diario Oficial de la Federación el 22 de diciembre de 1999; y en ejercicio de las facultades que me confieren los artículos 1, 3, fracción II, inciso j, numeral 6 y 33, fracciones X y XVII, del Reglamento Interior de la Secretaría de Marina,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y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CONSIDERANDO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Que la Secretaría de Marina, como Autoridad en materia de Puertos, tiene a su cargo las atribuciones conferidas por las Leyes Orgánica de la Administración Pública Federal, la de Navegación y Comercio Marítimos, la de Puertos, así como los tratados internacionales de los que el Estado Mexicano sea parte, para el control de los puertos, terminales, marinas e instalaciones portuarias, su construcción, uso, aprovechamiento, explotación, operación y formas de administración, así como para la prestación de los servicios portuarios;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Que la Secretaría de Marina, por conducto de la Dirección General de Puertos, tiene dentro de sus atribuciones, el establecer las bases de regulación tarifaria y de precios para el uso de determinados bienes en puertos, terminales, marinas y para la prestación de los servicios cuando no existan opciones portuarias o de otros modos de transporte que propicien un ambiente de competencia razonable;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Que fue recibida una solicitud en la Ventanilla de Gestión de Trámites de la Unidad de Capitanías de Puerto y Asuntos Marítimos, para el ajuste de actualización a la tarifa para la prestación del servicio portuario de amarre o desamarre de cabos, aplicable en el recinto portuario de Tuxpan, Ver., misma que fue autorizada por la Dirección General de Puertos, y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Que de conformidad con el artículo 137 del Reglamento de la Ley de Puertos, las bases de regulación tarifaria entrarán en vigor a partir de los veinte días hábiles siguientes a su publicación en el Diario Oficial de la Federación, por lo que he tenido a bien emitir el siguiente: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left="720" w:right="440" w:firstLine="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"AVISO POR EL QUE SE DAN A CONOCER LAS BASES DE REGULACIÓN TARIFARIA PARA EL COBRO DEL SERVICIO PORTUARIO DE AMARRE O DESAMARRE DE CABOS, APLICABLES EN EL RECINTO PORTUARIO DE TUXPAN, VER."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Se hace del conocimiento del público en general, que fueron actualizadas las bases de regulación tarifaria para el cobro del servicio portuario de amarre o desamarre de cabos, aplicables en el puerto de Tuxpan, Ver., mismas que pueden ser consultadas en la página electrónica siguiente:</w:t>
      </w:r>
    </w:p>
    <w:tbl>
      <w:tblPr>
        <w:tblStyle w:val="Table1"/>
        <w:tblW w:w="88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20"/>
        <w:gridCol w:w="2385"/>
        <w:gridCol w:w="2100"/>
        <w:tblGridChange w:id="0">
          <w:tblGrid>
            <w:gridCol w:w="4320"/>
            <w:gridCol w:w="2385"/>
            <w:gridCol w:w="210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Prestador del servicio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100" w:lineRule="auto"/>
              <w:ind w:left="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Servicio portuario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100" w:lineRule="auto"/>
              <w:ind w:left="8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Puerto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00" w:lineRule="auto"/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María Azucena Santos Flores www.dof.gob.mx/</w:t>
            </w:r>
          </w:p>
          <w:p w:rsidR="00000000" w:rsidDel="00000000" w:rsidP="00000000" w:rsidRDefault="00000000" w:rsidRPr="00000000" w14:paraId="00000011">
            <w:pPr>
              <w:spacing w:after="100" w:lineRule="auto"/>
              <w:ind w:left="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2022/SEMAR/3545_2022.pdf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00" w:lineRule="auto"/>
              <w:ind w:left="8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Servicio de amarre o desamarre de cabos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Boya de la Terminal Marítima Tomza, S.A. de C.V., ubicada dentro del recinto portuario de Tuxpan, Ver.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before="100" w:lineRule="auto"/>
        <w:jc w:val="center"/>
        <w:rPr>
          <w:b w:val="1"/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TRANSITORIOS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PRIMERO.-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El presente aviso entrará en vigor el día de su publicación en el Diario Oficial de la Federación.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SEGUNDO.-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Las bases de regulación tarifaria a que se refiere el presente aviso, entrarán en vigor a partir de los veinte días hábiles siguientes a su publicación en el Diario Oficial de la Federación.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firstLine="280"/>
        <w:jc w:val="both"/>
        <w:rPr>
          <w:color w:val="2f2f2f"/>
          <w:sz w:val="20"/>
          <w:szCs w:val="20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Ciudad de México, 8 de diciembre de 2022.- La Directora General de Puertos, Capitán de Altura </w:t>
      </w:r>
      <w:r w:rsidDel="00000000" w:rsidR="00000000" w:rsidRPr="00000000">
        <w:rPr>
          <w:b w:val="1"/>
          <w:color w:val="2f2f2f"/>
          <w:sz w:val="20"/>
          <w:szCs w:val="20"/>
          <w:rtl w:val="0"/>
        </w:rPr>
        <w:t xml:space="preserve">María Marisa Abarca Hernánde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z.- Rúbrica.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