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6B" w:rsidRDefault="0061146B" w:rsidP="0061146B">
      <w:pPr>
        <w:jc w:val="center"/>
        <w:rPr>
          <w:rFonts w:ascii="Verdana" w:hAnsi="Verdana"/>
          <w:b/>
          <w:bCs/>
          <w:color w:val="0070C0"/>
          <w:sz w:val="24"/>
        </w:rPr>
      </w:pPr>
      <w:r w:rsidRPr="0061146B">
        <w:rPr>
          <w:rFonts w:ascii="Verdana" w:hAnsi="Verdana"/>
          <w:b/>
          <w:bCs/>
          <w:color w:val="0070C0"/>
          <w:sz w:val="24"/>
        </w:rPr>
        <w:t xml:space="preserve">Circular 05/2018 dirigida a los participantes del Sistema de Pagos Electrónicos Interbancarios y demás interesados en actuar con tal carácter, relativo a la Reforma a las reglas del Sistema de Pagos Electrónicos Interbancarios (SPEI), en materia de tiempos de acreditación de transferencias </w:t>
      </w:r>
      <w:r>
        <w:rPr>
          <w:rFonts w:ascii="Verdana" w:hAnsi="Verdana"/>
          <w:b/>
          <w:bCs/>
          <w:color w:val="0070C0"/>
          <w:sz w:val="24"/>
        </w:rPr>
        <w:t>recibidas por los participantes</w:t>
      </w:r>
    </w:p>
    <w:p w:rsidR="0061146B" w:rsidRDefault="0061146B" w:rsidP="0061146B">
      <w:pPr>
        <w:jc w:val="center"/>
        <w:rPr>
          <w:rFonts w:ascii="Verdana" w:hAnsi="Verdana"/>
          <w:b/>
          <w:bCs/>
          <w:color w:val="0070C0"/>
          <w:sz w:val="24"/>
        </w:rPr>
      </w:pPr>
      <w:r>
        <w:rPr>
          <w:rFonts w:ascii="Verdana" w:hAnsi="Verdana"/>
          <w:b/>
          <w:bCs/>
          <w:color w:val="0070C0"/>
          <w:sz w:val="24"/>
        </w:rPr>
        <w:t>(DOF del 17 de mayo de 2018)</w:t>
      </w:r>
    </w:p>
    <w:p w:rsidR="0061146B" w:rsidRPr="0061146B" w:rsidRDefault="0061146B" w:rsidP="0061146B">
      <w:pPr>
        <w:jc w:val="both"/>
        <w:rPr>
          <w:rFonts w:ascii="Verdana" w:hAnsi="Verdana"/>
          <w:b/>
          <w:bCs/>
          <w:sz w:val="20"/>
          <w:szCs w:val="20"/>
        </w:rPr>
      </w:pPr>
      <w:bookmarkStart w:id="0" w:name="_GoBack"/>
      <w:bookmarkEnd w:id="0"/>
      <w:r w:rsidRPr="0061146B">
        <w:rPr>
          <w:rFonts w:ascii="Verdana" w:hAnsi="Verdana"/>
          <w:b/>
          <w:bCs/>
          <w:sz w:val="20"/>
          <w:szCs w:val="20"/>
        </w:rPr>
        <w:t>Al margen un logotipo, que dice: Banco de México.</w:t>
      </w:r>
    </w:p>
    <w:p w:rsidR="0061146B" w:rsidRPr="0061146B" w:rsidRDefault="0061146B" w:rsidP="0061146B">
      <w:pPr>
        <w:jc w:val="both"/>
        <w:rPr>
          <w:rFonts w:ascii="Verdana" w:hAnsi="Verdana"/>
          <w:b/>
          <w:bCs/>
          <w:sz w:val="20"/>
          <w:szCs w:val="20"/>
        </w:rPr>
      </w:pPr>
      <w:r w:rsidRPr="0061146B">
        <w:rPr>
          <w:rFonts w:ascii="Verdana" w:hAnsi="Verdana"/>
          <w:b/>
          <w:bCs/>
          <w:sz w:val="20"/>
          <w:szCs w:val="20"/>
        </w:rPr>
        <w:t>CIRCULAR 05/2018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08"/>
        <w:gridCol w:w="1350"/>
        <w:gridCol w:w="3654"/>
      </w:tblGrid>
      <w:tr w:rsidR="0061146B" w:rsidRPr="0061146B" w:rsidTr="0061146B">
        <w:trPr>
          <w:trHeight w:val="820"/>
        </w:trPr>
        <w:tc>
          <w:tcPr>
            <w:tcW w:w="3708" w:type="dxa"/>
            <w:shd w:val="clear" w:color="auto" w:fill="FFFFFF"/>
            <w:tcMar>
              <w:top w:w="15" w:type="dxa"/>
              <w:left w:w="72" w:type="dxa"/>
              <w:bottom w:w="15" w:type="dxa"/>
              <w:right w:w="72" w:type="dxa"/>
            </w:tcMar>
            <w:hideMark/>
          </w:tcPr>
          <w:p w:rsidR="0061146B" w:rsidRPr="0061146B" w:rsidRDefault="0061146B" w:rsidP="0061146B">
            <w:pPr>
              <w:jc w:val="both"/>
              <w:rPr>
                <w:rFonts w:ascii="Verdana" w:hAnsi="Verdana"/>
                <w:bCs/>
                <w:sz w:val="20"/>
                <w:szCs w:val="20"/>
              </w:rPr>
            </w:pPr>
            <w:r w:rsidRPr="0061146B">
              <w:rPr>
                <w:rFonts w:ascii="Verdana" w:hAnsi="Verdana"/>
                <w:b/>
                <w:bCs/>
                <w:sz w:val="20"/>
                <w:szCs w:val="20"/>
              </w:rPr>
              <w:t>A LOS PARTICIPANTES DEL SISTEMA DEPAGOS ELECTRÓNICOS INTERBANCARIOS Y DEMÁS INTERESADOS EN ACTUAR CON TAL CARÁCTER:</w:t>
            </w:r>
          </w:p>
        </w:tc>
        <w:tc>
          <w:tcPr>
            <w:tcW w:w="5004" w:type="dxa"/>
            <w:gridSpan w:val="2"/>
            <w:shd w:val="clear" w:color="auto" w:fill="FFFFFF"/>
            <w:tcMar>
              <w:top w:w="15" w:type="dxa"/>
              <w:left w:w="72" w:type="dxa"/>
              <w:bottom w:w="15" w:type="dxa"/>
              <w:right w:w="72" w:type="dxa"/>
            </w:tcMar>
            <w:hideMark/>
          </w:tcPr>
          <w:p w:rsidR="0061146B" w:rsidRPr="0061146B" w:rsidRDefault="0061146B" w:rsidP="0061146B">
            <w:pPr>
              <w:jc w:val="both"/>
              <w:rPr>
                <w:rFonts w:ascii="Verdana" w:hAnsi="Verdana"/>
                <w:bCs/>
                <w:sz w:val="20"/>
                <w:szCs w:val="20"/>
              </w:rPr>
            </w:pPr>
            <w:r w:rsidRPr="0061146B">
              <w:rPr>
                <w:rFonts w:ascii="Verdana" w:hAnsi="Verdana"/>
                <w:bCs/>
                <w:sz w:val="20"/>
                <w:szCs w:val="20"/>
              </w:rPr>
              <w:t> </w:t>
            </w:r>
          </w:p>
        </w:tc>
      </w:tr>
      <w:tr w:rsidR="0061146B" w:rsidRPr="0061146B" w:rsidTr="0061146B">
        <w:trPr>
          <w:trHeight w:val="1051"/>
        </w:trPr>
        <w:tc>
          <w:tcPr>
            <w:tcW w:w="3708" w:type="dxa"/>
            <w:shd w:val="clear" w:color="auto" w:fill="FFFFFF"/>
            <w:tcMar>
              <w:top w:w="15" w:type="dxa"/>
              <w:left w:w="72" w:type="dxa"/>
              <w:bottom w:w="15" w:type="dxa"/>
              <w:right w:w="72" w:type="dxa"/>
            </w:tcMar>
            <w:hideMark/>
          </w:tcPr>
          <w:p w:rsidR="0061146B" w:rsidRPr="0061146B" w:rsidRDefault="0061146B" w:rsidP="0061146B">
            <w:pPr>
              <w:jc w:val="both"/>
              <w:rPr>
                <w:rFonts w:ascii="Verdana" w:hAnsi="Verdana"/>
                <w:bCs/>
                <w:sz w:val="20"/>
                <w:szCs w:val="20"/>
              </w:rPr>
            </w:pPr>
            <w:r w:rsidRPr="0061146B">
              <w:rPr>
                <w:rFonts w:ascii="Verdana" w:hAnsi="Verdana"/>
                <w:bCs/>
                <w:sz w:val="20"/>
                <w:szCs w:val="20"/>
              </w:rPr>
              <w:t> </w:t>
            </w:r>
          </w:p>
        </w:tc>
        <w:tc>
          <w:tcPr>
            <w:tcW w:w="1350" w:type="dxa"/>
            <w:shd w:val="clear" w:color="auto" w:fill="FFFFFF"/>
            <w:tcMar>
              <w:top w:w="15" w:type="dxa"/>
              <w:left w:w="72" w:type="dxa"/>
              <w:bottom w:w="15" w:type="dxa"/>
              <w:right w:w="72" w:type="dxa"/>
            </w:tcMar>
            <w:hideMark/>
          </w:tcPr>
          <w:p w:rsidR="0061146B" w:rsidRPr="0061146B" w:rsidRDefault="0061146B" w:rsidP="0061146B">
            <w:pPr>
              <w:jc w:val="both"/>
              <w:rPr>
                <w:rFonts w:ascii="Verdana" w:hAnsi="Verdana"/>
                <w:bCs/>
                <w:sz w:val="20"/>
                <w:szCs w:val="20"/>
              </w:rPr>
            </w:pPr>
            <w:r w:rsidRPr="0061146B">
              <w:rPr>
                <w:rFonts w:ascii="Verdana" w:hAnsi="Verdana"/>
                <w:b/>
                <w:bCs/>
                <w:sz w:val="20"/>
                <w:szCs w:val="20"/>
              </w:rPr>
              <w:t>ASUNTO:</w:t>
            </w:r>
          </w:p>
        </w:tc>
        <w:tc>
          <w:tcPr>
            <w:tcW w:w="3654" w:type="dxa"/>
            <w:shd w:val="clear" w:color="auto" w:fill="FFFFFF"/>
            <w:tcMar>
              <w:top w:w="15" w:type="dxa"/>
              <w:left w:w="72" w:type="dxa"/>
              <w:bottom w:w="15" w:type="dxa"/>
              <w:right w:w="72" w:type="dxa"/>
            </w:tcMar>
            <w:hideMark/>
          </w:tcPr>
          <w:p w:rsidR="0061146B" w:rsidRPr="0061146B" w:rsidRDefault="0061146B" w:rsidP="0061146B">
            <w:pPr>
              <w:jc w:val="both"/>
              <w:rPr>
                <w:rFonts w:ascii="Verdana" w:hAnsi="Verdana"/>
                <w:bCs/>
                <w:sz w:val="20"/>
                <w:szCs w:val="20"/>
              </w:rPr>
            </w:pPr>
            <w:r w:rsidRPr="0061146B">
              <w:rPr>
                <w:rFonts w:ascii="Verdana" w:hAnsi="Verdana"/>
                <w:b/>
                <w:bCs/>
                <w:sz w:val="20"/>
                <w:szCs w:val="20"/>
              </w:rPr>
              <w:t xml:space="preserve">REFORMA A LAS REGLAS DEL SISTEMA DEPAGOS ELECTRÓNICOS </w:t>
            </w:r>
            <w:proofErr w:type="gramStart"/>
            <w:r w:rsidRPr="0061146B">
              <w:rPr>
                <w:rFonts w:ascii="Verdana" w:hAnsi="Verdana"/>
                <w:b/>
                <w:bCs/>
                <w:sz w:val="20"/>
                <w:szCs w:val="20"/>
              </w:rPr>
              <w:t>INTERBANCARIOS(</w:t>
            </w:r>
            <w:proofErr w:type="gramEnd"/>
            <w:r w:rsidRPr="0061146B">
              <w:rPr>
                <w:rFonts w:ascii="Verdana" w:hAnsi="Verdana"/>
                <w:b/>
                <w:bCs/>
                <w:sz w:val="20"/>
                <w:szCs w:val="20"/>
              </w:rPr>
              <w:t>SPEI), EN MATERIA DE TIEMPOS DEACREDITACIÓN DE TRANSFERENCIASRECIBIDAS POR LOS PARTICIPANTES.</w:t>
            </w:r>
          </w:p>
        </w:tc>
      </w:tr>
    </w:tbl>
    <w:p w:rsidR="0061146B" w:rsidRPr="0061146B" w:rsidRDefault="0061146B" w:rsidP="0061146B">
      <w:pPr>
        <w:jc w:val="both"/>
        <w:rPr>
          <w:rFonts w:ascii="Verdana" w:hAnsi="Verdana"/>
          <w:bCs/>
          <w:sz w:val="20"/>
          <w:szCs w:val="20"/>
        </w:rPr>
      </w:pPr>
      <w:r w:rsidRPr="0061146B">
        <w:rPr>
          <w:rFonts w:ascii="Verdana" w:hAnsi="Verdana"/>
          <w:bCs/>
          <w:sz w:val="20"/>
          <w:szCs w:val="20"/>
        </w:rPr>
        <w:t>El Banco de México, en su carácter de administrador del Sistema de Pagos Electrónicos Interbancarios (SPEI), con el propósito de continuar propiciando el buen funcionamiento de los sistemas de pagos y el sano desarrollo del sistema financiero, así como la protección de los intereses del público, ha considerado necesario prever la ejecución de mecanismos de control de riesgos que puedan llevar a cabo los participantes en el SPEI, ante la realización de eventos de contingencia que permitan reducir la probabilidad de que se acrediten en cuentas beneficiarias recursos derivados de transferencias de fondos no autorizadas</w:t>
      </w:r>
      <w:r>
        <w:rPr>
          <w:rFonts w:ascii="Verdana" w:hAnsi="Verdana"/>
          <w:bCs/>
          <w:sz w:val="20"/>
          <w:szCs w:val="20"/>
        </w:rPr>
        <w:t xml:space="preserve"> </w:t>
      </w:r>
      <w:r w:rsidRPr="0061146B">
        <w:rPr>
          <w:rFonts w:ascii="Verdana" w:hAnsi="Verdana"/>
          <w:bCs/>
          <w:sz w:val="20"/>
          <w:szCs w:val="20"/>
        </w:rPr>
        <w:t>legítimamente, con el fin de fortalecer los objetivos apuntados por las reglas de dicho sistema de pagos emitidas mediante la Circular 14/2017, publicadas en el Diario Oficial de la Federación del 4 de julio de 2017, consistentes en robustecer la seguridad de los participantes en el SPEI, de forma integral, así como de promover mayores beneficios a la población en general, al permitir la inclusión al SPEI de nuevos proveedores de servicios de pagos y generar condiciones apropiadas para que se dé un ambiente de competencia y control de riesgos adecuado que brinde certeza y confianza tanto a los participantes, como a los usuarios.</w:t>
      </w:r>
    </w:p>
    <w:p w:rsidR="0061146B" w:rsidRPr="0061146B" w:rsidRDefault="0061146B" w:rsidP="0061146B">
      <w:pPr>
        <w:jc w:val="both"/>
        <w:rPr>
          <w:rFonts w:ascii="Verdana" w:hAnsi="Verdana"/>
          <w:bCs/>
          <w:sz w:val="20"/>
          <w:szCs w:val="20"/>
        </w:rPr>
      </w:pPr>
      <w:r w:rsidRPr="0061146B">
        <w:rPr>
          <w:rFonts w:ascii="Verdana" w:hAnsi="Verdana"/>
          <w:bCs/>
          <w:sz w:val="20"/>
          <w:szCs w:val="20"/>
        </w:rPr>
        <w:lastRenderedPageBreak/>
        <w:t>Por lo anterior, el Banco de México, con fundamento en los artículos 28, párrafos sexto y séptimo, de la Constitución Política de los Estados Unidos Mexicanos, 2, fracciones I, IV y VIII, y 6, de la Ley de Sistemas de Pagos, 22 de la Ley para la Transparencia y Ordenamiento de los Servicios Financieros, 4, párrafo primero, 8, párrafos cuarto y séptimo, 10, párrafo primero, 17, fracción I, y 20, fracción XI, del Reglamento Interior del Banco de México, que le otorgan la atribución de expedir disposiciones a través de la Dirección de Disposiciones de Banca Central y de la Dirección de Sistemas de Pagos, respectivamente, así como Artículo Segundo, fracciones VIII y X, del Acuerdo de Adscripción de las Unidades Administrativas del Banco de México, ha resuelto </w:t>
      </w:r>
      <w:r w:rsidRPr="0061146B">
        <w:rPr>
          <w:rFonts w:ascii="Verdana" w:hAnsi="Verdana"/>
          <w:b/>
          <w:bCs/>
          <w:sz w:val="20"/>
          <w:szCs w:val="20"/>
        </w:rPr>
        <w:t>adicionar</w:t>
      </w:r>
      <w:r w:rsidRPr="0061146B">
        <w:rPr>
          <w:rFonts w:ascii="Verdana" w:hAnsi="Verdana"/>
          <w:bCs/>
          <w:sz w:val="20"/>
          <w:szCs w:val="20"/>
        </w:rPr>
        <w:t> un último párrafo a la fracción I de la 19a., de las Reglas del Sistema de Pagos Electrónicos Interbancarios, contenidas en la Circular anteriormente citada, para quedar en los términos siguientes:</w:t>
      </w:r>
    </w:p>
    <w:p w:rsidR="0061146B" w:rsidRPr="0061146B" w:rsidRDefault="0061146B" w:rsidP="0061146B">
      <w:pPr>
        <w:jc w:val="both"/>
        <w:rPr>
          <w:rFonts w:ascii="Verdana" w:hAnsi="Verdana"/>
          <w:b/>
          <w:bCs/>
          <w:sz w:val="20"/>
          <w:szCs w:val="20"/>
        </w:rPr>
      </w:pPr>
      <w:r w:rsidRPr="0061146B">
        <w:rPr>
          <w:rFonts w:ascii="Verdana" w:hAnsi="Verdana"/>
          <w:b/>
          <w:bCs/>
          <w:sz w:val="20"/>
          <w:szCs w:val="20"/>
        </w:rPr>
        <w:t>REGLAS DEL SISTEMA DE PAGOS ELECTRÓNICOS INTERBANCARIOS</w:t>
      </w:r>
    </w:p>
    <w:p w:rsidR="0061146B" w:rsidRPr="0061146B" w:rsidRDefault="0061146B" w:rsidP="0061146B">
      <w:pPr>
        <w:jc w:val="both"/>
        <w:rPr>
          <w:rFonts w:ascii="Verdana" w:hAnsi="Verdana"/>
          <w:bCs/>
          <w:sz w:val="20"/>
          <w:szCs w:val="20"/>
        </w:rPr>
      </w:pPr>
      <w:r w:rsidRPr="0061146B">
        <w:rPr>
          <w:rFonts w:ascii="Verdana" w:hAnsi="Verdana"/>
          <w:b/>
          <w:bCs/>
          <w:sz w:val="20"/>
          <w:szCs w:val="20"/>
        </w:rPr>
        <w:t>19a</w:t>
      </w:r>
      <w:proofErr w:type="gramStart"/>
      <w:r w:rsidRPr="0061146B">
        <w:rPr>
          <w:rFonts w:ascii="Verdana" w:hAnsi="Verdana"/>
          <w:b/>
          <w:bCs/>
          <w:sz w:val="20"/>
          <w:szCs w:val="20"/>
        </w:rPr>
        <w:t>. ...</w:t>
      </w:r>
      <w:proofErr w:type="gramEnd"/>
    </w:p>
    <w:p w:rsidR="0061146B" w:rsidRPr="0061146B" w:rsidRDefault="0061146B" w:rsidP="0061146B">
      <w:pPr>
        <w:jc w:val="both"/>
        <w:rPr>
          <w:rFonts w:ascii="Verdana" w:hAnsi="Verdana"/>
          <w:bCs/>
          <w:sz w:val="20"/>
          <w:szCs w:val="20"/>
        </w:rPr>
      </w:pPr>
      <w:proofErr w:type="gramStart"/>
      <w:r w:rsidRPr="0061146B">
        <w:rPr>
          <w:rFonts w:ascii="Verdana" w:hAnsi="Verdana"/>
          <w:bCs/>
          <w:sz w:val="20"/>
          <w:szCs w:val="20"/>
        </w:rPr>
        <w:t>I.</w:t>
      </w:r>
      <w:proofErr w:type="gramEnd"/>
      <w:r w:rsidRPr="0061146B">
        <w:rPr>
          <w:rFonts w:ascii="Verdana" w:hAnsi="Verdana"/>
          <w:bCs/>
          <w:sz w:val="20"/>
          <w:szCs w:val="20"/>
        </w:rPr>
        <w:t>     </w:t>
      </w:r>
      <w:r w:rsidRPr="0061146B">
        <w:rPr>
          <w:rFonts w:ascii="Verdana" w:hAnsi="Verdana"/>
          <w:b/>
          <w:bCs/>
          <w:sz w:val="20"/>
          <w:szCs w:val="20"/>
        </w:rPr>
        <w:t>...</w:t>
      </w:r>
    </w:p>
    <w:p w:rsidR="0061146B" w:rsidRPr="0061146B" w:rsidRDefault="0061146B" w:rsidP="0061146B">
      <w:pPr>
        <w:jc w:val="both"/>
        <w:rPr>
          <w:rFonts w:ascii="Verdana" w:hAnsi="Verdana"/>
          <w:bCs/>
          <w:sz w:val="20"/>
          <w:szCs w:val="20"/>
        </w:rPr>
      </w:pPr>
      <w:r w:rsidRPr="0061146B">
        <w:rPr>
          <w:rFonts w:ascii="Verdana" w:hAnsi="Verdana"/>
          <w:b/>
          <w:bCs/>
          <w:sz w:val="20"/>
          <w:szCs w:val="20"/>
        </w:rPr>
        <w:t>...</w:t>
      </w:r>
    </w:p>
    <w:p w:rsidR="0061146B" w:rsidRPr="0061146B" w:rsidRDefault="0061146B" w:rsidP="0061146B">
      <w:pPr>
        <w:jc w:val="both"/>
        <w:rPr>
          <w:rFonts w:ascii="Verdana" w:hAnsi="Verdana"/>
          <w:bCs/>
          <w:sz w:val="20"/>
          <w:szCs w:val="20"/>
        </w:rPr>
      </w:pPr>
      <w:r w:rsidRPr="0061146B">
        <w:rPr>
          <w:rFonts w:ascii="Verdana" w:hAnsi="Verdana"/>
          <w:bCs/>
          <w:sz w:val="20"/>
          <w:szCs w:val="20"/>
        </w:rPr>
        <w:t xml:space="preserve">"Como excepción a lo dispuesto en el párrafo anterior, respecto de aquellas transferencias por cantidades iguales o mayores a cincuenta mil pesos o bien, de aquellas recibidas de manera sucesiva que alcancen o superen dicho monto, en caso de que algún Participante Receptor determine realizar, de conformidad con sus procesos internos, validaciones adicionales a las previstas en las presentes Reglas para llevar a cabo el abono a que se refiere esta fracción, </w:t>
      </w:r>
      <w:proofErr w:type="spellStart"/>
      <w:r w:rsidRPr="0061146B">
        <w:rPr>
          <w:rFonts w:ascii="Verdana" w:hAnsi="Verdana"/>
          <w:bCs/>
          <w:sz w:val="20"/>
          <w:szCs w:val="20"/>
        </w:rPr>
        <w:t>podrásolicitar</w:t>
      </w:r>
      <w:proofErr w:type="spellEnd"/>
      <w:r w:rsidRPr="0061146B">
        <w:rPr>
          <w:rFonts w:ascii="Verdana" w:hAnsi="Verdana"/>
          <w:bCs/>
          <w:sz w:val="20"/>
          <w:szCs w:val="20"/>
        </w:rPr>
        <w:t xml:space="preserve"> al Administrador, a través de la Gerencia de Operación y Continuidad de Negocio de los Sistemas de Pagos, una autorización para que, durante un plazo no mayor a seis meses, pueda realizar dichos abonos en un plazo mayor a los referidos en los párrafos primero y segundo de la presente fracción, según sea el caso, que determine para dichos efectos. Los Participantes que soliciten la autorización indicada deberán hacer constar en su solicitud que están en proceso de automatizar las validaciones, para los efectos a que se refiere la presente regla en los plazos indicados en esta fracción, una vez que concluya el plazo de la autorización solicitada."</w:t>
      </w:r>
    </w:p>
    <w:p w:rsidR="0061146B" w:rsidRPr="0061146B" w:rsidRDefault="0061146B" w:rsidP="0061146B">
      <w:pPr>
        <w:jc w:val="both"/>
        <w:rPr>
          <w:rFonts w:ascii="Verdana" w:hAnsi="Verdana"/>
          <w:bCs/>
          <w:sz w:val="20"/>
          <w:szCs w:val="20"/>
        </w:rPr>
      </w:pPr>
      <w:r w:rsidRPr="0061146B">
        <w:rPr>
          <w:rFonts w:ascii="Verdana" w:hAnsi="Verdana"/>
          <w:bCs/>
          <w:sz w:val="20"/>
          <w:szCs w:val="20"/>
        </w:rPr>
        <w:t>II. a V</w:t>
      </w:r>
      <w:proofErr w:type="gramStart"/>
      <w:r w:rsidRPr="0061146B">
        <w:rPr>
          <w:rFonts w:ascii="Verdana" w:hAnsi="Verdana"/>
          <w:bCs/>
          <w:sz w:val="20"/>
          <w:szCs w:val="20"/>
        </w:rPr>
        <w:t>. </w:t>
      </w:r>
      <w:r w:rsidRPr="0061146B">
        <w:rPr>
          <w:rFonts w:ascii="Verdana" w:hAnsi="Verdana"/>
          <w:b/>
          <w:bCs/>
          <w:sz w:val="20"/>
          <w:szCs w:val="20"/>
        </w:rPr>
        <w:t>...</w:t>
      </w:r>
      <w:proofErr w:type="gramEnd"/>
    </w:p>
    <w:p w:rsidR="0061146B" w:rsidRPr="0061146B" w:rsidRDefault="0061146B" w:rsidP="0061146B">
      <w:pPr>
        <w:jc w:val="both"/>
        <w:rPr>
          <w:rFonts w:ascii="Verdana" w:hAnsi="Verdana"/>
          <w:bCs/>
          <w:sz w:val="20"/>
          <w:szCs w:val="20"/>
        </w:rPr>
      </w:pPr>
      <w:r w:rsidRPr="0061146B">
        <w:rPr>
          <w:rFonts w:ascii="Verdana" w:hAnsi="Verdana"/>
          <w:b/>
          <w:bCs/>
          <w:sz w:val="20"/>
          <w:szCs w:val="20"/>
        </w:rPr>
        <w:t>...</w:t>
      </w:r>
    </w:p>
    <w:p w:rsidR="0061146B" w:rsidRPr="0061146B" w:rsidRDefault="0061146B" w:rsidP="0061146B">
      <w:pPr>
        <w:jc w:val="both"/>
        <w:rPr>
          <w:rFonts w:ascii="Verdana" w:hAnsi="Verdana"/>
          <w:bCs/>
          <w:sz w:val="20"/>
          <w:szCs w:val="20"/>
        </w:rPr>
      </w:pPr>
      <w:r w:rsidRPr="0061146B">
        <w:rPr>
          <w:rFonts w:ascii="Verdana" w:hAnsi="Verdana"/>
          <w:b/>
          <w:bCs/>
          <w:sz w:val="20"/>
          <w:szCs w:val="20"/>
        </w:rPr>
        <w:t>...</w:t>
      </w:r>
    </w:p>
    <w:p w:rsidR="0061146B" w:rsidRPr="0061146B" w:rsidRDefault="0061146B" w:rsidP="0061146B">
      <w:pPr>
        <w:jc w:val="both"/>
        <w:rPr>
          <w:rFonts w:ascii="Verdana" w:hAnsi="Verdana"/>
          <w:b/>
          <w:bCs/>
          <w:sz w:val="20"/>
          <w:szCs w:val="20"/>
        </w:rPr>
      </w:pPr>
      <w:r w:rsidRPr="0061146B">
        <w:rPr>
          <w:rFonts w:ascii="Verdana" w:hAnsi="Verdana"/>
          <w:b/>
          <w:bCs/>
          <w:sz w:val="20"/>
          <w:szCs w:val="20"/>
        </w:rPr>
        <w:t>TRANSITORIA</w:t>
      </w:r>
    </w:p>
    <w:p w:rsidR="0061146B" w:rsidRPr="0061146B" w:rsidRDefault="0061146B" w:rsidP="0061146B">
      <w:pPr>
        <w:jc w:val="both"/>
        <w:rPr>
          <w:rFonts w:ascii="Verdana" w:hAnsi="Verdana"/>
          <w:bCs/>
          <w:sz w:val="20"/>
          <w:szCs w:val="20"/>
        </w:rPr>
      </w:pPr>
      <w:r w:rsidRPr="0061146B">
        <w:rPr>
          <w:rFonts w:ascii="Verdana" w:hAnsi="Verdana"/>
          <w:b/>
          <w:bCs/>
          <w:sz w:val="20"/>
          <w:szCs w:val="20"/>
        </w:rPr>
        <w:t>ÚNICA. </w:t>
      </w:r>
      <w:r w:rsidRPr="0061146B">
        <w:rPr>
          <w:rFonts w:ascii="Verdana" w:hAnsi="Verdana"/>
          <w:bCs/>
          <w:sz w:val="20"/>
          <w:szCs w:val="20"/>
        </w:rPr>
        <w:t>La presente Circular entrará en vigor el día de su publicación en el Diario Oficial de la Federación.</w:t>
      </w:r>
    </w:p>
    <w:p w:rsidR="0061146B" w:rsidRPr="0061146B" w:rsidRDefault="0061146B" w:rsidP="0061146B">
      <w:pPr>
        <w:jc w:val="both"/>
        <w:rPr>
          <w:rFonts w:ascii="Verdana" w:hAnsi="Verdana"/>
          <w:bCs/>
          <w:sz w:val="20"/>
          <w:szCs w:val="20"/>
        </w:rPr>
      </w:pPr>
      <w:r w:rsidRPr="0061146B">
        <w:rPr>
          <w:rFonts w:ascii="Verdana" w:hAnsi="Verdana"/>
          <w:bCs/>
          <w:sz w:val="20"/>
          <w:szCs w:val="20"/>
        </w:rPr>
        <w:lastRenderedPageBreak/>
        <w:t>Ciudad de México, a 14 de mayo de 2018.- El Director de Disposiciones de Banca Central, </w:t>
      </w:r>
      <w:r w:rsidRPr="0061146B">
        <w:rPr>
          <w:rFonts w:ascii="Verdana" w:hAnsi="Verdana"/>
          <w:b/>
          <w:bCs/>
          <w:sz w:val="20"/>
          <w:szCs w:val="20"/>
        </w:rPr>
        <w:t>Mario Ladislao Tamez López Negrete</w:t>
      </w:r>
      <w:r w:rsidRPr="0061146B">
        <w:rPr>
          <w:rFonts w:ascii="Verdana" w:hAnsi="Verdana"/>
          <w:bCs/>
          <w:sz w:val="20"/>
          <w:szCs w:val="20"/>
        </w:rPr>
        <w:t>.- Rúbrica.- El Director de Sistemas de Pagos, </w:t>
      </w:r>
      <w:r w:rsidRPr="0061146B">
        <w:rPr>
          <w:rFonts w:ascii="Verdana" w:hAnsi="Verdana"/>
          <w:b/>
          <w:bCs/>
          <w:sz w:val="20"/>
          <w:szCs w:val="20"/>
        </w:rPr>
        <w:t xml:space="preserve">Manuel Miguel </w:t>
      </w:r>
      <w:proofErr w:type="spellStart"/>
      <w:r w:rsidRPr="0061146B">
        <w:rPr>
          <w:rFonts w:ascii="Verdana" w:hAnsi="Verdana"/>
          <w:b/>
          <w:bCs/>
          <w:sz w:val="20"/>
          <w:szCs w:val="20"/>
        </w:rPr>
        <w:t>Angel</w:t>
      </w:r>
      <w:proofErr w:type="spellEnd"/>
      <w:r w:rsidRPr="0061146B">
        <w:rPr>
          <w:rFonts w:ascii="Verdana" w:hAnsi="Verdana"/>
          <w:b/>
          <w:bCs/>
          <w:sz w:val="20"/>
          <w:szCs w:val="20"/>
        </w:rPr>
        <w:t xml:space="preserve"> Díaz </w:t>
      </w:r>
      <w:proofErr w:type="spellStart"/>
      <w:r w:rsidRPr="0061146B">
        <w:rPr>
          <w:rFonts w:ascii="Verdana" w:hAnsi="Verdana"/>
          <w:b/>
          <w:bCs/>
          <w:sz w:val="20"/>
          <w:szCs w:val="20"/>
        </w:rPr>
        <w:t>Díaz</w:t>
      </w:r>
      <w:proofErr w:type="spellEnd"/>
      <w:r w:rsidRPr="0061146B">
        <w:rPr>
          <w:rFonts w:ascii="Verdana" w:hAnsi="Verdana"/>
          <w:bCs/>
          <w:sz w:val="20"/>
          <w:szCs w:val="20"/>
        </w:rPr>
        <w:t>.- Rúbrica.</w:t>
      </w:r>
    </w:p>
    <w:p w:rsidR="0061146B" w:rsidRPr="0061146B" w:rsidRDefault="0061146B" w:rsidP="0061146B">
      <w:pPr>
        <w:jc w:val="both"/>
        <w:rPr>
          <w:rFonts w:ascii="Verdana" w:hAnsi="Verdana"/>
          <w:bCs/>
          <w:sz w:val="20"/>
          <w:szCs w:val="20"/>
        </w:rPr>
      </w:pPr>
    </w:p>
    <w:p w:rsidR="0061146B" w:rsidRPr="0061146B" w:rsidRDefault="0061146B" w:rsidP="0061146B">
      <w:pPr>
        <w:jc w:val="center"/>
        <w:rPr>
          <w:rFonts w:ascii="Verdana" w:hAnsi="Verdana"/>
          <w:b/>
          <w:bCs/>
          <w:color w:val="0070C0"/>
          <w:sz w:val="24"/>
        </w:rPr>
      </w:pPr>
    </w:p>
    <w:p w:rsidR="00BF3AEB" w:rsidRDefault="000F1BF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6B"/>
    <w:rsid w:val="000F1BF1"/>
    <w:rsid w:val="002228FA"/>
    <w:rsid w:val="0061146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25">
      <w:bodyDiv w:val="1"/>
      <w:marLeft w:val="0"/>
      <w:marRight w:val="0"/>
      <w:marTop w:val="0"/>
      <w:marBottom w:val="0"/>
      <w:divBdr>
        <w:top w:val="none" w:sz="0" w:space="0" w:color="auto"/>
        <w:left w:val="none" w:sz="0" w:space="0" w:color="auto"/>
        <w:bottom w:val="none" w:sz="0" w:space="0" w:color="auto"/>
        <w:right w:val="none" w:sz="0" w:space="0" w:color="auto"/>
      </w:divBdr>
    </w:div>
    <w:div w:id="809442673">
      <w:bodyDiv w:val="1"/>
      <w:marLeft w:val="0"/>
      <w:marRight w:val="0"/>
      <w:marTop w:val="0"/>
      <w:marBottom w:val="0"/>
      <w:divBdr>
        <w:top w:val="none" w:sz="0" w:space="0" w:color="auto"/>
        <w:left w:val="none" w:sz="0" w:space="0" w:color="auto"/>
        <w:bottom w:val="none" w:sz="0" w:space="0" w:color="auto"/>
        <w:right w:val="none" w:sz="0" w:space="0" w:color="auto"/>
      </w:divBdr>
    </w:div>
    <w:div w:id="979043220">
      <w:bodyDiv w:val="1"/>
      <w:marLeft w:val="0"/>
      <w:marRight w:val="0"/>
      <w:marTop w:val="0"/>
      <w:marBottom w:val="0"/>
      <w:divBdr>
        <w:top w:val="none" w:sz="0" w:space="0" w:color="auto"/>
        <w:left w:val="none" w:sz="0" w:space="0" w:color="auto"/>
        <w:bottom w:val="none" w:sz="0" w:space="0" w:color="auto"/>
        <w:right w:val="none" w:sz="0" w:space="0" w:color="auto"/>
      </w:divBdr>
      <w:divsChild>
        <w:div w:id="631596437">
          <w:marLeft w:val="0"/>
          <w:marRight w:val="0"/>
          <w:marTop w:val="101"/>
          <w:marBottom w:val="60"/>
          <w:divBdr>
            <w:top w:val="none" w:sz="0" w:space="0" w:color="auto"/>
            <w:left w:val="none" w:sz="0" w:space="0" w:color="auto"/>
            <w:bottom w:val="none" w:sz="0" w:space="0" w:color="auto"/>
            <w:right w:val="none" w:sz="0" w:space="0" w:color="auto"/>
          </w:divBdr>
        </w:div>
        <w:div w:id="937639395">
          <w:marLeft w:val="144"/>
          <w:marRight w:val="0"/>
          <w:marTop w:val="0"/>
          <w:marBottom w:val="60"/>
          <w:divBdr>
            <w:top w:val="none" w:sz="0" w:space="0" w:color="auto"/>
            <w:left w:val="none" w:sz="0" w:space="0" w:color="auto"/>
            <w:bottom w:val="none" w:sz="0" w:space="0" w:color="auto"/>
            <w:right w:val="none" w:sz="0" w:space="0" w:color="auto"/>
          </w:divBdr>
        </w:div>
        <w:div w:id="1268656002">
          <w:marLeft w:val="0"/>
          <w:marRight w:val="0"/>
          <w:marTop w:val="0"/>
          <w:marBottom w:val="60"/>
          <w:divBdr>
            <w:top w:val="none" w:sz="0" w:space="0" w:color="auto"/>
            <w:left w:val="none" w:sz="0" w:space="0" w:color="auto"/>
            <w:bottom w:val="none" w:sz="0" w:space="0" w:color="auto"/>
            <w:right w:val="none" w:sz="0" w:space="0" w:color="auto"/>
          </w:divBdr>
        </w:div>
        <w:div w:id="841090485">
          <w:marLeft w:val="144"/>
          <w:marRight w:val="0"/>
          <w:marTop w:val="0"/>
          <w:marBottom w:val="60"/>
          <w:divBdr>
            <w:top w:val="none" w:sz="0" w:space="0" w:color="auto"/>
            <w:left w:val="none" w:sz="0" w:space="0" w:color="auto"/>
            <w:bottom w:val="none" w:sz="0" w:space="0" w:color="auto"/>
            <w:right w:val="none" w:sz="0" w:space="0" w:color="auto"/>
          </w:divBdr>
        </w:div>
        <w:div w:id="1771732351">
          <w:marLeft w:val="0"/>
          <w:marRight w:val="0"/>
          <w:marTop w:val="0"/>
          <w:marBottom w:val="60"/>
          <w:divBdr>
            <w:top w:val="none" w:sz="0" w:space="0" w:color="auto"/>
            <w:left w:val="none" w:sz="0" w:space="0" w:color="auto"/>
            <w:bottom w:val="none" w:sz="0" w:space="0" w:color="auto"/>
            <w:right w:val="none" w:sz="0" w:space="0" w:color="auto"/>
          </w:divBdr>
        </w:div>
        <w:div w:id="806624874">
          <w:marLeft w:val="0"/>
          <w:marRight w:val="0"/>
          <w:marTop w:val="0"/>
          <w:marBottom w:val="101"/>
          <w:divBdr>
            <w:top w:val="none" w:sz="0" w:space="0" w:color="auto"/>
            <w:left w:val="none" w:sz="0" w:space="0" w:color="auto"/>
            <w:bottom w:val="none" w:sz="0" w:space="0" w:color="auto"/>
            <w:right w:val="none" w:sz="0" w:space="0" w:color="auto"/>
          </w:divBdr>
        </w:div>
        <w:div w:id="881987253">
          <w:marLeft w:val="0"/>
          <w:marRight w:val="0"/>
          <w:marTop w:val="0"/>
          <w:marBottom w:val="60"/>
          <w:divBdr>
            <w:top w:val="none" w:sz="0" w:space="0" w:color="auto"/>
            <w:left w:val="none" w:sz="0" w:space="0" w:color="auto"/>
            <w:bottom w:val="none" w:sz="0" w:space="0" w:color="auto"/>
            <w:right w:val="none" w:sz="0" w:space="0" w:color="auto"/>
          </w:divBdr>
        </w:div>
        <w:div w:id="896937721">
          <w:marLeft w:val="0"/>
          <w:marRight w:val="0"/>
          <w:marTop w:val="0"/>
          <w:marBottom w:val="60"/>
          <w:divBdr>
            <w:top w:val="none" w:sz="0" w:space="0" w:color="auto"/>
            <w:left w:val="none" w:sz="0" w:space="0" w:color="auto"/>
            <w:bottom w:val="none" w:sz="0" w:space="0" w:color="auto"/>
            <w:right w:val="none" w:sz="0" w:space="0" w:color="auto"/>
          </w:divBdr>
        </w:div>
        <w:div w:id="695934073">
          <w:marLeft w:val="0"/>
          <w:marRight w:val="0"/>
          <w:marTop w:val="101"/>
          <w:marBottom w:val="60"/>
          <w:divBdr>
            <w:top w:val="none" w:sz="0" w:space="0" w:color="auto"/>
            <w:left w:val="none" w:sz="0" w:space="0" w:color="auto"/>
            <w:bottom w:val="none" w:sz="0" w:space="0" w:color="auto"/>
            <w:right w:val="none" w:sz="0" w:space="0" w:color="auto"/>
          </w:divBdr>
        </w:div>
        <w:div w:id="1632126201">
          <w:marLeft w:val="0"/>
          <w:marRight w:val="0"/>
          <w:marTop w:val="0"/>
          <w:marBottom w:val="60"/>
          <w:divBdr>
            <w:top w:val="none" w:sz="0" w:space="0" w:color="auto"/>
            <w:left w:val="none" w:sz="0" w:space="0" w:color="auto"/>
            <w:bottom w:val="none" w:sz="0" w:space="0" w:color="auto"/>
            <w:right w:val="none" w:sz="0" w:space="0" w:color="auto"/>
          </w:divBdr>
        </w:div>
        <w:div w:id="411126822">
          <w:marLeft w:val="720"/>
          <w:marRight w:val="0"/>
          <w:marTop w:val="0"/>
          <w:marBottom w:val="60"/>
          <w:divBdr>
            <w:top w:val="none" w:sz="0" w:space="0" w:color="auto"/>
            <w:left w:val="none" w:sz="0" w:space="0" w:color="auto"/>
            <w:bottom w:val="none" w:sz="0" w:space="0" w:color="auto"/>
            <w:right w:val="none" w:sz="0" w:space="0" w:color="auto"/>
          </w:divBdr>
        </w:div>
        <w:div w:id="1882858830">
          <w:marLeft w:val="720"/>
          <w:marRight w:val="0"/>
          <w:marTop w:val="0"/>
          <w:marBottom w:val="60"/>
          <w:divBdr>
            <w:top w:val="none" w:sz="0" w:space="0" w:color="auto"/>
            <w:left w:val="none" w:sz="0" w:space="0" w:color="auto"/>
            <w:bottom w:val="none" w:sz="0" w:space="0" w:color="auto"/>
            <w:right w:val="none" w:sz="0" w:space="0" w:color="auto"/>
          </w:divBdr>
        </w:div>
        <w:div w:id="1049650230">
          <w:marLeft w:val="720"/>
          <w:marRight w:val="0"/>
          <w:marTop w:val="0"/>
          <w:marBottom w:val="60"/>
          <w:divBdr>
            <w:top w:val="none" w:sz="0" w:space="0" w:color="auto"/>
            <w:left w:val="none" w:sz="0" w:space="0" w:color="auto"/>
            <w:bottom w:val="none" w:sz="0" w:space="0" w:color="auto"/>
            <w:right w:val="none" w:sz="0" w:space="0" w:color="auto"/>
          </w:divBdr>
        </w:div>
        <w:div w:id="192807405">
          <w:marLeft w:val="0"/>
          <w:marRight w:val="0"/>
          <w:marTop w:val="0"/>
          <w:marBottom w:val="60"/>
          <w:divBdr>
            <w:top w:val="none" w:sz="0" w:space="0" w:color="auto"/>
            <w:left w:val="none" w:sz="0" w:space="0" w:color="auto"/>
            <w:bottom w:val="none" w:sz="0" w:space="0" w:color="auto"/>
            <w:right w:val="none" w:sz="0" w:space="0" w:color="auto"/>
          </w:divBdr>
        </w:div>
        <w:div w:id="1750879738">
          <w:marLeft w:val="0"/>
          <w:marRight w:val="0"/>
          <w:marTop w:val="0"/>
          <w:marBottom w:val="60"/>
          <w:divBdr>
            <w:top w:val="none" w:sz="0" w:space="0" w:color="auto"/>
            <w:left w:val="none" w:sz="0" w:space="0" w:color="auto"/>
            <w:bottom w:val="none" w:sz="0" w:space="0" w:color="auto"/>
            <w:right w:val="none" w:sz="0" w:space="0" w:color="auto"/>
          </w:divBdr>
        </w:div>
        <w:div w:id="502672354">
          <w:marLeft w:val="0"/>
          <w:marRight w:val="0"/>
          <w:marTop w:val="0"/>
          <w:marBottom w:val="60"/>
          <w:divBdr>
            <w:top w:val="none" w:sz="0" w:space="0" w:color="auto"/>
            <w:left w:val="none" w:sz="0" w:space="0" w:color="auto"/>
            <w:bottom w:val="none" w:sz="0" w:space="0" w:color="auto"/>
            <w:right w:val="none" w:sz="0" w:space="0" w:color="auto"/>
          </w:divBdr>
        </w:div>
        <w:div w:id="172383903">
          <w:marLeft w:val="0"/>
          <w:marRight w:val="0"/>
          <w:marTop w:val="101"/>
          <w:marBottom w:val="60"/>
          <w:divBdr>
            <w:top w:val="none" w:sz="0" w:space="0" w:color="auto"/>
            <w:left w:val="none" w:sz="0" w:space="0" w:color="auto"/>
            <w:bottom w:val="none" w:sz="0" w:space="0" w:color="auto"/>
            <w:right w:val="none" w:sz="0" w:space="0" w:color="auto"/>
          </w:divBdr>
        </w:div>
        <w:div w:id="396318307">
          <w:marLeft w:val="0"/>
          <w:marRight w:val="0"/>
          <w:marTop w:val="0"/>
          <w:marBottom w:val="60"/>
          <w:divBdr>
            <w:top w:val="none" w:sz="0" w:space="0" w:color="auto"/>
            <w:left w:val="none" w:sz="0" w:space="0" w:color="auto"/>
            <w:bottom w:val="none" w:sz="0" w:space="0" w:color="auto"/>
            <w:right w:val="none" w:sz="0" w:space="0" w:color="auto"/>
          </w:divBdr>
        </w:div>
        <w:div w:id="1066420137">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694</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2018-05-17T13:12:00Z</dcterms:created>
  <dcterms:modified xsi:type="dcterms:W3CDTF">2018-05-17T13:24:00Z</dcterms:modified>
</cp:coreProperties>
</file>