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informa al público en general de la actualización del Manual de Crédito del Instituto del Fondo Nacional para el Consumo de los Trabajadores MA09.30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 Instituto del Fondo Nacional para el Consumo de los Trabajadores.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POR EL QUE SE INFORMA AL PÚBLICO EN GENERAL DE LA ACTUALIZACIÓN DEL MANUAL DE CRÉDITO DEL INSTITUTO DEL FONDO NACIONAL PARA EL CONSUMO DE LOS TRABAJADORES MA09.30</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bajo el Acuerdo número CD ME 78-141220 el Consejo Directivo del Instituto del Fondo Nacional para el Consumo de los Trabajadores, aprobó en su 26ª Sesión Extraordinaria celebrada el 14 de diciembre de 2020 las modificaciones al Manual de Crédito del Instituto FONACOT y sus Procedimientos Específicos, con fundamento en los artículos 6 y 8 de las Disposiciones de Carácter General aplicables a los Organismos de Fomento y Entidades de Fomento emitidas por la Comisión Nacional Bancaria y de Valores, artículo 18 fracción V de la Ley del Instituto del Fondo Nacional para el Consumo de los Trabajadores y artículo 24, fracción IV de su Reglamento.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cumplimiento de lo establecido en los artículos 57 fracciones IX y XI y 62, fracción IV, y VIII del Estatuto Orgánico del Instituto del Fondo Nacional para el Consumo de los Trabajadores, he tenido a bien emitir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 POR EL QUE SE INFORMA AL PÚBLICO EN GENERAL DE LA ACTUALIZACIÓN DEL MANUAL</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CRÉDITO DEL INSTITUTO DEL FONDO NACIONAL PARA EL CONSUMO DE LOS TRABAJADORES,</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MA09.30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Disposición: </w:t>
      </w:r>
      <w:r w:rsidDel="00000000" w:rsidR="00000000" w:rsidRPr="00000000">
        <w:rPr>
          <w:color w:val="2f2f2f"/>
          <w:sz w:val="18"/>
          <w:szCs w:val="18"/>
          <w:rtl w:val="0"/>
        </w:rPr>
        <w:t xml:space="preserve">Manual de Crédito del Instituto FONACOT, MA09.30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Fecha de aprobación de la versión pública por el Comité de Transparencia: </w:t>
      </w:r>
      <w:r w:rsidDel="00000000" w:rsidR="00000000" w:rsidRPr="00000000">
        <w:rPr>
          <w:color w:val="2f2f2f"/>
          <w:sz w:val="18"/>
          <w:szCs w:val="18"/>
          <w:rtl w:val="0"/>
        </w:rPr>
        <w:t xml:space="preserve">12 de marzo de 2021</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Medio de consulta: </w:t>
      </w:r>
      <w:r w:rsidDel="00000000" w:rsidR="00000000" w:rsidRPr="00000000">
        <w:rPr>
          <w:color w:val="2f2f2f"/>
          <w:sz w:val="18"/>
          <w:szCs w:val="18"/>
          <w:rtl w:val="0"/>
        </w:rPr>
        <w:t xml:space="preserve">Página de Internet del Instituto FONACOT en la siguiente liga electrónica:</w:t>
      </w:r>
    </w:p>
    <w:p w:rsidR="00000000" w:rsidDel="00000000" w:rsidP="00000000" w:rsidRDefault="00000000" w:rsidRPr="00000000" w14:paraId="00000010">
      <w:pPr>
        <w:shd w:fill="ffffff" w:val="clear"/>
        <w:spacing w:after="100" w:lineRule="auto"/>
        <w:jc w:val="center"/>
        <w:rPr>
          <w:color w:val="2f2f2f"/>
          <w:sz w:val="18"/>
          <w:szCs w:val="18"/>
        </w:rPr>
      </w:pPr>
      <w:r w:rsidDel="00000000" w:rsidR="00000000" w:rsidRPr="00000000">
        <w:rPr>
          <w:color w:val="2f2f2f"/>
          <w:sz w:val="18"/>
          <w:szCs w:val="18"/>
          <w:rtl w:val="0"/>
        </w:rPr>
        <w:t xml:space="preserve">https://www.fonacot.gob.mx/nosotros/InformacionRelevante/Paginas/default.aspx</w:t>
      </w:r>
    </w:p>
    <w:p w:rsidR="00000000" w:rsidDel="00000000" w:rsidP="00000000" w:rsidRDefault="00000000" w:rsidRPr="00000000" w14:paraId="00000011">
      <w:pPr>
        <w:shd w:fill="ffffff" w:val="clear"/>
        <w:spacing w:after="100" w:lineRule="auto"/>
        <w:jc w:val="center"/>
        <w:rPr>
          <w:color w:val="2f2f2f"/>
          <w:sz w:val="18"/>
          <w:szCs w:val="18"/>
        </w:rPr>
      </w:pPr>
      <w:r w:rsidDel="00000000" w:rsidR="00000000" w:rsidRPr="00000000">
        <w:rPr>
          <w:color w:val="2f2f2f"/>
          <w:sz w:val="18"/>
          <w:szCs w:val="18"/>
          <w:rtl w:val="0"/>
        </w:rPr>
        <w:t xml:space="preserve">www.dof.gob.mx/2021/FONACOT/ManualdeCreditodelInstitutoFONACOTMA09.30.pdf</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abril de 2021.- La Subdirectora General de Crédito y Apoderada Legal del Instituto del Fondo Nacional para el Consumo de los Trabajadores, </w:t>
      </w:r>
      <w:r w:rsidDel="00000000" w:rsidR="00000000" w:rsidRPr="00000000">
        <w:rPr>
          <w:b w:val="1"/>
          <w:color w:val="2f2f2f"/>
          <w:sz w:val="18"/>
          <w:szCs w:val="18"/>
          <w:rtl w:val="0"/>
        </w:rPr>
        <w:t xml:space="preserve">Martha Angélica León Alvarado</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