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2"/>
          <w:szCs w:val="22"/>
          <w14:textFill>
            <w14:solidFill>
              <w14:schemeClr w14:val="accent1"/>
            </w14:solidFill>
          </w14:textFill>
        </w:rPr>
      </w:pPr>
      <w:r>
        <w:rPr>
          <w:rFonts w:hint="default" w:ascii="Verdana Bold" w:hAnsi="Verdana Bold" w:eastAsia="Times" w:cs="Verdana Bold"/>
          <w:b/>
          <w:bCs/>
          <w:i w:val="0"/>
          <w:caps w:val="0"/>
          <w:color w:val="5B9BD5" w:themeColor="accent1"/>
          <w:spacing w:val="0"/>
          <w:sz w:val="22"/>
          <w:szCs w:val="22"/>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2"/>
          <w:szCs w:val="22"/>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2"/>
          <w:szCs w:val="22"/>
          <w:shd w:val="clear" w:fill="FFFFFF"/>
          <w14:textFill>
            <w14:solidFill>
              <w14:schemeClr w14:val="accent1"/>
            </w14:solidFill>
          </w14:textFill>
        </w:rPr>
        <w:t> que modifica el diverso por el que se determina la circunscripción territorial de las aduanas y las secciones aduaneras de las aduanas</w:t>
      </w:r>
      <w:r>
        <w:rPr>
          <w:rFonts w:hint="default" w:ascii="Verdana Bold" w:hAnsi="Verdana Bold" w:eastAsia="Times" w:cs="Verdana Bold"/>
          <w:b/>
          <w:bCs/>
          <w:i w:val="0"/>
          <w:caps w:val="0"/>
          <w:color w:val="5B9BD5" w:themeColor="accent1"/>
          <w:spacing w:val="0"/>
          <w:sz w:val="22"/>
          <w:szCs w:val="22"/>
          <w:shd w:val="clear" w:fill="FFFFFF"/>
          <w14:textFill>
            <w14:solidFill>
              <w14:schemeClr w14:val="accent1"/>
            </w14:solidFill>
          </w14:textFill>
        </w:rPr>
        <w:t xml:space="preserve"> </w:t>
      </w:r>
      <w:r>
        <w:rPr>
          <w:rFonts w:hint="default" w:ascii="Verdana Bold" w:hAnsi="Verdana Bold" w:eastAsia="Times" w:cs="Verdana Bold"/>
          <w:b/>
          <w:bCs/>
          <w:i w:val="0"/>
          <w:caps w:val="0"/>
          <w:color w:val="5B9BD5" w:themeColor="accent1"/>
          <w:spacing w:val="0"/>
          <w:sz w:val="22"/>
          <w:szCs w:val="22"/>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2"/>
          <w:szCs w:val="22"/>
          <w:shd w:val="clear" w:fill="FFFFFF"/>
          <w14:textFill>
            <w14:solidFill>
              <w14:schemeClr w14:val="accent1"/>
            </w14:solidFill>
          </w14:textFill>
        </w:rPr>
        <w:t>(DOF  17 de marzo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HACIENDA.- Secretaría de Hacienda y Crédito Público.- Agencia Nacional de Aduanas de México.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ACUERDO QUE MODIFICA EL DIVERSO POR EL QUE SE DETERMINA LA CIRCUNSCRIPCIÓN TERRITORIAL DE LAS ADUANAS Y LAS SECCIONES ADUANERAS DE LAS ADUANAS.</w:t>
      </w:r>
      <w:bookmarkStart w:id="0" w:name="_GoBack"/>
      <w:bookmarkEnd w:id="0"/>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HORACIO DUARTE OLIVARES, Titular de la Agencia Nacional de Aduanas de México, con fundamento en lo dispuesto por los artículos 144, fracción I de la Ley Aduanera; 1, 4, apartado A, 11, fracciones II y XX, 37, último párrafo y Transitorio Primero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y</w:t>
      </w:r>
    </w:p>
    <w:p>
      <w:pPr>
        <w:keepNext w:val="0"/>
        <w:keepLines w:val="0"/>
        <w:widowControl/>
        <w:suppressLineNumbers w:val="0"/>
        <w:shd w:val="clear" w:fill="FFFFFF"/>
        <w:spacing w:before="0" w:beforeAutospacing="0" w:after="10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fecha 1 de marzo de 2022 fue publicado en el Diario Oficial de la Federación, el ACUERDO por el que se determina la circunscripción territorial de las aduanas y las secciones aduaneras de las aduanas.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para facilitar el cumplimiento de las obligaciones tributarias a los contribuyentes, relativas a la entrada y salida de mercancías del territorio nacional y con el fin de mantener actualizado el Acuerdo a que se refiere el párrafo anterior, se expide el siguiente:</w:t>
      </w:r>
    </w:p>
    <w:p>
      <w:pPr>
        <w:keepNext w:val="0"/>
        <w:keepLines w:val="0"/>
        <w:widowControl/>
        <w:suppressLineNumbers w:val="0"/>
        <w:shd w:val="clear" w:fill="FFFFFF"/>
        <w:spacing w:before="0" w:beforeAutospacing="0" w:after="10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QUE MODIFICA EL DIVERSO POR EL QUE SE DETERMINA LA CIRCUNSCRIPCIÓN</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TERRITORIAL DE LAS ADUANAS Y LAS SECCIONES ADUANERAS DE LAS ADUANAS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ÚNICO</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REFORMA</w:t>
      </w:r>
      <w:r>
        <w:rPr>
          <w:rFonts w:hint="default" w:ascii="Verdana Regular" w:hAnsi="Verdana Regular" w:eastAsia="SimSun" w:cs="Verdana Regular"/>
          <w:i w:val="0"/>
          <w:caps w:val="0"/>
          <w:color w:val="2F2F2F"/>
          <w:spacing w:val="0"/>
          <w:kern w:val="0"/>
          <w:sz w:val="20"/>
          <w:szCs w:val="20"/>
          <w:shd w:val="clear" w:fill="FFFFFF"/>
          <w:lang w:val="en-US" w:eastAsia="zh-CN" w:bidi="ar"/>
        </w:rPr>
        <w:t> el Artículo Primero, fracciones XVIII, XXVI, XXXIII, XXXVIII, XXXIX y L, del ACUERDO por el que se determina la circunscripción territorial de las aduanas y las secciones aduaneras de las aduanas, publicado en el Diario Oficial de la Federación de 1 de marzo de 2022, para quedar como sigue:</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 a XVII. ...</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ADUANA DE MÉXICO: Los municipios de Amecameca, Atlautla, Ayapango, Chalco, Chiautla, Chicoloapan, Chimalhuacán, Cocotitlán, Ecatzingo, Huixquilucan, Isidro Fabela, Ixtapaluca, Juchitepec, La Paz, Nezahualcóyotl, Nicolás Romero, Papalotla, Temamatla, Tenango del Aire, Tepetlaoxtoc, Tlalmanalco, Valle de Chalco Solidaridad y Villa del Carbón, en el Estado de México, así como la Ciudad de México, excepto el perímetro que corresponde al Aeropuerto Internacional "Benito Juárez" de la Ciudad de México:</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Depende de esta Aduana, la Sección Aduanera de importación y exportación de contenedores en la Alcaldía Azcapotzalco, en la Ciudad de México;</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XIX. a XXV. ...</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XXVI.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ADUANA DE SALINA CRUZ: El Estado de Oaxaca y el Municipio de Tapachula, en el Estado de Chiapas:</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Depende de esta Aduana, la Sección Aduanera de Puerto Chiapas en el Municipio de Tapachula, en el Estado de Chiapas. Los servidores públicos adscritos a la citada sección aduanera, ejercerán atribuciones dentro del recinto fiscal de la sección aduanera y en los recintos fiscalizados colindantes con la misma;</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XXVII. a XXXII. ...</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XXXIII.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ADUANA DE GUAYMAS: Los municipios de Álamos, Arivechi, Bacanora, Bácum, Baviácora, Benito Juárez, Cajeme, Carbó, Empalme, Etchojoa, Guaymas, Hermosillo, Huatabampo, La Colorada, Mazatán, Navojoa, Onavas, Opodepe, Quiriego, Rayón, Rosario, Sahuaripa, San Ignacio Río Muerto, San Javier, San Miguel de Horcasitas, San Pedro de la Cueva, Soyopa, Suaqui Grande, Tepache, Trincheras, Ures, Villa Pesqueira y Yécora, en el Estado de Sonora;</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XXXIV. a XXXVII. ...</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XXXVIII.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ADUANA DE DOS BOCAS: El Estado de Tabasco y los municipios de Altamirano, Amatán, Benemérito de las Américas, Bochil, Catazajá, Chapultenango, Chilón, El Bosque, Francisco León, Huitiupan, Ixhuatán, Ixtacomitán, Ixtapangajoya, Jitotol, Juárez, La Libertad, Marqués de Comillas, Ocosingo, Ostuacán, Oxchuc, Palenque, Pantepec, Pichucalco, Pueblo Nuevo Solistahuacán, Rayón, Reforma, Sabanilla, Salto de Agua, San Andrés Duraznal, San Juan Cancuc, Simojovel, Sitalá, Solosuchiapa, Sunuapa, Tapalapa, Tapilula, Tila, Tumbalá y Yajalón, en el Estado de Chiapas;</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XXXIX.</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ADUANA DE ALTAMIRA: Los municipios de Aldama, Altamira, Bustamante, Casas, Gómez Farías, González, Güémez, Jaumave, Llera, Miquihuana, Padilla, Palmillas, Soto la Marina, Victoria y Xicoténcatl, en el Estado de Tamaulipas;</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XL. a XLIX. ...</w:t>
      </w:r>
    </w:p>
    <w:p>
      <w:pPr>
        <w:keepNext w:val="0"/>
        <w:keepLines w:val="0"/>
        <w:widowControl/>
        <w:suppressLineNumbers w:val="0"/>
        <w:shd w:val="clear" w:fill="FFFFFF"/>
        <w:spacing w:after="100" w:afterAutospacing="0"/>
        <w:ind w:left="1152" w:hanging="864"/>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L.</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ADUANA DEL AEROPUERTO INTERNACIONAL FELIPE ÁNGELES: El perímetro del Aeropuerto Internacional Felipe Ángeles, ubicado en Santa Lucía, Municipio de Zumpango, los Municipios de Acolman, Apaxco, Atenco, Atizapán de Zaragoza, Axapusco, Chiconcuac, Coacalco de Berriozábal, Coyotepec, Cuautitlán, Cuautitlán Izcalli, Ecatepec de Morelos, Huehuetoca, Hueypoxtla, Jaltenco, Jilotzingo, Melchor Ocampo, Naucalpan de Juárez, Nextlalpan, Nopaltepec, Otumba, Ozumba, San Martín de las Pirámides, Tecámac, Temascalapa, Teoloyucan, Teotihuacán, Tepetlixpa, Tepotzotlán, Tequixquiac, Texcoco, Tezoyuca, Tlalnepantla de Baz, Tonanitla, Tultepec, Tultitlán y Zumpango, en el Estado de México; los Municipios de Apan, Emiliano Zapata, San Agustín Tlaxcala, Tepeapulco, Tepeji del Río de Ocampo, Tizayuca, Tlanalapa, Tolcayuca, Villa de Tezontepec, Zapotlán de Juárez y Zempoala, en el Estado de Hidalgo; los Municipios de Amealco de Bonfil, Huimilpan, Pedro Escobedo, San Juan del Río y Tequisquiapan, en el Estado de Querétaro, y los Municipios de Calpulalpan, Españita, Nanacamilpa de Mariano Arista y Sanctorum de Lázaro Cárdenas, en el Estado de Tlaxcala.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before="101" w:beforeAutospacing="0" w:after="10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Acuerdo entrará en vigor a partir del día de su publicación en el Diario Oficial de la Federación.</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11 de marzo de 2022.- Titular de la Agencia Nacional de Aduanas de México, </w:t>
      </w:r>
      <w:r>
        <w:rPr>
          <w:rFonts w:hint="default" w:ascii="Verdana Regular" w:hAnsi="Verdana Regular" w:eastAsia="SimSun" w:cs="Verdana Regular"/>
          <w:b/>
          <w:i w:val="0"/>
          <w:caps w:val="0"/>
          <w:color w:val="2F2F2F"/>
          <w:spacing w:val="0"/>
          <w:kern w:val="0"/>
          <w:sz w:val="20"/>
          <w:szCs w:val="20"/>
          <w:shd w:val="clear" w:fill="FFFFFF"/>
          <w:lang w:val="en-US" w:eastAsia="zh-CN" w:bidi="ar"/>
        </w:rPr>
        <w:t>Horacio Duarte Olivares</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Times">
    <w:panose1 w:val="00000500000000020000"/>
    <w:charset w:val="00"/>
    <w:family w:val="auto"/>
    <w:pitch w:val="default"/>
    <w:sig w:usb0="E00002FF" w:usb1="5000205A" w:usb2="00000000" w:usb3="00000000" w:csb0="2000019F" w:csb1="4F010000"/>
  </w:font>
  <w:font w:name="黑体-简">
    <w:panose1 w:val="02000000000000000000"/>
    <w:charset w:val="86"/>
    <w:family w:val="auto"/>
    <w:pitch w:val="default"/>
    <w:sig w:usb0="8000002F" w:usb1="0800004A" w:usb2="00000000" w:usb3="00000000" w:csb0="203E0000" w:csb1="00000000"/>
  </w:font>
  <w:font w:name="Verdana Regular">
    <w:panose1 w:val="020B0804030504040204"/>
    <w:charset w:val="00"/>
    <w:family w:val="auto"/>
    <w:pitch w:val="default"/>
    <w:sig w:usb0="A10006FF" w:usb1="4000205B" w:usb2="00000010" w:usb3="00000000" w:csb0="2000019F" w:csb1="00000000"/>
  </w:font>
  <w:font w:name="Verdana Bold">
    <w:panose1 w:val="020B08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E3728"/>
    <w:rsid w:val="7DDE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2022-03-17T08:10:00Z</dcterms:created>
  <dc:creator>allanmorgan</dc:creator>
  <cp:lastModifiedBy>allanmorgan</cp:lastModifiedBy>
  <dcterms:modified xsi:type="dcterms:W3CDTF">2022-03-17T08:11:54Z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