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Decreto por el que se reforma y adiciona el artículo 90 de la Ley Federal del Trabajo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30 de marzo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Presidencia de la República.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ANDRÉS MANUEL LÓPEZ OBRADOR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Presidente de los Estados Unidos Mexicanos, a sus habitantes sabed: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el Honorable Congreso de la Unión, se ha servido dirigirme el siguiente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DECRETO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6"/>
          <w:szCs w:val="16"/>
        </w:rPr>
      </w:pPr>
      <w:r w:rsidDel="00000000" w:rsidR="00000000" w:rsidRPr="00000000">
        <w:rPr>
          <w:color w:val="2f2f2f"/>
          <w:sz w:val="16"/>
          <w:szCs w:val="16"/>
          <w:rtl w:val="0"/>
        </w:rPr>
        <w:t xml:space="preserve">"EL CONGRESO GENERAL DE LOS ESTADOS UNIDOS MEXICANOS, D E C R E T A: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6"/>
          <w:szCs w:val="16"/>
        </w:rPr>
      </w:pP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SE REFORMA Y ADICIONA EL ARTÍCULO 90 DE LA LEY FEDERAL DEL TRABAJO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Se reforman los párrafos primero, segundo y tercero y se adiciona un párrafo cuarto al artículo 90 de la Ley Federal del Trabajo, para quedar como sigue: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90.-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Salario mínimo es la cantidad menor que debe recibir en efectivo la persona trabajadora por los servicios prestados en una jornada de trabajo.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El salario mínimo deberá ser suficiente para satisfacer las necesidades normales de una o un jefe de familia en el orden material, social y cultural, y para proveer a la educación obligatoria de las y los hijos.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Se considera de utilidad social el establecimiento de instituciones y medidas que protejan la capacidad adquisitiva del salario y faciliten el acceso de toda persona trabajadora a la obtención de satisfactores.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La fijación anual de los salarios mínimos, o la revisión de los mismos, nunca estará por debajo de la inflación observada durante el periodo de su vigencia transcurrido.</w:t>
      </w:r>
    </w:p>
    <w:p w:rsidR="00000000" w:rsidDel="00000000" w:rsidP="00000000" w:rsidRDefault="00000000" w:rsidRPr="00000000" w14:paraId="00000010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Transitorios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El presente Decreto entrará en vigor el día siguiente al de su publicación en el Diario Oficial de la Federación.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Se derogan todas las disposiciones que se opongan al presente Decreto.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3 de marzo de 2021.- Sen.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Oscar Eduardo Ramírez Aguilar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Presidente.- Dip.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Dulce María Sauri Riancho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Presidenta.- Sen.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María Merced González González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Secretaria.- Dip.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María Guadalupe Díaz Avilez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Secretaria.- Rúbricas.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"</w:t>
      </w:r>
    </w:p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26 de marzo de 2021.-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Andrés Manuel López Obrador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Rúbrica.- La Secretaria de Gobernación, Dra.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Olga María del Carmen Sánchez Cordero Dávila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