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D6E2A" w:rsidP="008D6E2A">
      <w:pPr>
        <w:jc w:val="center"/>
        <w:rPr>
          <w:rFonts w:ascii="Verdana" w:hAnsi="Verdana"/>
          <w:b/>
          <w:color w:val="0070C0"/>
          <w:sz w:val="24"/>
          <w:szCs w:val="24"/>
        </w:rPr>
      </w:pPr>
      <w:r w:rsidRPr="008D6E2A">
        <w:rPr>
          <w:rFonts w:ascii="Verdana" w:hAnsi="Verdana"/>
          <w:b/>
          <w:color w:val="0070C0"/>
          <w:sz w:val="24"/>
          <w:szCs w:val="24"/>
        </w:rPr>
        <w:t>Acuerdo por el que se abroga el Acuerdo de delimitación territorial de las unidades administrativas desconcentradas del Servicio de Admin</w:t>
      </w:r>
      <w:r>
        <w:rPr>
          <w:rFonts w:ascii="Verdana" w:hAnsi="Verdana"/>
          <w:b/>
          <w:color w:val="0070C0"/>
          <w:sz w:val="24"/>
          <w:szCs w:val="24"/>
        </w:rPr>
        <w:t>istración Tributaria y su Anexo</w:t>
      </w:r>
    </w:p>
    <w:p w:rsidR="008D6E2A" w:rsidRDefault="008D6E2A" w:rsidP="008D6E2A">
      <w:pPr>
        <w:jc w:val="center"/>
        <w:rPr>
          <w:rFonts w:ascii="Verdana" w:hAnsi="Verdana"/>
          <w:b/>
          <w:color w:val="0070C0"/>
          <w:sz w:val="24"/>
          <w:szCs w:val="24"/>
        </w:rPr>
      </w:pPr>
      <w:r>
        <w:rPr>
          <w:rFonts w:ascii="Verdana" w:hAnsi="Verdana"/>
          <w:b/>
          <w:color w:val="0070C0"/>
          <w:sz w:val="24"/>
          <w:szCs w:val="24"/>
        </w:rPr>
        <w:t>(DOF del 10 de octubre de 2017)</w:t>
      </w:r>
    </w:p>
    <w:p w:rsidR="008D6E2A" w:rsidRPr="008D6E2A" w:rsidRDefault="008D6E2A" w:rsidP="008D6E2A">
      <w:pPr>
        <w:jc w:val="both"/>
        <w:rPr>
          <w:rFonts w:ascii="Verdana" w:hAnsi="Verdana"/>
          <w:b/>
          <w:bCs/>
          <w:sz w:val="20"/>
          <w:szCs w:val="24"/>
        </w:rPr>
      </w:pPr>
      <w:r w:rsidRPr="008D6E2A">
        <w:rPr>
          <w:rFonts w:ascii="Verdana" w:hAnsi="Verdana"/>
          <w:b/>
          <w:bCs/>
          <w:sz w:val="20"/>
          <w:szCs w:val="24"/>
        </w:rPr>
        <w:t>Al margen un sello con el Escudo Nacional, que dice: Estados Unidos Mexicanos.- Secretaría de Hacienda y Crédito Público.- Servicio de Administración Tributaria.</w:t>
      </w:r>
    </w:p>
    <w:p w:rsidR="008D6E2A" w:rsidRPr="008D6E2A" w:rsidRDefault="008D6E2A" w:rsidP="008D6E2A">
      <w:pPr>
        <w:jc w:val="both"/>
        <w:rPr>
          <w:rFonts w:ascii="Verdana" w:hAnsi="Verdana"/>
          <w:sz w:val="20"/>
          <w:szCs w:val="24"/>
        </w:rPr>
      </w:pPr>
      <w:r w:rsidRPr="008D6E2A">
        <w:rPr>
          <w:rFonts w:ascii="Verdana" w:hAnsi="Verdana"/>
          <w:sz w:val="20"/>
          <w:szCs w:val="24"/>
        </w:rPr>
        <w:t>OSVALDO ANTONIO SANTÍN QUIROZ,</w:t>
      </w:r>
      <w:r w:rsidRPr="008D6E2A">
        <w:rPr>
          <w:rFonts w:ascii="Verdana" w:hAnsi="Verdana"/>
          <w:b/>
          <w:bCs/>
          <w:sz w:val="20"/>
          <w:szCs w:val="24"/>
        </w:rPr>
        <w:t> </w:t>
      </w:r>
      <w:r w:rsidRPr="008D6E2A">
        <w:rPr>
          <w:rFonts w:ascii="Verdana" w:hAnsi="Verdana"/>
          <w:sz w:val="20"/>
          <w:szCs w:val="24"/>
        </w:rPr>
        <w:t>Jefe del Servicio de Administración Tributaria, con fundamento en lo dispuesto por los artículos 16 y 17 de la Ley Orgánica de la Administración Pública Federal; 2 y 7, fracción XVIII, 8, fracción II, 14, fracciones I, II y IX de la Ley del Servicio de Administración Tributaria; 1, 5, penúltimo párrafo, 8, primer párrafo y fracción XVII, y 10 del Reglamento Interior del Servicio de Administración Tributaria, publicado en el Diario Oficial de la Federación el 24 de agosto de 2015, y</w:t>
      </w:r>
    </w:p>
    <w:p w:rsidR="008D6E2A" w:rsidRPr="008D6E2A" w:rsidRDefault="008D6E2A" w:rsidP="008D6E2A">
      <w:pPr>
        <w:jc w:val="both"/>
        <w:rPr>
          <w:rFonts w:ascii="Verdana" w:hAnsi="Verdana"/>
          <w:b/>
          <w:bCs/>
          <w:sz w:val="20"/>
          <w:szCs w:val="24"/>
        </w:rPr>
      </w:pPr>
      <w:r w:rsidRPr="008D6E2A">
        <w:rPr>
          <w:rFonts w:ascii="Verdana" w:hAnsi="Verdana"/>
          <w:b/>
          <w:bCs/>
          <w:sz w:val="20"/>
          <w:szCs w:val="24"/>
        </w:rPr>
        <w:t>CONSIDERANDO</w:t>
      </w:r>
    </w:p>
    <w:p w:rsidR="008D6E2A" w:rsidRPr="008D6E2A" w:rsidRDefault="008D6E2A" w:rsidP="008D6E2A">
      <w:pPr>
        <w:jc w:val="both"/>
        <w:rPr>
          <w:rFonts w:ascii="Verdana" w:hAnsi="Verdana"/>
          <w:sz w:val="20"/>
          <w:szCs w:val="24"/>
        </w:rPr>
      </w:pPr>
      <w:r w:rsidRPr="008D6E2A">
        <w:rPr>
          <w:rFonts w:ascii="Verdana" w:hAnsi="Verdana"/>
          <w:sz w:val="20"/>
          <w:szCs w:val="24"/>
        </w:rPr>
        <w:t>Que a raíz de la eliminación y adición de diversas atribuciones conferidas a las unidades administrativas del Servicio de Administración Tributaria a través del Reglamento Interior de este órgano Administrativo desconcentrado, vigente a partir del 24 de agosto del 2015; se concedió a las unidades administrativas desconcentradas la facultad de ejercer sus atribuciones en todo el territorio nacional, en consecuencia fue publicado en el Diario Oficial de la Federación el 17 de noviembre de 2015 el "Acuerdo de Delimitación Territorial de las unidades administrativas desconcentradas del Servicio de Administración Tributaria y su Anexo", cuyo objetivo era facilitar la operatividad de las mismas, ante esto y en virtud de que el mismo cumplió su fin, aunado al hecho de que actualmente resulta innecesario para la operación de las administraciones desconcentradas de este Órgano Administrativo Desconcentrado, se hace necesaria su abrogación; motivo por el cual he tenido a bien expedir el siguiente:</w:t>
      </w:r>
    </w:p>
    <w:p w:rsidR="008D6E2A" w:rsidRPr="008D6E2A" w:rsidRDefault="008D6E2A" w:rsidP="008D6E2A">
      <w:pPr>
        <w:jc w:val="both"/>
        <w:rPr>
          <w:rFonts w:ascii="Verdana" w:hAnsi="Verdana"/>
          <w:b/>
          <w:bCs/>
          <w:sz w:val="20"/>
          <w:szCs w:val="24"/>
        </w:rPr>
      </w:pPr>
      <w:r w:rsidRPr="008D6E2A">
        <w:rPr>
          <w:rFonts w:ascii="Verdana" w:hAnsi="Verdana"/>
          <w:b/>
          <w:bCs/>
          <w:sz w:val="20"/>
          <w:szCs w:val="24"/>
        </w:rPr>
        <w:t>"ACUERDO POR EL QUE SE ABROGA EL ACUERDO DE DELIMITACIÓN TERRITORIAL DE LAS</w:t>
      </w:r>
      <w:r w:rsidRPr="008D6E2A">
        <w:rPr>
          <w:rFonts w:ascii="Verdana" w:hAnsi="Verdana"/>
          <w:b/>
          <w:bCs/>
          <w:sz w:val="20"/>
          <w:szCs w:val="24"/>
        </w:rPr>
        <w:br/>
        <w:t>UNIDADES ADMINISTRATIVAS DESCONCENTRADAS DEL SERVICIO DE ADMINISTRACIÓN</w:t>
      </w:r>
      <w:r w:rsidRPr="008D6E2A">
        <w:rPr>
          <w:rFonts w:ascii="Verdana" w:hAnsi="Verdana"/>
          <w:b/>
          <w:bCs/>
          <w:sz w:val="20"/>
          <w:szCs w:val="24"/>
        </w:rPr>
        <w:br/>
        <w:t>TRIBUTARIA Y SU ANEXO</w:t>
      </w:r>
    </w:p>
    <w:p w:rsidR="008D6E2A" w:rsidRPr="008D6E2A" w:rsidRDefault="008D6E2A" w:rsidP="008D6E2A">
      <w:pPr>
        <w:jc w:val="both"/>
        <w:rPr>
          <w:rFonts w:ascii="Verdana" w:hAnsi="Verdana"/>
          <w:sz w:val="20"/>
          <w:szCs w:val="24"/>
        </w:rPr>
      </w:pPr>
      <w:r w:rsidRPr="008D6E2A">
        <w:rPr>
          <w:rFonts w:ascii="Verdana" w:hAnsi="Verdana"/>
          <w:b/>
          <w:bCs/>
          <w:sz w:val="20"/>
          <w:szCs w:val="24"/>
        </w:rPr>
        <w:t>Único. - </w:t>
      </w:r>
      <w:r w:rsidRPr="008D6E2A">
        <w:rPr>
          <w:rFonts w:ascii="Verdana" w:hAnsi="Verdana"/>
          <w:sz w:val="20"/>
          <w:szCs w:val="24"/>
        </w:rPr>
        <w:t>Se abroga el Acuerdo de Delimitación Territorial de las unidades administrativas desconcentradas del Servicio de Administración Tributaria y su Anexo, publicado en el Diario Oficial de la Federación el 17 de noviembre de 2015."</w:t>
      </w:r>
    </w:p>
    <w:p w:rsidR="008D6E2A" w:rsidRPr="008D6E2A" w:rsidRDefault="008D6E2A" w:rsidP="008D6E2A">
      <w:pPr>
        <w:jc w:val="both"/>
        <w:rPr>
          <w:rFonts w:ascii="Verdana" w:hAnsi="Verdana"/>
          <w:b/>
          <w:bCs/>
          <w:sz w:val="20"/>
          <w:szCs w:val="24"/>
        </w:rPr>
      </w:pPr>
      <w:r w:rsidRPr="008D6E2A">
        <w:rPr>
          <w:rFonts w:ascii="Verdana" w:hAnsi="Verdana"/>
          <w:b/>
          <w:bCs/>
          <w:sz w:val="20"/>
          <w:szCs w:val="24"/>
        </w:rPr>
        <w:t>TRANSITORIO</w:t>
      </w:r>
    </w:p>
    <w:p w:rsidR="008D6E2A" w:rsidRPr="008D6E2A" w:rsidRDefault="008D6E2A" w:rsidP="008D6E2A">
      <w:pPr>
        <w:jc w:val="both"/>
        <w:rPr>
          <w:rFonts w:ascii="Verdana" w:hAnsi="Verdana"/>
          <w:sz w:val="20"/>
          <w:szCs w:val="24"/>
        </w:rPr>
      </w:pPr>
      <w:r w:rsidRPr="008D6E2A">
        <w:rPr>
          <w:rFonts w:ascii="Verdana" w:hAnsi="Verdana"/>
          <w:b/>
          <w:bCs/>
          <w:sz w:val="20"/>
          <w:szCs w:val="24"/>
        </w:rPr>
        <w:t>Único. - </w:t>
      </w:r>
      <w:r w:rsidRPr="008D6E2A">
        <w:rPr>
          <w:rFonts w:ascii="Verdana" w:hAnsi="Verdana"/>
          <w:sz w:val="20"/>
          <w:szCs w:val="24"/>
        </w:rPr>
        <w:t>El presente Acuerdo entrará en vigor al día siguiente de su publicación en el Diario Oficial de la Federación.</w:t>
      </w:r>
    </w:p>
    <w:p w:rsidR="008D6E2A" w:rsidRPr="008D6E2A" w:rsidRDefault="008D6E2A" w:rsidP="008D6E2A">
      <w:pPr>
        <w:jc w:val="both"/>
        <w:rPr>
          <w:rFonts w:ascii="Verdana" w:hAnsi="Verdana"/>
          <w:sz w:val="20"/>
          <w:szCs w:val="24"/>
        </w:rPr>
      </w:pPr>
      <w:r w:rsidRPr="008D6E2A">
        <w:rPr>
          <w:rFonts w:ascii="Verdana" w:hAnsi="Verdana"/>
          <w:sz w:val="20"/>
          <w:szCs w:val="24"/>
        </w:rPr>
        <w:lastRenderedPageBreak/>
        <w:t>Atentamente</w:t>
      </w:r>
    </w:p>
    <w:p w:rsidR="008D6E2A" w:rsidRPr="008D6E2A" w:rsidRDefault="008D6E2A" w:rsidP="008D6E2A">
      <w:pPr>
        <w:jc w:val="both"/>
        <w:rPr>
          <w:rFonts w:ascii="Verdana" w:hAnsi="Verdana"/>
          <w:sz w:val="20"/>
          <w:szCs w:val="24"/>
        </w:rPr>
      </w:pPr>
      <w:r w:rsidRPr="008D6E2A">
        <w:rPr>
          <w:rFonts w:ascii="Verdana" w:hAnsi="Verdana"/>
          <w:sz w:val="20"/>
          <w:szCs w:val="24"/>
        </w:rPr>
        <w:t>Ciudad de México, 25 de septiembre de 2017.- En suplencia por ausencia del Jefe del Servicio de Administración Tributaria</w:t>
      </w:r>
      <w:r w:rsidRPr="008D6E2A">
        <w:rPr>
          <w:rFonts w:ascii="Verdana" w:hAnsi="Verdana"/>
          <w:b/>
          <w:bCs/>
          <w:sz w:val="20"/>
          <w:szCs w:val="24"/>
        </w:rPr>
        <w:t> </w:t>
      </w:r>
      <w:r w:rsidRPr="008D6E2A">
        <w:rPr>
          <w:rFonts w:ascii="Verdana" w:hAnsi="Verdana"/>
          <w:sz w:val="20"/>
          <w:szCs w:val="24"/>
        </w:rPr>
        <w:t>y con fundamento en el artículo cuarto, primer párrafo del Reglamento Interior del Servicio de Administración Tributaria vigente, firma el Administrador General Jurídico, </w:t>
      </w:r>
      <w:r w:rsidRPr="008D6E2A">
        <w:rPr>
          <w:rFonts w:ascii="Verdana" w:hAnsi="Verdana"/>
          <w:b/>
          <w:bCs/>
          <w:sz w:val="20"/>
          <w:szCs w:val="24"/>
        </w:rPr>
        <w:t>Jaime Eusebio Flores Carrasco</w:t>
      </w:r>
      <w:r w:rsidRPr="008D6E2A">
        <w:rPr>
          <w:rFonts w:ascii="Verdana" w:hAnsi="Verdana"/>
          <w:sz w:val="20"/>
          <w:szCs w:val="24"/>
        </w:rPr>
        <w:t>.- Rúbrica.</w:t>
      </w:r>
    </w:p>
    <w:p w:rsidR="008D6E2A" w:rsidRPr="008D6E2A" w:rsidRDefault="008D6E2A" w:rsidP="008D6E2A">
      <w:pPr>
        <w:jc w:val="both"/>
        <w:rPr>
          <w:rFonts w:ascii="Verdana" w:hAnsi="Verdana"/>
          <w:sz w:val="20"/>
          <w:szCs w:val="24"/>
        </w:rPr>
      </w:pPr>
      <w:bookmarkStart w:id="0" w:name="_GoBack"/>
      <w:bookmarkEnd w:id="0"/>
    </w:p>
    <w:sectPr w:rsidR="008D6E2A" w:rsidRPr="008D6E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99" w:rsidRDefault="00152599" w:rsidP="008D6E2A">
      <w:pPr>
        <w:spacing w:after="0" w:line="240" w:lineRule="auto"/>
      </w:pPr>
      <w:r>
        <w:separator/>
      </w:r>
    </w:p>
  </w:endnote>
  <w:endnote w:type="continuationSeparator" w:id="0">
    <w:p w:rsidR="00152599" w:rsidRDefault="00152599" w:rsidP="008D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99" w:rsidRDefault="00152599" w:rsidP="008D6E2A">
      <w:pPr>
        <w:spacing w:after="0" w:line="240" w:lineRule="auto"/>
      </w:pPr>
      <w:r>
        <w:separator/>
      </w:r>
    </w:p>
  </w:footnote>
  <w:footnote w:type="continuationSeparator" w:id="0">
    <w:p w:rsidR="00152599" w:rsidRDefault="00152599" w:rsidP="008D6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2A"/>
    <w:rsid w:val="00152599"/>
    <w:rsid w:val="002228FA"/>
    <w:rsid w:val="008D6E2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E2A"/>
  </w:style>
  <w:style w:type="paragraph" w:styleId="Piedepgina">
    <w:name w:val="footer"/>
    <w:basedOn w:val="Normal"/>
    <w:link w:val="PiedepginaCar"/>
    <w:uiPriority w:val="99"/>
    <w:unhideWhenUsed/>
    <w:rsid w:val="008D6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E2A"/>
  </w:style>
  <w:style w:type="paragraph" w:styleId="Piedepgina">
    <w:name w:val="footer"/>
    <w:basedOn w:val="Normal"/>
    <w:link w:val="PiedepginaCar"/>
    <w:uiPriority w:val="99"/>
    <w:unhideWhenUsed/>
    <w:rsid w:val="008D6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0164">
      <w:bodyDiv w:val="1"/>
      <w:marLeft w:val="0"/>
      <w:marRight w:val="0"/>
      <w:marTop w:val="0"/>
      <w:marBottom w:val="0"/>
      <w:divBdr>
        <w:top w:val="none" w:sz="0" w:space="0" w:color="auto"/>
        <w:left w:val="none" w:sz="0" w:space="0" w:color="auto"/>
        <w:bottom w:val="none" w:sz="0" w:space="0" w:color="auto"/>
        <w:right w:val="none" w:sz="0" w:space="0" w:color="auto"/>
      </w:divBdr>
      <w:divsChild>
        <w:div w:id="1399593630">
          <w:marLeft w:val="0"/>
          <w:marRight w:val="0"/>
          <w:marTop w:val="0"/>
          <w:marBottom w:val="101"/>
          <w:divBdr>
            <w:top w:val="none" w:sz="0" w:space="0" w:color="auto"/>
            <w:left w:val="none" w:sz="0" w:space="0" w:color="auto"/>
            <w:bottom w:val="none" w:sz="0" w:space="0" w:color="auto"/>
            <w:right w:val="none" w:sz="0" w:space="0" w:color="auto"/>
          </w:divBdr>
        </w:div>
        <w:div w:id="901331320">
          <w:marLeft w:val="0"/>
          <w:marRight w:val="0"/>
          <w:marTop w:val="101"/>
          <w:marBottom w:val="101"/>
          <w:divBdr>
            <w:top w:val="none" w:sz="0" w:space="0" w:color="auto"/>
            <w:left w:val="none" w:sz="0" w:space="0" w:color="auto"/>
            <w:bottom w:val="none" w:sz="0" w:space="0" w:color="auto"/>
            <w:right w:val="none" w:sz="0" w:space="0" w:color="auto"/>
          </w:divBdr>
        </w:div>
        <w:div w:id="1550921690">
          <w:marLeft w:val="0"/>
          <w:marRight w:val="0"/>
          <w:marTop w:val="0"/>
          <w:marBottom w:val="101"/>
          <w:divBdr>
            <w:top w:val="none" w:sz="0" w:space="0" w:color="auto"/>
            <w:left w:val="none" w:sz="0" w:space="0" w:color="auto"/>
            <w:bottom w:val="none" w:sz="0" w:space="0" w:color="auto"/>
            <w:right w:val="none" w:sz="0" w:space="0" w:color="auto"/>
          </w:divBdr>
        </w:div>
        <w:div w:id="1487472883">
          <w:marLeft w:val="0"/>
          <w:marRight w:val="0"/>
          <w:marTop w:val="101"/>
          <w:marBottom w:val="101"/>
          <w:divBdr>
            <w:top w:val="none" w:sz="0" w:space="0" w:color="auto"/>
            <w:left w:val="none" w:sz="0" w:space="0" w:color="auto"/>
            <w:bottom w:val="none" w:sz="0" w:space="0" w:color="auto"/>
            <w:right w:val="none" w:sz="0" w:space="0" w:color="auto"/>
          </w:divBdr>
        </w:div>
        <w:div w:id="1486582255">
          <w:marLeft w:val="0"/>
          <w:marRight w:val="0"/>
          <w:marTop w:val="0"/>
          <w:marBottom w:val="101"/>
          <w:divBdr>
            <w:top w:val="none" w:sz="0" w:space="0" w:color="auto"/>
            <w:left w:val="none" w:sz="0" w:space="0" w:color="auto"/>
            <w:bottom w:val="none" w:sz="0" w:space="0" w:color="auto"/>
            <w:right w:val="none" w:sz="0" w:space="0" w:color="auto"/>
          </w:divBdr>
        </w:div>
        <w:div w:id="281039891">
          <w:marLeft w:val="0"/>
          <w:marRight w:val="0"/>
          <w:marTop w:val="101"/>
          <w:marBottom w:val="101"/>
          <w:divBdr>
            <w:top w:val="none" w:sz="0" w:space="0" w:color="auto"/>
            <w:left w:val="none" w:sz="0" w:space="0" w:color="auto"/>
            <w:bottom w:val="none" w:sz="0" w:space="0" w:color="auto"/>
            <w:right w:val="none" w:sz="0" w:space="0" w:color="auto"/>
          </w:divBdr>
        </w:div>
        <w:div w:id="1846901878">
          <w:marLeft w:val="0"/>
          <w:marRight w:val="0"/>
          <w:marTop w:val="0"/>
          <w:marBottom w:val="101"/>
          <w:divBdr>
            <w:top w:val="none" w:sz="0" w:space="0" w:color="auto"/>
            <w:left w:val="none" w:sz="0" w:space="0" w:color="auto"/>
            <w:bottom w:val="none" w:sz="0" w:space="0" w:color="auto"/>
            <w:right w:val="none" w:sz="0" w:space="0" w:color="auto"/>
          </w:divBdr>
        </w:div>
        <w:div w:id="1562715026">
          <w:marLeft w:val="0"/>
          <w:marRight w:val="0"/>
          <w:marTop w:val="0"/>
          <w:marBottom w:val="101"/>
          <w:divBdr>
            <w:top w:val="none" w:sz="0" w:space="0" w:color="auto"/>
            <w:left w:val="none" w:sz="0" w:space="0" w:color="auto"/>
            <w:bottom w:val="none" w:sz="0" w:space="0" w:color="auto"/>
            <w:right w:val="none" w:sz="0" w:space="0" w:color="auto"/>
          </w:divBdr>
        </w:div>
        <w:div w:id="811291928">
          <w:marLeft w:val="0"/>
          <w:marRight w:val="0"/>
          <w:marTop w:val="0"/>
          <w:marBottom w:val="101"/>
          <w:divBdr>
            <w:top w:val="none" w:sz="0" w:space="0" w:color="auto"/>
            <w:left w:val="none" w:sz="0" w:space="0" w:color="auto"/>
            <w:bottom w:val="none" w:sz="0" w:space="0" w:color="auto"/>
            <w:right w:val="none" w:sz="0" w:space="0" w:color="auto"/>
          </w:divBdr>
        </w:div>
      </w:divsChild>
    </w:div>
    <w:div w:id="620459348">
      <w:bodyDiv w:val="1"/>
      <w:marLeft w:val="0"/>
      <w:marRight w:val="0"/>
      <w:marTop w:val="0"/>
      <w:marBottom w:val="0"/>
      <w:divBdr>
        <w:top w:val="none" w:sz="0" w:space="0" w:color="auto"/>
        <w:left w:val="none" w:sz="0" w:space="0" w:color="auto"/>
        <w:bottom w:val="none" w:sz="0" w:space="0" w:color="auto"/>
        <w:right w:val="none" w:sz="0" w:space="0" w:color="auto"/>
      </w:divBdr>
    </w:div>
    <w:div w:id="685594539">
      <w:bodyDiv w:val="1"/>
      <w:marLeft w:val="0"/>
      <w:marRight w:val="0"/>
      <w:marTop w:val="0"/>
      <w:marBottom w:val="0"/>
      <w:divBdr>
        <w:top w:val="none" w:sz="0" w:space="0" w:color="auto"/>
        <w:left w:val="none" w:sz="0" w:space="0" w:color="auto"/>
        <w:bottom w:val="none" w:sz="0" w:space="0" w:color="auto"/>
        <w:right w:val="none" w:sz="0" w:space="0" w:color="auto"/>
      </w:divBdr>
    </w:div>
    <w:div w:id="1001931133">
      <w:bodyDiv w:val="1"/>
      <w:marLeft w:val="0"/>
      <w:marRight w:val="0"/>
      <w:marTop w:val="0"/>
      <w:marBottom w:val="0"/>
      <w:divBdr>
        <w:top w:val="none" w:sz="0" w:space="0" w:color="auto"/>
        <w:left w:val="none" w:sz="0" w:space="0" w:color="auto"/>
        <w:bottom w:val="none" w:sz="0" w:space="0" w:color="auto"/>
        <w:right w:val="none" w:sz="0" w:space="0" w:color="auto"/>
      </w:divBdr>
      <w:divsChild>
        <w:div w:id="952054419">
          <w:marLeft w:val="0"/>
          <w:marRight w:val="0"/>
          <w:marTop w:val="0"/>
          <w:marBottom w:val="101"/>
          <w:divBdr>
            <w:top w:val="none" w:sz="0" w:space="0" w:color="auto"/>
            <w:left w:val="none" w:sz="0" w:space="0" w:color="auto"/>
            <w:bottom w:val="none" w:sz="0" w:space="0" w:color="auto"/>
            <w:right w:val="none" w:sz="0" w:space="0" w:color="auto"/>
          </w:divBdr>
        </w:div>
        <w:div w:id="1533808635">
          <w:marLeft w:val="0"/>
          <w:marRight w:val="0"/>
          <w:marTop w:val="101"/>
          <w:marBottom w:val="101"/>
          <w:divBdr>
            <w:top w:val="none" w:sz="0" w:space="0" w:color="auto"/>
            <w:left w:val="none" w:sz="0" w:space="0" w:color="auto"/>
            <w:bottom w:val="none" w:sz="0" w:space="0" w:color="auto"/>
            <w:right w:val="none" w:sz="0" w:space="0" w:color="auto"/>
          </w:divBdr>
        </w:div>
        <w:div w:id="733703724">
          <w:marLeft w:val="0"/>
          <w:marRight w:val="0"/>
          <w:marTop w:val="0"/>
          <w:marBottom w:val="101"/>
          <w:divBdr>
            <w:top w:val="none" w:sz="0" w:space="0" w:color="auto"/>
            <w:left w:val="none" w:sz="0" w:space="0" w:color="auto"/>
            <w:bottom w:val="none" w:sz="0" w:space="0" w:color="auto"/>
            <w:right w:val="none" w:sz="0" w:space="0" w:color="auto"/>
          </w:divBdr>
        </w:div>
        <w:div w:id="661667662">
          <w:marLeft w:val="0"/>
          <w:marRight w:val="0"/>
          <w:marTop w:val="101"/>
          <w:marBottom w:val="101"/>
          <w:divBdr>
            <w:top w:val="none" w:sz="0" w:space="0" w:color="auto"/>
            <w:left w:val="none" w:sz="0" w:space="0" w:color="auto"/>
            <w:bottom w:val="none" w:sz="0" w:space="0" w:color="auto"/>
            <w:right w:val="none" w:sz="0" w:space="0" w:color="auto"/>
          </w:divBdr>
        </w:div>
        <w:div w:id="607591878">
          <w:marLeft w:val="0"/>
          <w:marRight w:val="0"/>
          <w:marTop w:val="0"/>
          <w:marBottom w:val="101"/>
          <w:divBdr>
            <w:top w:val="none" w:sz="0" w:space="0" w:color="auto"/>
            <w:left w:val="none" w:sz="0" w:space="0" w:color="auto"/>
            <w:bottom w:val="none" w:sz="0" w:space="0" w:color="auto"/>
            <w:right w:val="none" w:sz="0" w:space="0" w:color="auto"/>
          </w:divBdr>
        </w:div>
        <w:div w:id="1365474778">
          <w:marLeft w:val="0"/>
          <w:marRight w:val="0"/>
          <w:marTop w:val="101"/>
          <w:marBottom w:val="101"/>
          <w:divBdr>
            <w:top w:val="none" w:sz="0" w:space="0" w:color="auto"/>
            <w:left w:val="none" w:sz="0" w:space="0" w:color="auto"/>
            <w:bottom w:val="none" w:sz="0" w:space="0" w:color="auto"/>
            <w:right w:val="none" w:sz="0" w:space="0" w:color="auto"/>
          </w:divBdr>
        </w:div>
        <w:div w:id="1241259770">
          <w:marLeft w:val="0"/>
          <w:marRight w:val="0"/>
          <w:marTop w:val="0"/>
          <w:marBottom w:val="101"/>
          <w:divBdr>
            <w:top w:val="none" w:sz="0" w:space="0" w:color="auto"/>
            <w:left w:val="none" w:sz="0" w:space="0" w:color="auto"/>
            <w:bottom w:val="none" w:sz="0" w:space="0" w:color="auto"/>
            <w:right w:val="none" w:sz="0" w:space="0" w:color="auto"/>
          </w:divBdr>
        </w:div>
        <w:div w:id="2094080179">
          <w:marLeft w:val="0"/>
          <w:marRight w:val="0"/>
          <w:marTop w:val="0"/>
          <w:marBottom w:val="101"/>
          <w:divBdr>
            <w:top w:val="none" w:sz="0" w:space="0" w:color="auto"/>
            <w:left w:val="none" w:sz="0" w:space="0" w:color="auto"/>
            <w:bottom w:val="none" w:sz="0" w:space="0" w:color="auto"/>
            <w:right w:val="none" w:sz="0" w:space="0" w:color="auto"/>
          </w:divBdr>
        </w:div>
        <w:div w:id="133643430">
          <w:marLeft w:val="0"/>
          <w:marRight w:val="0"/>
          <w:marTop w:val="0"/>
          <w:marBottom w:val="101"/>
          <w:divBdr>
            <w:top w:val="none" w:sz="0" w:space="0" w:color="auto"/>
            <w:left w:val="none" w:sz="0" w:space="0" w:color="auto"/>
            <w:bottom w:val="none" w:sz="0" w:space="0" w:color="auto"/>
            <w:right w:val="none" w:sz="0" w:space="0" w:color="auto"/>
          </w:divBdr>
        </w:div>
      </w:divsChild>
    </w:div>
    <w:div w:id="1506630604">
      <w:bodyDiv w:val="1"/>
      <w:marLeft w:val="0"/>
      <w:marRight w:val="0"/>
      <w:marTop w:val="0"/>
      <w:marBottom w:val="0"/>
      <w:divBdr>
        <w:top w:val="none" w:sz="0" w:space="0" w:color="auto"/>
        <w:left w:val="none" w:sz="0" w:space="0" w:color="auto"/>
        <w:bottom w:val="none" w:sz="0" w:space="0" w:color="auto"/>
        <w:right w:val="none" w:sz="0" w:space="0" w:color="auto"/>
      </w:divBdr>
      <w:divsChild>
        <w:div w:id="1931158651">
          <w:marLeft w:val="0"/>
          <w:marRight w:val="0"/>
          <w:marTop w:val="0"/>
          <w:marBottom w:val="101"/>
          <w:divBdr>
            <w:top w:val="none" w:sz="0" w:space="0" w:color="auto"/>
            <w:left w:val="none" w:sz="0" w:space="0" w:color="auto"/>
            <w:bottom w:val="none" w:sz="0" w:space="0" w:color="auto"/>
            <w:right w:val="none" w:sz="0" w:space="0" w:color="auto"/>
          </w:divBdr>
        </w:div>
        <w:div w:id="503008049">
          <w:marLeft w:val="0"/>
          <w:marRight w:val="0"/>
          <w:marTop w:val="101"/>
          <w:marBottom w:val="101"/>
          <w:divBdr>
            <w:top w:val="none" w:sz="0" w:space="0" w:color="auto"/>
            <w:left w:val="none" w:sz="0" w:space="0" w:color="auto"/>
            <w:bottom w:val="none" w:sz="0" w:space="0" w:color="auto"/>
            <w:right w:val="none" w:sz="0" w:space="0" w:color="auto"/>
          </w:divBdr>
        </w:div>
        <w:div w:id="950360053">
          <w:marLeft w:val="0"/>
          <w:marRight w:val="0"/>
          <w:marTop w:val="0"/>
          <w:marBottom w:val="101"/>
          <w:divBdr>
            <w:top w:val="none" w:sz="0" w:space="0" w:color="auto"/>
            <w:left w:val="none" w:sz="0" w:space="0" w:color="auto"/>
            <w:bottom w:val="none" w:sz="0" w:space="0" w:color="auto"/>
            <w:right w:val="none" w:sz="0" w:space="0" w:color="auto"/>
          </w:divBdr>
        </w:div>
        <w:div w:id="115874521">
          <w:marLeft w:val="0"/>
          <w:marRight w:val="0"/>
          <w:marTop w:val="101"/>
          <w:marBottom w:val="101"/>
          <w:divBdr>
            <w:top w:val="none" w:sz="0" w:space="0" w:color="auto"/>
            <w:left w:val="none" w:sz="0" w:space="0" w:color="auto"/>
            <w:bottom w:val="none" w:sz="0" w:space="0" w:color="auto"/>
            <w:right w:val="none" w:sz="0" w:space="0" w:color="auto"/>
          </w:divBdr>
        </w:div>
        <w:div w:id="54084754">
          <w:marLeft w:val="0"/>
          <w:marRight w:val="0"/>
          <w:marTop w:val="0"/>
          <w:marBottom w:val="101"/>
          <w:divBdr>
            <w:top w:val="none" w:sz="0" w:space="0" w:color="auto"/>
            <w:left w:val="none" w:sz="0" w:space="0" w:color="auto"/>
            <w:bottom w:val="none" w:sz="0" w:space="0" w:color="auto"/>
            <w:right w:val="none" w:sz="0" w:space="0" w:color="auto"/>
          </w:divBdr>
        </w:div>
        <w:div w:id="756512017">
          <w:marLeft w:val="0"/>
          <w:marRight w:val="0"/>
          <w:marTop w:val="101"/>
          <w:marBottom w:val="101"/>
          <w:divBdr>
            <w:top w:val="none" w:sz="0" w:space="0" w:color="auto"/>
            <w:left w:val="none" w:sz="0" w:space="0" w:color="auto"/>
            <w:bottom w:val="none" w:sz="0" w:space="0" w:color="auto"/>
            <w:right w:val="none" w:sz="0" w:space="0" w:color="auto"/>
          </w:divBdr>
        </w:div>
        <w:div w:id="904922744">
          <w:marLeft w:val="0"/>
          <w:marRight w:val="0"/>
          <w:marTop w:val="0"/>
          <w:marBottom w:val="101"/>
          <w:divBdr>
            <w:top w:val="none" w:sz="0" w:space="0" w:color="auto"/>
            <w:left w:val="none" w:sz="0" w:space="0" w:color="auto"/>
            <w:bottom w:val="none" w:sz="0" w:space="0" w:color="auto"/>
            <w:right w:val="none" w:sz="0" w:space="0" w:color="auto"/>
          </w:divBdr>
        </w:div>
        <w:div w:id="952133523">
          <w:marLeft w:val="0"/>
          <w:marRight w:val="0"/>
          <w:marTop w:val="0"/>
          <w:marBottom w:val="101"/>
          <w:divBdr>
            <w:top w:val="none" w:sz="0" w:space="0" w:color="auto"/>
            <w:left w:val="none" w:sz="0" w:space="0" w:color="auto"/>
            <w:bottom w:val="none" w:sz="0" w:space="0" w:color="auto"/>
            <w:right w:val="none" w:sz="0" w:space="0" w:color="auto"/>
          </w:divBdr>
        </w:div>
        <w:div w:id="411851074">
          <w:marLeft w:val="0"/>
          <w:marRight w:val="0"/>
          <w:marTop w:val="0"/>
          <w:marBottom w:val="101"/>
          <w:divBdr>
            <w:top w:val="none" w:sz="0" w:space="0" w:color="auto"/>
            <w:left w:val="none" w:sz="0" w:space="0" w:color="auto"/>
            <w:bottom w:val="none" w:sz="0" w:space="0" w:color="auto"/>
            <w:right w:val="none" w:sz="0" w:space="0" w:color="auto"/>
          </w:divBdr>
        </w:div>
      </w:divsChild>
    </w:div>
    <w:div w:id="1662730417">
      <w:bodyDiv w:val="1"/>
      <w:marLeft w:val="0"/>
      <w:marRight w:val="0"/>
      <w:marTop w:val="0"/>
      <w:marBottom w:val="0"/>
      <w:divBdr>
        <w:top w:val="none" w:sz="0" w:space="0" w:color="auto"/>
        <w:left w:val="none" w:sz="0" w:space="0" w:color="auto"/>
        <w:bottom w:val="none" w:sz="0" w:space="0" w:color="auto"/>
        <w:right w:val="none" w:sz="0" w:space="0" w:color="auto"/>
      </w:divBdr>
      <w:divsChild>
        <w:div w:id="90126222">
          <w:marLeft w:val="0"/>
          <w:marRight w:val="0"/>
          <w:marTop w:val="0"/>
          <w:marBottom w:val="101"/>
          <w:divBdr>
            <w:top w:val="none" w:sz="0" w:space="0" w:color="auto"/>
            <w:left w:val="none" w:sz="0" w:space="0" w:color="auto"/>
            <w:bottom w:val="none" w:sz="0" w:space="0" w:color="auto"/>
            <w:right w:val="none" w:sz="0" w:space="0" w:color="auto"/>
          </w:divBdr>
        </w:div>
        <w:div w:id="1643922027">
          <w:marLeft w:val="0"/>
          <w:marRight w:val="0"/>
          <w:marTop w:val="101"/>
          <w:marBottom w:val="101"/>
          <w:divBdr>
            <w:top w:val="none" w:sz="0" w:space="0" w:color="auto"/>
            <w:left w:val="none" w:sz="0" w:space="0" w:color="auto"/>
            <w:bottom w:val="none" w:sz="0" w:space="0" w:color="auto"/>
            <w:right w:val="none" w:sz="0" w:space="0" w:color="auto"/>
          </w:divBdr>
        </w:div>
        <w:div w:id="565725103">
          <w:marLeft w:val="0"/>
          <w:marRight w:val="0"/>
          <w:marTop w:val="0"/>
          <w:marBottom w:val="101"/>
          <w:divBdr>
            <w:top w:val="none" w:sz="0" w:space="0" w:color="auto"/>
            <w:left w:val="none" w:sz="0" w:space="0" w:color="auto"/>
            <w:bottom w:val="none" w:sz="0" w:space="0" w:color="auto"/>
            <w:right w:val="none" w:sz="0" w:space="0" w:color="auto"/>
          </w:divBdr>
        </w:div>
        <w:div w:id="868494403">
          <w:marLeft w:val="0"/>
          <w:marRight w:val="0"/>
          <w:marTop w:val="101"/>
          <w:marBottom w:val="101"/>
          <w:divBdr>
            <w:top w:val="none" w:sz="0" w:space="0" w:color="auto"/>
            <w:left w:val="none" w:sz="0" w:space="0" w:color="auto"/>
            <w:bottom w:val="none" w:sz="0" w:space="0" w:color="auto"/>
            <w:right w:val="none" w:sz="0" w:space="0" w:color="auto"/>
          </w:divBdr>
        </w:div>
        <w:div w:id="605892395">
          <w:marLeft w:val="0"/>
          <w:marRight w:val="0"/>
          <w:marTop w:val="0"/>
          <w:marBottom w:val="101"/>
          <w:divBdr>
            <w:top w:val="none" w:sz="0" w:space="0" w:color="auto"/>
            <w:left w:val="none" w:sz="0" w:space="0" w:color="auto"/>
            <w:bottom w:val="none" w:sz="0" w:space="0" w:color="auto"/>
            <w:right w:val="none" w:sz="0" w:space="0" w:color="auto"/>
          </w:divBdr>
        </w:div>
        <w:div w:id="652494050">
          <w:marLeft w:val="0"/>
          <w:marRight w:val="0"/>
          <w:marTop w:val="101"/>
          <w:marBottom w:val="101"/>
          <w:divBdr>
            <w:top w:val="none" w:sz="0" w:space="0" w:color="auto"/>
            <w:left w:val="none" w:sz="0" w:space="0" w:color="auto"/>
            <w:bottom w:val="none" w:sz="0" w:space="0" w:color="auto"/>
            <w:right w:val="none" w:sz="0" w:space="0" w:color="auto"/>
          </w:divBdr>
        </w:div>
        <w:div w:id="689180672">
          <w:marLeft w:val="0"/>
          <w:marRight w:val="0"/>
          <w:marTop w:val="0"/>
          <w:marBottom w:val="101"/>
          <w:divBdr>
            <w:top w:val="none" w:sz="0" w:space="0" w:color="auto"/>
            <w:left w:val="none" w:sz="0" w:space="0" w:color="auto"/>
            <w:bottom w:val="none" w:sz="0" w:space="0" w:color="auto"/>
            <w:right w:val="none" w:sz="0" w:space="0" w:color="auto"/>
          </w:divBdr>
        </w:div>
        <w:div w:id="1764061388">
          <w:marLeft w:val="0"/>
          <w:marRight w:val="0"/>
          <w:marTop w:val="0"/>
          <w:marBottom w:val="101"/>
          <w:divBdr>
            <w:top w:val="none" w:sz="0" w:space="0" w:color="auto"/>
            <w:left w:val="none" w:sz="0" w:space="0" w:color="auto"/>
            <w:bottom w:val="none" w:sz="0" w:space="0" w:color="auto"/>
            <w:right w:val="none" w:sz="0" w:space="0" w:color="auto"/>
          </w:divBdr>
        </w:div>
        <w:div w:id="21068049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2017-10-17T14:26:00Z</dcterms:created>
  <dcterms:modified xsi:type="dcterms:W3CDTF">2017-10-17T14:32:00Z</dcterms:modified>
</cp:coreProperties>
</file>