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D9B" w:rsidRDefault="005C2D9B" w:rsidP="005C2D9B">
      <w:pPr>
        <w:jc w:val="center"/>
        <w:rPr>
          <w:rFonts w:ascii="Verdana" w:eastAsia="Verdana" w:hAnsi="Verdana" w:cs="Verdana"/>
          <w:b/>
          <w:color w:val="0000FF"/>
          <w:sz w:val="24"/>
          <w:szCs w:val="24"/>
        </w:rPr>
      </w:pPr>
      <w:r w:rsidRPr="005C2D9B">
        <w:rPr>
          <w:rFonts w:ascii="Verdana" w:eastAsia="Verdana" w:hAnsi="Verdana" w:cs="Verdana"/>
          <w:b/>
          <w:color w:val="0000FF"/>
          <w:sz w:val="24"/>
          <w:szCs w:val="24"/>
        </w:rPr>
        <w:t>RESOLUCIÓN que modifica las Disposiciones de carácter general aplicables a los fondos de inversión y a las personas que les prestan servicios.</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15</w:t>
      </w:r>
      <w:r>
        <w:rPr>
          <w:rFonts w:ascii="Verdana" w:eastAsia="Verdana" w:hAnsi="Verdana" w:cs="Verdana"/>
          <w:b/>
          <w:color w:val="0000FF"/>
          <w:sz w:val="24"/>
          <w:szCs w:val="24"/>
        </w:rPr>
        <w:t xml:space="preserve"> de diciembre</w:t>
      </w:r>
      <w:r w:rsidRPr="00575D6A">
        <w:rPr>
          <w:rFonts w:ascii="Verdana" w:eastAsia="Verdana" w:hAnsi="Verdana" w:cs="Verdana"/>
          <w:b/>
          <w:color w:val="0000FF"/>
          <w:sz w:val="24"/>
          <w:szCs w:val="24"/>
        </w:rPr>
        <w:t xml:space="preserve"> de 2021</w:t>
      </w:r>
      <w:bookmarkEnd w:id="0"/>
      <w:r w:rsidRPr="00575D6A">
        <w:rPr>
          <w:rFonts w:ascii="Verdana" w:eastAsia="Verdana" w:hAnsi="Verdana" w:cs="Verdana"/>
          <w:b/>
          <w:color w:val="0000FF"/>
          <w:sz w:val="24"/>
          <w:szCs w:val="24"/>
        </w:rPr>
        <w:t>)</w:t>
      </w:r>
    </w:p>
    <w:p w:rsidR="00B32171" w:rsidRDefault="005C2D9B" w:rsidP="005C2D9B">
      <w:pPr>
        <w:jc w:val="both"/>
        <w:rPr>
          <w:rFonts w:ascii="Arial" w:hAnsi="Arial" w:cs="Arial"/>
          <w:b/>
          <w:color w:val="262626" w:themeColor="text1" w:themeTint="D9"/>
          <w:sz w:val="18"/>
        </w:rPr>
      </w:pPr>
      <w:r w:rsidRPr="005C2D9B">
        <w:rPr>
          <w:rFonts w:ascii="Arial" w:hAnsi="Arial" w:cs="Arial"/>
          <w:b/>
          <w:color w:val="262626" w:themeColor="text1" w:themeTint="D9"/>
          <w:sz w:val="18"/>
        </w:rPr>
        <w:t>Al margen un sello con el Escudo Nacional, que dice: Estados Unidos Mexicanos.- HACIENDA.- Secretaría de Hacienda y Crédito Público.- Comisión Nacional Bancaria y de Valores.</w:t>
      </w:r>
    </w:p>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La Comisión Nacional Bancaria y de Valores, con fundamento en los artículos 76, primer párrafo de la Ley de Fondos de Inversión; 98 Bis de la Ley de Instituciones de Crédito, así como 4, fracciones III, V, XXXVI y XXXVIII y 16, fracción I de la Ley de la Comisión Nacional Bancaria y de Valores, y</w:t>
      </w:r>
    </w:p>
    <w:p w:rsidR="005C2D9B" w:rsidRPr="005C2D9B" w:rsidRDefault="005C2D9B" w:rsidP="005C2D9B">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C2D9B">
        <w:rPr>
          <w:rFonts w:ascii="Times" w:eastAsia="Times New Roman" w:hAnsi="Times" w:cs="Times"/>
          <w:b/>
          <w:bCs/>
          <w:color w:val="2F2F2F"/>
          <w:sz w:val="18"/>
          <w:szCs w:val="18"/>
          <w:lang w:eastAsia="es-MX"/>
        </w:rPr>
        <w:t>CONSIDERANDO</w:t>
      </w:r>
    </w:p>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Que, en atención al artículo 78 de la Ley General de Mejora Regulatoria y con la finalidad de reducir el costo de cumplimiento de la presente Resolución, la Comisión Nacional Bancaria y de Valores mediante resolución publicada en el Diario Oficial de la Federación el 26 de diciembre de 2017, reformó las "Disposiciones de carácter general aplicables a las instituciones de crédito", con el objeto de otorgar una extensión al plazo al que se encontraban sujetas las instituciones de banca múltiple para constituir sus requerimientos de capital por riesgo operacional;</w:t>
      </w:r>
    </w:p>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Que, en términos de los criterios contables vigentes la Comisión Nacional Bancaria y de Valores instruye a las entidades sujetas a su regulación, a que el tipo de cambio a utilizar para establecer la equivalencia de la moneda nacional con el dólar de los Estados Unidos de América, sea el tipo de cambio FIX </w:t>
      </w:r>
      <w:r w:rsidRPr="005C2D9B">
        <w:rPr>
          <w:rFonts w:ascii="Arial" w:eastAsia="Times New Roman" w:hAnsi="Arial" w:cs="Arial"/>
          <w:i/>
          <w:iCs/>
          <w:color w:val="2F2F2F"/>
          <w:sz w:val="18"/>
          <w:szCs w:val="18"/>
          <w:lang w:eastAsia="es-MX"/>
        </w:rPr>
        <w:t>(</w:t>
      </w:r>
      <w:proofErr w:type="spellStart"/>
      <w:r w:rsidRPr="005C2D9B">
        <w:rPr>
          <w:rFonts w:ascii="Arial" w:eastAsia="Times New Roman" w:hAnsi="Arial" w:cs="Arial"/>
          <w:i/>
          <w:iCs/>
          <w:color w:val="2F2F2F"/>
          <w:sz w:val="18"/>
          <w:szCs w:val="18"/>
          <w:lang w:eastAsia="es-MX"/>
        </w:rPr>
        <w:t>Fixed</w:t>
      </w:r>
      <w:proofErr w:type="spellEnd"/>
      <w:r w:rsidRPr="005C2D9B">
        <w:rPr>
          <w:rFonts w:ascii="Arial" w:eastAsia="Times New Roman" w:hAnsi="Arial" w:cs="Arial"/>
          <w:i/>
          <w:iCs/>
          <w:color w:val="2F2F2F"/>
          <w:sz w:val="18"/>
          <w:szCs w:val="18"/>
          <w:lang w:eastAsia="es-MX"/>
        </w:rPr>
        <w:t xml:space="preserve"> Exchange </w:t>
      </w:r>
      <w:proofErr w:type="spellStart"/>
      <w:r w:rsidRPr="005C2D9B">
        <w:rPr>
          <w:rFonts w:ascii="Arial" w:eastAsia="Times New Roman" w:hAnsi="Arial" w:cs="Arial"/>
          <w:i/>
          <w:iCs/>
          <w:color w:val="2F2F2F"/>
          <w:sz w:val="18"/>
          <w:szCs w:val="18"/>
          <w:lang w:eastAsia="es-MX"/>
        </w:rPr>
        <w:t>Rate</w:t>
      </w:r>
      <w:proofErr w:type="spellEnd"/>
      <w:r w:rsidRPr="005C2D9B">
        <w:rPr>
          <w:rFonts w:ascii="Arial" w:eastAsia="Times New Roman" w:hAnsi="Arial" w:cs="Arial"/>
          <w:i/>
          <w:iCs/>
          <w:color w:val="2F2F2F"/>
          <w:sz w:val="18"/>
          <w:szCs w:val="18"/>
          <w:lang w:eastAsia="es-MX"/>
        </w:rPr>
        <w:t>)</w:t>
      </w:r>
      <w:r w:rsidRPr="005C2D9B">
        <w:rPr>
          <w:rFonts w:ascii="Arial" w:eastAsia="Times New Roman" w:hAnsi="Arial" w:cs="Arial"/>
          <w:color w:val="2F2F2F"/>
          <w:sz w:val="18"/>
          <w:szCs w:val="18"/>
          <w:lang w:eastAsia="es-MX"/>
        </w:rPr>
        <w:t> publicado por el Banco de México en el Diario Oficial de la Federación, situación que permite mantener criterios uniformes entre dichas entidades;</w:t>
      </w:r>
    </w:p>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Que el tipo de cambio FIX es determinado por el Banco de México con base en un promedio de cotizaciones del mercado de cambios al mayoreo para operaciones liquidables el segundo día hábil bancario siguiente y que son obtenidas de plataformas de transacción cambiaria y otros medios electrónicos con representatividad en el mercado de cambios. El Banco de México da a conocer el FIX a partir de las 12:00 horas de todos los días hábiles bancarios, se publica en el Diario Oficial de la Federación un día hábil bancario después de la fecha de determinación y es utilizado para solventar obligaciones denominadas en dólares liquidables en la República Mexicana al día siguiente de la publicación en dicho medio de difusión;</w:t>
      </w:r>
    </w:p>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Que, derivado del tiempo que existe entre los horarios establecidos para la toma de muestras usadas para la determinación del tipo de cambio FIX de conformidad con la normatividad aplicable emitida por el Banco de México (de las 9:00:00 a las 9:59:00 horas; de las 10:00:00 a las 10:59:00 horas, y de las 11:00:00 a las 12:00:00 horas) y el valor del tipo de cambio al cierre de la jornada de operación utilizado por las entidades para cerrar sus operaciones (14:00 horas), se presentan diferencias entre el tipo de cambio para efectos del reconocimiento en la información financiera y los tipos de cambio utilizados en las áreas de tesorería, y</w:t>
      </w:r>
    </w:p>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Que, en atención a lo anterior, es necesario utilizar un tipo de cambio publicado por el Banco de México que considere una ventana de muestra más amplia a fin de ser consistente con el cierre de la jornada de operación, por lo que ha resuelto expedir la siguiente:</w:t>
      </w:r>
    </w:p>
    <w:p w:rsidR="005C2D9B" w:rsidRPr="005C2D9B" w:rsidRDefault="005C2D9B" w:rsidP="005C2D9B">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C2D9B">
        <w:rPr>
          <w:rFonts w:ascii="Times" w:eastAsia="Times New Roman" w:hAnsi="Times" w:cs="Times"/>
          <w:b/>
          <w:bCs/>
          <w:color w:val="2F2F2F"/>
          <w:sz w:val="18"/>
          <w:szCs w:val="18"/>
          <w:lang w:eastAsia="es-MX"/>
        </w:rPr>
        <w:t>RESOLUCIÓN QUE MODIFICA LAS DISPOSICIONES DE CARÁCTER GENERAL APLICABLES A LOS</w:t>
      </w:r>
      <w:r w:rsidRPr="005C2D9B">
        <w:rPr>
          <w:rFonts w:ascii="Times New Roman" w:eastAsia="Times New Roman" w:hAnsi="Times New Roman" w:cs="Times New Roman"/>
          <w:b/>
          <w:bCs/>
          <w:color w:val="2F2F2F"/>
          <w:sz w:val="18"/>
          <w:szCs w:val="18"/>
          <w:lang w:eastAsia="es-MX"/>
        </w:rPr>
        <w:br/>
      </w:r>
      <w:r w:rsidRPr="005C2D9B">
        <w:rPr>
          <w:rFonts w:ascii="Times" w:eastAsia="Times New Roman" w:hAnsi="Times" w:cs="Times"/>
          <w:b/>
          <w:bCs/>
          <w:color w:val="2F2F2F"/>
          <w:sz w:val="18"/>
          <w:szCs w:val="18"/>
          <w:lang w:eastAsia="es-MX"/>
        </w:rPr>
        <w:t>FONDOS DE INVERSIÓN Y A LAS PERSONAS QUE LES PRESTAN SERVICIOS</w:t>
      </w:r>
    </w:p>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ÚNICO.- </w:t>
      </w:r>
      <w:r w:rsidRPr="005C2D9B">
        <w:rPr>
          <w:rFonts w:ascii="Arial" w:eastAsia="Times New Roman" w:hAnsi="Arial" w:cs="Arial"/>
          <w:color w:val="2F2F2F"/>
          <w:sz w:val="18"/>
          <w:szCs w:val="18"/>
          <w:lang w:eastAsia="es-MX"/>
        </w:rPr>
        <w:t>Se </w:t>
      </w:r>
      <w:r w:rsidRPr="005C2D9B">
        <w:rPr>
          <w:rFonts w:ascii="Arial" w:eastAsia="Times New Roman" w:hAnsi="Arial" w:cs="Arial"/>
          <w:b/>
          <w:bCs/>
          <w:color w:val="2F2F2F"/>
          <w:sz w:val="18"/>
          <w:szCs w:val="18"/>
          <w:lang w:eastAsia="es-MX"/>
        </w:rPr>
        <w:t>REFORMAN</w:t>
      </w:r>
      <w:r w:rsidRPr="005C2D9B">
        <w:rPr>
          <w:rFonts w:ascii="Arial" w:eastAsia="Times New Roman" w:hAnsi="Arial" w:cs="Arial"/>
          <w:color w:val="2F2F2F"/>
          <w:sz w:val="18"/>
          <w:szCs w:val="18"/>
          <w:lang w:eastAsia="es-MX"/>
        </w:rPr>
        <w:t> el Anexo 5, Criterio Contable A-3, párrafo 32; Anexo 6, Criterios Contables A-3, párrafo 32 y D-5, párrafos 32, 38, 39 y Anexo 7, Criterios Contables A-3, párrafo 32 y D-4, párrafos 32, 38 y 39 de las "Disposiciones de carácter general aplicables a los fondos de inversión y a las personas que les prestan servicios", publicadas en el Diario Oficial de la Federación el 24 de noviembre de 2014 y modificadas por última vez mediante la resolución publicada en el citado Diario el 9 de noviembre de 2020, para quedar como sigue:</w:t>
      </w:r>
    </w:p>
    <w:p w:rsidR="005C2D9B" w:rsidRPr="005C2D9B" w:rsidRDefault="005C2D9B" w:rsidP="005C2D9B">
      <w:pPr>
        <w:shd w:val="clear" w:color="auto" w:fill="FFFFFF"/>
        <w:spacing w:after="101"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"ANEXO 5</w:t>
      </w:r>
    </w:p>
    <w:p w:rsidR="005C2D9B" w:rsidRPr="005C2D9B" w:rsidRDefault="005C2D9B" w:rsidP="005C2D9B">
      <w:pPr>
        <w:shd w:val="clear" w:color="auto" w:fill="FFFFFF"/>
        <w:spacing w:after="101"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CRITERIOS DE CONTABILIDAD PARA FONDOS DE INVERSIÓN"</w:t>
      </w:r>
    </w:p>
    <w:p w:rsidR="005C2D9B" w:rsidRPr="005C2D9B" w:rsidRDefault="005C2D9B" w:rsidP="005C2D9B">
      <w:pPr>
        <w:shd w:val="clear" w:color="auto" w:fill="FFFFFF"/>
        <w:spacing w:after="101"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"A-3 APLICACIÓN DE NORMAS GENERALES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073"/>
        <w:gridCol w:w="639"/>
      </w:tblGrid>
      <w:tr w:rsidR="005C2D9B" w:rsidRPr="005C2D9B" w:rsidTr="005C2D9B">
        <w:trPr>
          <w:trHeight w:val="321"/>
        </w:trPr>
        <w:tc>
          <w:tcPr>
            <w:tcW w:w="8073"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1 a 31 </w:t>
            </w:r>
            <w:r w:rsidRPr="005C2D9B">
              <w:rPr>
                <w:rFonts w:ascii="Arial" w:eastAsia="Times New Roman" w:hAnsi="Arial" w:cs="Arial"/>
                <w:b/>
                <w:bCs/>
                <w:color w:val="000000"/>
                <w:sz w:val="18"/>
                <w:szCs w:val="18"/>
                <w:lang w:eastAsia="es-MX"/>
              </w:rPr>
              <w:t>. . .</w:t>
            </w:r>
          </w:p>
        </w:tc>
        <w:tc>
          <w:tcPr>
            <w:tcW w:w="639"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r w:rsidR="005C2D9B" w:rsidRPr="005C2D9B" w:rsidTr="005C2D9B">
        <w:trPr>
          <w:trHeight w:val="1201"/>
        </w:trPr>
        <w:tc>
          <w:tcPr>
            <w:tcW w:w="8073"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lastRenderedPageBreak/>
              <w:t>En la formulación de los estados financieros, el tipo de cambio a utilizar para establecer la equivalencia de la moneda nacional con el dólar de los Estados Unidos de América, será el tipo de cambio de cierre de jornada a la fecha de transacción o de elaboración de los estados financieros, según corresponda, publicado por el Banco de México en su página de Internet www.banxico.org.mx, o la que la sustituya.</w:t>
            </w:r>
          </w:p>
        </w:tc>
        <w:tc>
          <w:tcPr>
            <w:tcW w:w="639"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32</w:t>
            </w:r>
          </w:p>
        </w:tc>
      </w:tr>
    </w:tbl>
    <w:p w:rsidR="005C2D9B" w:rsidRPr="005C2D9B" w:rsidRDefault="005C2D9B" w:rsidP="005C2D9B">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073"/>
        <w:gridCol w:w="639"/>
      </w:tblGrid>
      <w:tr w:rsidR="005C2D9B" w:rsidRPr="005C2D9B" w:rsidTr="005C2D9B">
        <w:trPr>
          <w:trHeight w:val="321"/>
        </w:trPr>
        <w:tc>
          <w:tcPr>
            <w:tcW w:w="8073"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33 a 36 </w:t>
            </w:r>
            <w:r w:rsidRPr="005C2D9B">
              <w:rPr>
                <w:rFonts w:ascii="Arial" w:eastAsia="Times New Roman" w:hAnsi="Arial" w:cs="Arial"/>
                <w:b/>
                <w:bCs/>
                <w:color w:val="000000"/>
                <w:sz w:val="18"/>
                <w:szCs w:val="18"/>
                <w:lang w:eastAsia="es-MX"/>
              </w:rPr>
              <w:t>. . .</w:t>
            </w:r>
            <w:r w:rsidRPr="005C2D9B">
              <w:rPr>
                <w:rFonts w:ascii="Arial" w:eastAsia="Times New Roman" w:hAnsi="Arial" w:cs="Arial"/>
                <w:color w:val="000000"/>
                <w:sz w:val="18"/>
                <w:szCs w:val="18"/>
                <w:lang w:eastAsia="es-MX"/>
              </w:rPr>
              <w:t>"</w:t>
            </w:r>
          </w:p>
        </w:tc>
        <w:tc>
          <w:tcPr>
            <w:tcW w:w="639"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bl>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 </w:t>
      </w:r>
    </w:p>
    <w:p w:rsidR="005C2D9B" w:rsidRPr="005C2D9B" w:rsidRDefault="005C2D9B" w:rsidP="005C2D9B">
      <w:pPr>
        <w:shd w:val="clear" w:color="auto" w:fill="FFFFFF"/>
        <w:spacing w:after="101"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"ANEXO 6</w:t>
      </w:r>
    </w:p>
    <w:p w:rsidR="005C2D9B" w:rsidRPr="005C2D9B" w:rsidRDefault="005C2D9B" w:rsidP="005C2D9B">
      <w:pPr>
        <w:shd w:val="clear" w:color="auto" w:fill="FFFFFF"/>
        <w:spacing w:after="101"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CRITERIOS DE CONTABILIDAD PARA SOCIEDADES OPERADORAS DE FONDOS DE INVERSIÓN"</w:t>
      </w:r>
    </w:p>
    <w:p w:rsidR="005C2D9B" w:rsidRPr="005C2D9B" w:rsidRDefault="005C2D9B" w:rsidP="005C2D9B">
      <w:pPr>
        <w:shd w:val="clear" w:color="auto" w:fill="FFFFFF"/>
        <w:spacing w:after="101"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"A-3 APLICACIÓN DE NORMAS GENERALES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999"/>
        <w:gridCol w:w="713"/>
      </w:tblGrid>
      <w:tr w:rsidR="005C2D9B" w:rsidRPr="005C2D9B" w:rsidTr="005C2D9B">
        <w:trPr>
          <w:trHeight w:val="317"/>
        </w:trPr>
        <w:tc>
          <w:tcPr>
            <w:tcW w:w="7999"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1 a 31 </w:t>
            </w:r>
            <w:r w:rsidRPr="005C2D9B">
              <w:rPr>
                <w:rFonts w:ascii="Arial" w:eastAsia="Times New Roman" w:hAnsi="Arial" w:cs="Arial"/>
                <w:b/>
                <w:bCs/>
                <w:color w:val="000000"/>
                <w:sz w:val="18"/>
                <w:szCs w:val="18"/>
                <w:lang w:eastAsia="es-MX"/>
              </w:rPr>
              <w:t>. . .</w:t>
            </w:r>
          </w:p>
        </w:tc>
        <w:tc>
          <w:tcPr>
            <w:tcW w:w="713"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r w:rsidR="005C2D9B" w:rsidRPr="005C2D9B" w:rsidTr="005C2D9B">
        <w:trPr>
          <w:trHeight w:val="1181"/>
        </w:trPr>
        <w:tc>
          <w:tcPr>
            <w:tcW w:w="7999"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En la formulación de los Estados Financieros, el tipo de cambio a utilizar para establecer la equivalencia de la moneda nacional con el dólar de los Estados Unidos de América, será el tipo de cambio de cierre de jornada a la fecha de transacción o de elaboración de los estados financieros, según corresponda, publicado por el Banco de México en su página de Internet www.banxico.org.mx, o la que la sustituya.</w:t>
            </w:r>
          </w:p>
        </w:tc>
        <w:tc>
          <w:tcPr>
            <w:tcW w:w="713"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32</w:t>
            </w:r>
          </w:p>
        </w:tc>
      </w:tr>
      <w:tr w:rsidR="005C2D9B" w:rsidRPr="005C2D9B" w:rsidTr="005C2D9B">
        <w:trPr>
          <w:trHeight w:val="317"/>
        </w:trPr>
        <w:tc>
          <w:tcPr>
            <w:tcW w:w="7999"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33 a 35 </w:t>
            </w:r>
            <w:r w:rsidRPr="005C2D9B">
              <w:rPr>
                <w:rFonts w:ascii="Arial" w:eastAsia="Times New Roman" w:hAnsi="Arial" w:cs="Arial"/>
                <w:b/>
                <w:bCs/>
                <w:color w:val="000000"/>
                <w:sz w:val="18"/>
                <w:szCs w:val="18"/>
                <w:lang w:eastAsia="es-MX"/>
              </w:rPr>
              <w:t>. . .</w:t>
            </w:r>
            <w:r w:rsidRPr="005C2D9B">
              <w:rPr>
                <w:rFonts w:ascii="Arial" w:eastAsia="Times New Roman" w:hAnsi="Arial" w:cs="Arial"/>
                <w:color w:val="000000"/>
                <w:sz w:val="18"/>
                <w:szCs w:val="18"/>
                <w:lang w:eastAsia="es-MX"/>
              </w:rPr>
              <w:t>"</w:t>
            </w:r>
          </w:p>
        </w:tc>
        <w:tc>
          <w:tcPr>
            <w:tcW w:w="713"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bl>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 </w:t>
      </w:r>
    </w:p>
    <w:p w:rsidR="005C2D9B" w:rsidRPr="005C2D9B" w:rsidRDefault="005C2D9B" w:rsidP="005C2D9B">
      <w:pPr>
        <w:shd w:val="clear" w:color="auto" w:fill="FFFFFF"/>
        <w:spacing w:after="101"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"D-5 ESTADO DE FLUJOS DE EFECTIVO</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8000"/>
        <w:gridCol w:w="712"/>
      </w:tblGrid>
      <w:tr w:rsidR="005C2D9B" w:rsidRPr="005C2D9B" w:rsidTr="005C2D9B">
        <w:trPr>
          <w:trHeight w:val="317"/>
        </w:trPr>
        <w:tc>
          <w:tcPr>
            <w:tcW w:w="8000"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1 a 31 </w:t>
            </w:r>
            <w:r w:rsidRPr="005C2D9B">
              <w:rPr>
                <w:rFonts w:ascii="Arial" w:eastAsia="Times New Roman" w:hAnsi="Arial" w:cs="Arial"/>
                <w:b/>
                <w:bCs/>
                <w:color w:val="000000"/>
                <w:sz w:val="18"/>
                <w:szCs w:val="18"/>
                <w:lang w:eastAsia="es-MX"/>
              </w:rPr>
              <w:t>. . .</w:t>
            </w:r>
          </w:p>
        </w:tc>
        <w:tc>
          <w:tcPr>
            <w:tcW w:w="712"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r w:rsidR="005C2D9B" w:rsidRPr="005C2D9B" w:rsidTr="005C2D9B">
        <w:trPr>
          <w:trHeight w:val="3212"/>
        </w:trPr>
        <w:tc>
          <w:tcPr>
            <w:tcW w:w="8000"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Las entidades deben presentar en un reglón por separado, según proceda, lo siguiente:</w:t>
            </w:r>
          </w:p>
          <w:p w:rsidR="005C2D9B" w:rsidRPr="005C2D9B" w:rsidRDefault="005C2D9B" w:rsidP="005C2D9B">
            <w:pPr>
              <w:spacing w:after="101" w:line="240" w:lineRule="auto"/>
              <w:ind w:hanging="432"/>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a)</w:t>
            </w:r>
            <w:r w:rsidRPr="005C2D9B">
              <w:rPr>
                <w:rFonts w:ascii="Arial" w:eastAsia="Times New Roman" w:hAnsi="Arial" w:cs="Arial"/>
                <w:color w:val="000000"/>
                <w:sz w:val="20"/>
                <w:szCs w:val="20"/>
                <w:lang w:eastAsia="es-MX"/>
              </w:rPr>
              <w:t>    </w:t>
            </w:r>
            <w:r w:rsidRPr="005C2D9B">
              <w:rPr>
                <w:rFonts w:ascii="Arial" w:eastAsia="Times New Roman" w:hAnsi="Arial" w:cs="Arial"/>
                <w:color w:val="000000"/>
                <w:sz w:val="18"/>
                <w:szCs w:val="18"/>
                <w:lang w:eastAsia="es-MX"/>
              </w:rPr>
              <w:t>Los efectos por utilidad o pérdida en cambios del efectivo y equivalentes de efectivo a que hace referencia el párrafo 41, el cual incluye la diferencia generada por la conversión del saldo inicial de efectivo y equivalentes de efectivo al tipo de cambio de cierre de jornada a la fecha de cierre del periodo anterior que publique el Banco de México en su página de Internet www.banxico.org.mx, o la que la sustituya, y del saldo final de efectivo y equivalentes de efectivo al tipo de cambio de cierre de jornada del periodo actual, que publique el Banco de México en la referida página de Internet;</w:t>
            </w:r>
          </w:p>
          <w:p w:rsidR="005C2D9B" w:rsidRPr="005C2D9B" w:rsidRDefault="005C2D9B" w:rsidP="005C2D9B">
            <w:pPr>
              <w:spacing w:after="101" w:line="240" w:lineRule="auto"/>
              <w:ind w:hanging="432"/>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b)</w:t>
            </w:r>
            <w:r w:rsidRPr="005C2D9B">
              <w:rPr>
                <w:rFonts w:ascii="Arial" w:eastAsia="Times New Roman" w:hAnsi="Arial" w:cs="Arial"/>
                <w:color w:val="000000"/>
                <w:sz w:val="20"/>
                <w:szCs w:val="20"/>
                <w:lang w:eastAsia="es-MX"/>
              </w:rPr>
              <w:t>    </w:t>
            </w:r>
            <w:r w:rsidRPr="005C2D9B">
              <w:rPr>
                <w:rFonts w:ascii="Arial" w:eastAsia="Times New Roman" w:hAnsi="Arial" w:cs="Arial"/>
                <w:color w:val="000000"/>
                <w:sz w:val="18"/>
                <w:szCs w:val="18"/>
                <w:lang w:eastAsia="es-MX"/>
              </w:rPr>
              <w:t>Los efectos en los saldos de efectivo y equivalentes de efectivo por cambios en su valor resultantes de fluctuaciones en su valor razonable, y</w:t>
            </w:r>
          </w:p>
          <w:p w:rsidR="005C2D9B" w:rsidRPr="005C2D9B" w:rsidRDefault="005C2D9B" w:rsidP="005C2D9B">
            <w:pPr>
              <w:spacing w:after="101" w:line="240" w:lineRule="auto"/>
              <w:ind w:hanging="432"/>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c)</w:t>
            </w:r>
            <w:r w:rsidRPr="005C2D9B">
              <w:rPr>
                <w:rFonts w:ascii="Arial" w:eastAsia="Times New Roman" w:hAnsi="Arial" w:cs="Arial"/>
                <w:color w:val="000000"/>
                <w:sz w:val="20"/>
                <w:szCs w:val="20"/>
                <w:lang w:eastAsia="es-MX"/>
              </w:rPr>
              <w:t>     </w:t>
            </w:r>
            <w:r w:rsidRPr="005C2D9B">
              <w:rPr>
                <w:rFonts w:ascii="Arial" w:eastAsia="Times New Roman" w:hAnsi="Arial" w:cs="Arial"/>
                <w:color w:val="000000"/>
                <w:sz w:val="18"/>
                <w:szCs w:val="18"/>
                <w:lang w:eastAsia="es-MX"/>
              </w:rPr>
              <w:t>Los efectos por inflación asociados a los flujos de efectivo y equivalentes de efectivo de cualquiera de las entidades que conforman la entidad económica consolidada y que se encuentre en un entorno económico inflacionario.</w:t>
            </w:r>
          </w:p>
        </w:tc>
        <w:tc>
          <w:tcPr>
            <w:tcW w:w="712"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32</w:t>
            </w:r>
          </w:p>
        </w:tc>
      </w:tr>
      <w:tr w:rsidR="005C2D9B" w:rsidRPr="005C2D9B" w:rsidTr="005C2D9B">
        <w:trPr>
          <w:trHeight w:val="317"/>
        </w:trPr>
        <w:tc>
          <w:tcPr>
            <w:tcW w:w="8000"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33 a 37 </w:t>
            </w:r>
            <w:r w:rsidRPr="005C2D9B">
              <w:rPr>
                <w:rFonts w:ascii="Arial" w:eastAsia="Times New Roman" w:hAnsi="Arial" w:cs="Arial"/>
                <w:b/>
                <w:bCs/>
                <w:color w:val="000000"/>
                <w:sz w:val="18"/>
                <w:szCs w:val="18"/>
                <w:lang w:eastAsia="es-MX"/>
              </w:rPr>
              <w:t>. . .</w:t>
            </w:r>
          </w:p>
        </w:tc>
        <w:tc>
          <w:tcPr>
            <w:tcW w:w="712"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r w:rsidR="005C2D9B" w:rsidRPr="005C2D9B" w:rsidTr="005C2D9B">
        <w:trPr>
          <w:trHeight w:val="1282"/>
        </w:trPr>
        <w:tc>
          <w:tcPr>
            <w:tcW w:w="8000"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i/>
                <w:iCs/>
                <w:color w:val="000000"/>
                <w:sz w:val="18"/>
                <w:szCs w:val="18"/>
                <w:u w:val="single"/>
                <w:lang w:eastAsia="es-MX"/>
              </w:rPr>
              <w:t>Conversión de saldos o flujos de efectivo en moneda extranjera</w:t>
            </w:r>
          </w:p>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Con el objeto de determinar los cambios de los saldos de las partidas operativas en moneda extranjera de las actividades de operación, estos se deberán convertir al tipo de cambio de cierre de jornada que publique el Banco de México en su página de Internet www.banxico.org.mx, o la que la sustituya, a la fecha de cierre.</w:t>
            </w:r>
          </w:p>
        </w:tc>
        <w:tc>
          <w:tcPr>
            <w:tcW w:w="712"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38</w:t>
            </w:r>
          </w:p>
        </w:tc>
      </w:tr>
      <w:tr w:rsidR="005C2D9B" w:rsidRPr="005C2D9B" w:rsidTr="005C2D9B">
        <w:trPr>
          <w:trHeight w:val="1181"/>
        </w:trPr>
        <w:tc>
          <w:tcPr>
            <w:tcW w:w="8000"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Los flujos de efectivo procedentes de transacciones en moneda extranjera relacionados con actividades de inversión y de financiamiento, se convertirán a la moneda de informe de la entidad aplicando al importe en moneda extranjera el tipo de cambio de cierre de jornada a la fecha en que se produjo cada flujo, el cual será el que publique el Banco de México en la referida página de Internet.</w:t>
            </w:r>
          </w:p>
        </w:tc>
        <w:tc>
          <w:tcPr>
            <w:tcW w:w="712"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39</w:t>
            </w:r>
          </w:p>
        </w:tc>
      </w:tr>
      <w:tr w:rsidR="005C2D9B" w:rsidRPr="005C2D9B" w:rsidTr="005C2D9B">
        <w:trPr>
          <w:trHeight w:val="317"/>
        </w:trPr>
        <w:tc>
          <w:tcPr>
            <w:tcW w:w="8000"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40 a 48 </w:t>
            </w:r>
            <w:r w:rsidRPr="005C2D9B">
              <w:rPr>
                <w:rFonts w:ascii="Arial" w:eastAsia="Times New Roman" w:hAnsi="Arial" w:cs="Arial"/>
                <w:b/>
                <w:bCs/>
                <w:color w:val="000000"/>
                <w:sz w:val="18"/>
                <w:szCs w:val="18"/>
                <w:lang w:eastAsia="es-MX"/>
              </w:rPr>
              <w:t>. . .</w:t>
            </w:r>
            <w:r w:rsidRPr="005C2D9B">
              <w:rPr>
                <w:rFonts w:ascii="Arial" w:eastAsia="Times New Roman" w:hAnsi="Arial" w:cs="Arial"/>
                <w:color w:val="000000"/>
                <w:sz w:val="18"/>
                <w:szCs w:val="18"/>
                <w:lang w:eastAsia="es-MX"/>
              </w:rPr>
              <w:t>"</w:t>
            </w:r>
          </w:p>
        </w:tc>
        <w:tc>
          <w:tcPr>
            <w:tcW w:w="712" w:type="dxa"/>
            <w:shd w:val="clear" w:color="auto" w:fill="FFFFFF"/>
            <w:tcMar>
              <w:top w:w="15" w:type="dxa"/>
              <w:left w:w="70" w:type="dxa"/>
              <w:bottom w:w="15" w:type="dxa"/>
              <w:right w:w="70"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bl>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 </w:t>
      </w:r>
    </w:p>
    <w:p w:rsidR="005C2D9B" w:rsidRPr="005C2D9B" w:rsidRDefault="005C2D9B" w:rsidP="005C2D9B">
      <w:pPr>
        <w:shd w:val="clear" w:color="auto" w:fill="FFFFFF"/>
        <w:spacing w:after="101"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"ANEXO 7</w:t>
      </w:r>
    </w:p>
    <w:p w:rsidR="005C2D9B" w:rsidRPr="005C2D9B" w:rsidRDefault="005C2D9B" w:rsidP="005C2D9B">
      <w:pPr>
        <w:shd w:val="clear" w:color="auto" w:fill="FFFFFF"/>
        <w:spacing w:after="101"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lastRenderedPageBreak/>
        <w:t>CRITERIOS DE CONTABILIDAD PARA SOCIEDADES DISTRIBUIDORAS DE ACCIONES DE FONDOS</w:t>
      </w:r>
      <w:r w:rsidRPr="005C2D9B">
        <w:rPr>
          <w:rFonts w:ascii="Arial" w:eastAsia="Times New Roman" w:hAnsi="Arial" w:cs="Arial"/>
          <w:color w:val="2F2F2F"/>
          <w:sz w:val="18"/>
          <w:szCs w:val="18"/>
          <w:lang w:eastAsia="es-MX"/>
        </w:rPr>
        <w:br/>
      </w:r>
      <w:r w:rsidRPr="005C2D9B">
        <w:rPr>
          <w:rFonts w:ascii="Arial" w:eastAsia="Times New Roman" w:hAnsi="Arial" w:cs="Arial"/>
          <w:b/>
          <w:bCs/>
          <w:color w:val="2F2F2F"/>
          <w:sz w:val="18"/>
          <w:szCs w:val="18"/>
          <w:lang w:eastAsia="es-MX"/>
        </w:rPr>
        <w:t>DE INVERSIÓN"</w:t>
      </w:r>
    </w:p>
    <w:p w:rsidR="005C2D9B" w:rsidRPr="005C2D9B" w:rsidRDefault="005C2D9B" w:rsidP="005C2D9B">
      <w:pPr>
        <w:shd w:val="clear" w:color="auto" w:fill="FFFFFF"/>
        <w:spacing w:after="101"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"A-3 APLICACIÓN DE NORMAS GENERALES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063"/>
        <w:gridCol w:w="649"/>
      </w:tblGrid>
      <w:tr w:rsidR="005C2D9B" w:rsidRPr="005C2D9B" w:rsidTr="005C2D9B">
        <w:trPr>
          <w:trHeight w:val="317"/>
        </w:trPr>
        <w:tc>
          <w:tcPr>
            <w:tcW w:w="8063"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1 a 31 </w:t>
            </w:r>
            <w:r w:rsidRPr="005C2D9B">
              <w:rPr>
                <w:rFonts w:ascii="Arial" w:eastAsia="Times New Roman" w:hAnsi="Arial" w:cs="Arial"/>
                <w:b/>
                <w:bCs/>
                <w:color w:val="000000"/>
                <w:sz w:val="18"/>
                <w:szCs w:val="18"/>
                <w:lang w:eastAsia="es-MX"/>
              </w:rPr>
              <w:t>. . .</w:t>
            </w:r>
          </w:p>
        </w:tc>
        <w:tc>
          <w:tcPr>
            <w:tcW w:w="649"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r w:rsidR="005C2D9B" w:rsidRPr="005C2D9B" w:rsidTr="005C2D9B">
        <w:trPr>
          <w:trHeight w:val="1129"/>
        </w:trPr>
        <w:tc>
          <w:tcPr>
            <w:tcW w:w="8063"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En la formulación de los Estados Financieros, el tipo de cambio a utilizar para establecer la equivalencia de la moneda nacional con el dólar de los Estados Unidos de América, será el tipo de cambio de cierre de jornada a la fecha de transacción o de elaboración de los estados financieros, según corresponda, publicado por el Banco de México en su página de Internet www.banxico.org.mx, o la que la sustituya.</w:t>
            </w:r>
          </w:p>
        </w:tc>
        <w:tc>
          <w:tcPr>
            <w:tcW w:w="639"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32</w:t>
            </w:r>
          </w:p>
        </w:tc>
      </w:tr>
    </w:tbl>
    <w:p w:rsidR="005C2D9B" w:rsidRPr="005C2D9B" w:rsidRDefault="005C2D9B" w:rsidP="005C2D9B">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063"/>
        <w:gridCol w:w="639"/>
      </w:tblGrid>
      <w:tr w:rsidR="005C2D9B" w:rsidRPr="005C2D9B" w:rsidTr="005C2D9B">
        <w:trPr>
          <w:trHeight w:val="317"/>
        </w:trPr>
        <w:tc>
          <w:tcPr>
            <w:tcW w:w="8063"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33 a 35 </w:t>
            </w:r>
            <w:r w:rsidRPr="005C2D9B">
              <w:rPr>
                <w:rFonts w:ascii="Arial" w:eastAsia="Times New Roman" w:hAnsi="Arial" w:cs="Arial"/>
                <w:b/>
                <w:bCs/>
                <w:color w:val="000000"/>
                <w:sz w:val="18"/>
                <w:szCs w:val="18"/>
                <w:lang w:eastAsia="es-MX"/>
              </w:rPr>
              <w:t>. . .</w:t>
            </w:r>
            <w:r w:rsidRPr="005C2D9B">
              <w:rPr>
                <w:rFonts w:ascii="Arial" w:eastAsia="Times New Roman" w:hAnsi="Arial" w:cs="Arial"/>
                <w:color w:val="000000"/>
                <w:sz w:val="18"/>
                <w:szCs w:val="18"/>
                <w:lang w:eastAsia="es-MX"/>
              </w:rPr>
              <w:t>"</w:t>
            </w:r>
          </w:p>
        </w:tc>
        <w:tc>
          <w:tcPr>
            <w:tcW w:w="639" w:type="dxa"/>
            <w:shd w:val="clear" w:color="auto" w:fill="FFFFFF"/>
            <w:tcMar>
              <w:top w:w="15" w:type="dxa"/>
              <w:left w:w="72" w:type="dxa"/>
              <w:bottom w:w="15" w:type="dxa"/>
              <w:right w:w="72" w:type="dxa"/>
            </w:tcMar>
            <w:hideMark/>
          </w:tcPr>
          <w:p w:rsidR="005C2D9B" w:rsidRPr="005C2D9B" w:rsidRDefault="005C2D9B" w:rsidP="005C2D9B">
            <w:pPr>
              <w:spacing w:after="101"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bl>
    <w:p w:rsidR="005C2D9B" w:rsidRPr="005C2D9B" w:rsidRDefault="005C2D9B" w:rsidP="005C2D9B">
      <w:pPr>
        <w:shd w:val="clear" w:color="auto" w:fill="FFFFFF"/>
        <w:spacing w:after="101"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 </w:t>
      </w:r>
    </w:p>
    <w:p w:rsidR="005C2D9B" w:rsidRPr="005C2D9B" w:rsidRDefault="005C2D9B" w:rsidP="005C2D9B">
      <w:pPr>
        <w:shd w:val="clear" w:color="auto" w:fill="FFFFFF"/>
        <w:spacing w:after="60" w:line="240" w:lineRule="auto"/>
        <w:jc w:val="center"/>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"D-4 ESTADO DE FLUJOS DE EFECTIVO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062"/>
        <w:gridCol w:w="650"/>
      </w:tblGrid>
      <w:tr w:rsidR="005C2D9B" w:rsidRPr="005C2D9B" w:rsidTr="005C2D9B">
        <w:trPr>
          <w:trHeight w:val="276"/>
        </w:trPr>
        <w:tc>
          <w:tcPr>
            <w:tcW w:w="8062"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1 a 31 </w:t>
            </w:r>
            <w:r w:rsidRPr="005C2D9B">
              <w:rPr>
                <w:rFonts w:ascii="Arial" w:eastAsia="Times New Roman" w:hAnsi="Arial" w:cs="Arial"/>
                <w:b/>
                <w:bCs/>
                <w:color w:val="000000"/>
                <w:sz w:val="18"/>
                <w:szCs w:val="18"/>
                <w:lang w:eastAsia="es-MX"/>
              </w:rPr>
              <w:t>. . .</w:t>
            </w:r>
          </w:p>
        </w:tc>
        <w:tc>
          <w:tcPr>
            <w:tcW w:w="639"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r w:rsidR="005C2D9B" w:rsidRPr="005C2D9B" w:rsidTr="005C2D9B">
        <w:trPr>
          <w:trHeight w:val="3048"/>
        </w:trPr>
        <w:tc>
          <w:tcPr>
            <w:tcW w:w="8062"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Las entidades deben presentar en un reglón por separado, según proceda, lo siguiente:</w:t>
            </w:r>
          </w:p>
          <w:p w:rsidR="005C2D9B" w:rsidRPr="005C2D9B" w:rsidRDefault="005C2D9B" w:rsidP="005C2D9B">
            <w:pPr>
              <w:spacing w:after="60" w:line="240" w:lineRule="auto"/>
              <w:ind w:hanging="432"/>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a)</w:t>
            </w:r>
            <w:r w:rsidRPr="005C2D9B">
              <w:rPr>
                <w:rFonts w:ascii="Arial" w:eastAsia="Times New Roman" w:hAnsi="Arial" w:cs="Arial"/>
                <w:color w:val="000000"/>
                <w:sz w:val="20"/>
                <w:szCs w:val="20"/>
                <w:lang w:eastAsia="es-MX"/>
              </w:rPr>
              <w:t>    </w:t>
            </w:r>
            <w:r w:rsidRPr="005C2D9B">
              <w:rPr>
                <w:rFonts w:ascii="Arial" w:eastAsia="Times New Roman" w:hAnsi="Arial" w:cs="Arial"/>
                <w:color w:val="000000"/>
                <w:sz w:val="18"/>
                <w:szCs w:val="18"/>
                <w:lang w:eastAsia="es-MX"/>
              </w:rPr>
              <w:t>Los efectos por utilidad o pérdida en cambios del efectivo y equivalentes de efectivo a que hace referencia el párrafo 41, el cual incluye la diferencia generada por la conversión del saldo inicial de efectivo y equivalentes de efectivo al tipo de cambio de cierre de jornada a la fecha de cierre del periodo anterior que publique el Banco de México en su página de Internet www.banxico.org.mx, o la que la sustituya, y del saldo final de efectivo y equivalentes de efectivo al tipo de cambio de cierre de jornada del periodo actual, que publique el Banco de México en la referida página de Internet;</w:t>
            </w:r>
          </w:p>
          <w:p w:rsidR="005C2D9B" w:rsidRPr="005C2D9B" w:rsidRDefault="005C2D9B" w:rsidP="005C2D9B">
            <w:pPr>
              <w:spacing w:after="60" w:line="240" w:lineRule="auto"/>
              <w:ind w:hanging="432"/>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b)</w:t>
            </w:r>
            <w:r w:rsidRPr="005C2D9B">
              <w:rPr>
                <w:rFonts w:ascii="Arial" w:eastAsia="Times New Roman" w:hAnsi="Arial" w:cs="Arial"/>
                <w:color w:val="000000"/>
                <w:sz w:val="20"/>
                <w:szCs w:val="20"/>
                <w:lang w:eastAsia="es-MX"/>
              </w:rPr>
              <w:t>    </w:t>
            </w:r>
            <w:r w:rsidRPr="005C2D9B">
              <w:rPr>
                <w:rFonts w:ascii="Arial" w:eastAsia="Times New Roman" w:hAnsi="Arial" w:cs="Arial"/>
                <w:color w:val="000000"/>
                <w:sz w:val="18"/>
                <w:szCs w:val="18"/>
                <w:lang w:eastAsia="es-MX"/>
              </w:rPr>
              <w:t>Los efectos en los saldos de efectivo y equivalentes de efectivo por cambios en su valor resultantes de fluctuaciones en su valor razonable, y</w:t>
            </w:r>
          </w:p>
          <w:p w:rsidR="005C2D9B" w:rsidRPr="005C2D9B" w:rsidRDefault="005C2D9B" w:rsidP="005C2D9B">
            <w:pPr>
              <w:spacing w:after="60" w:line="240" w:lineRule="auto"/>
              <w:ind w:hanging="432"/>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c)</w:t>
            </w:r>
            <w:r w:rsidRPr="005C2D9B">
              <w:rPr>
                <w:rFonts w:ascii="Arial" w:eastAsia="Times New Roman" w:hAnsi="Arial" w:cs="Arial"/>
                <w:color w:val="000000"/>
                <w:sz w:val="20"/>
                <w:szCs w:val="20"/>
                <w:lang w:eastAsia="es-MX"/>
              </w:rPr>
              <w:t>     </w:t>
            </w:r>
            <w:r w:rsidRPr="005C2D9B">
              <w:rPr>
                <w:rFonts w:ascii="Arial" w:eastAsia="Times New Roman" w:hAnsi="Arial" w:cs="Arial"/>
                <w:color w:val="000000"/>
                <w:sz w:val="18"/>
                <w:szCs w:val="18"/>
                <w:lang w:eastAsia="es-MX"/>
              </w:rPr>
              <w:t>Los efectos por inflación asociados a los flujos de efectivo y equivalentes de efectivo de cualquiera de las entidades que conforman la entidad económica consolidada y que se encuentre en un entorno económico inflacionario.</w:t>
            </w:r>
          </w:p>
        </w:tc>
        <w:tc>
          <w:tcPr>
            <w:tcW w:w="639"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32</w:t>
            </w:r>
          </w:p>
        </w:tc>
      </w:tr>
      <w:tr w:rsidR="005C2D9B" w:rsidRPr="005C2D9B" w:rsidTr="005C2D9B">
        <w:trPr>
          <w:trHeight w:val="276"/>
        </w:trPr>
        <w:tc>
          <w:tcPr>
            <w:tcW w:w="8062"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33 a 37 </w:t>
            </w:r>
            <w:r w:rsidRPr="005C2D9B">
              <w:rPr>
                <w:rFonts w:ascii="Arial" w:eastAsia="Times New Roman" w:hAnsi="Arial" w:cs="Arial"/>
                <w:b/>
                <w:bCs/>
                <w:color w:val="000000"/>
                <w:sz w:val="18"/>
                <w:szCs w:val="18"/>
                <w:lang w:eastAsia="es-MX"/>
              </w:rPr>
              <w:t>. . .</w:t>
            </w:r>
          </w:p>
        </w:tc>
        <w:tc>
          <w:tcPr>
            <w:tcW w:w="639"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r w:rsidR="005C2D9B" w:rsidRPr="005C2D9B" w:rsidTr="005C2D9B">
        <w:trPr>
          <w:trHeight w:val="1200"/>
        </w:trPr>
        <w:tc>
          <w:tcPr>
            <w:tcW w:w="8062"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both"/>
              <w:rPr>
                <w:rFonts w:ascii="Arial" w:eastAsia="Times New Roman" w:hAnsi="Arial" w:cs="Arial"/>
                <w:color w:val="000000"/>
                <w:sz w:val="18"/>
                <w:szCs w:val="18"/>
                <w:lang w:eastAsia="es-MX"/>
              </w:rPr>
            </w:pPr>
            <w:r w:rsidRPr="005C2D9B">
              <w:rPr>
                <w:rFonts w:ascii="Arial" w:eastAsia="Times New Roman" w:hAnsi="Arial" w:cs="Arial"/>
                <w:i/>
                <w:iCs/>
                <w:color w:val="000000"/>
                <w:sz w:val="18"/>
                <w:szCs w:val="18"/>
                <w:u w:val="single"/>
                <w:lang w:eastAsia="es-MX"/>
              </w:rPr>
              <w:t>Conversión de saldos o flujos de efectivo en moneda extranjera</w:t>
            </w:r>
          </w:p>
          <w:p w:rsidR="005C2D9B" w:rsidRPr="005C2D9B" w:rsidRDefault="005C2D9B" w:rsidP="005C2D9B">
            <w:pPr>
              <w:spacing w:after="60"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Con el objeto de determinar los cambios de los saldos de las partidas operativas en moneda extranjera de las actividades de operación, estos se deberán convertir al tipo de cambio de cierre de jornada que publique el Banco de México en su página de Internet www.banxico.org.mx, o la que la sustituya, a la fecha de cierre.</w:t>
            </w:r>
          </w:p>
        </w:tc>
        <w:tc>
          <w:tcPr>
            <w:tcW w:w="650"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38</w:t>
            </w:r>
          </w:p>
        </w:tc>
      </w:tr>
      <w:tr w:rsidR="005C2D9B" w:rsidRPr="005C2D9B" w:rsidTr="005C2D9B">
        <w:trPr>
          <w:trHeight w:val="1140"/>
        </w:trPr>
        <w:tc>
          <w:tcPr>
            <w:tcW w:w="8062"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Los flujos de efectivo procedentes de transacciones en moneda extranjera relacionados con actividades de inversión y de financiamiento, se convertirán a la moneda de informe de la entidad aplicando al importe en moneda extranjera el tipo de cambio de cierre de jornada a la fecha en que se produjo cada flujo, el cual será el que publique el Banco de México en la referida página de Internet.</w:t>
            </w:r>
          </w:p>
        </w:tc>
        <w:tc>
          <w:tcPr>
            <w:tcW w:w="650"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39</w:t>
            </w:r>
          </w:p>
        </w:tc>
      </w:tr>
      <w:tr w:rsidR="005C2D9B" w:rsidRPr="005C2D9B" w:rsidTr="005C2D9B">
        <w:trPr>
          <w:trHeight w:val="276"/>
        </w:trPr>
        <w:tc>
          <w:tcPr>
            <w:tcW w:w="8062"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both"/>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Párrafos 40 a 48 </w:t>
            </w:r>
            <w:r w:rsidRPr="005C2D9B">
              <w:rPr>
                <w:rFonts w:ascii="Arial" w:eastAsia="Times New Roman" w:hAnsi="Arial" w:cs="Arial"/>
                <w:b/>
                <w:bCs/>
                <w:color w:val="000000"/>
                <w:sz w:val="18"/>
                <w:szCs w:val="18"/>
                <w:lang w:eastAsia="es-MX"/>
              </w:rPr>
              <w:t>. . .</w:t>
            </w:r>
          </w:p>
        </w:tc>
        <w:tc>
          <w:tcPr>
            <w:tcW w:w="650" w:type="dxa"/>
            <w:shd w:val="clear" w:color="auto" w:fill="FFFFFF"/>
            <w:tcMar>
              <w:top w:w="15" w:type="dxa"/>
              <w:left w:w="72" w:type="dxa"/>
              <w:bottom w:w="15" w:type="dxa"/>
              <w:right w:w="72" w:type="dxa"/>
            </w:tcMar>
            <w:hideMark/>
          </w:tcPr>
          <w:p w:rsidR="005C2D9B" w:rsidRPr="005C2D9B" w:rsidRDefault="005C2D9B" w:rsidP="005C2D9B">
            <w:pPr>
              <w:spacing w:after="60" w:line="240" w:lineRule="auto"/>
              <w:jc w:val="center"/>
              <w:rPr>
                <w:rFonts w:ascii="Arial" w:eastAsia="Times New Roman" w:hAnsi="Arial" w:cs="Arial"/>
                <w:color w:val="000000"/>
                <w:sz w:val="18"/>
                <w:szCs w:val="18"/>
                <w:lang w:eastAsia="es-MX"/>
              </w:rPr>
            </w:pPr>
            <w:r w:rsidRPr="005C2D9B">
              <w:rPr>
                <w:rFonts w:ascii="Arial" w:eastAsia="Times New Roman" w:hAnsi="Arial" w:cs="Arial"/>
                <w:color w:val="000000"/>
                <w:sz w:val="18"/>
                <w:szCs w:val="18"/>
                <w:lang w:eastAsia="es-MX"/>
              </w:rPr>
              <w:t> </w:t>
            </w:r>
          </w:p>
        </w:tc>
      </w:tr>
    </w:tbl>
    <w:p w:rsidR="005C2D9B" w:rsidRPr="005C2D9B" w:rsidRDefault="005C2D9B" w:rsidP="005C2D9B">
      <w:pPr>
        <w:shd w:val="clear" w:color="auto" w:fill="FFFFFF"/>
        <w:spacing w:after="60" w:line="240" w:lineRule="auto"/>
        <w:jc w:val="center"/>
        <w:rPr>
          <w:rFonts w:ascii="Times New Roman" w:eastAsia="Times New Roman" w:hAnsi="Times New Roman" w:cs="Times New Roman"/>
          <w:b/>
          <w:bCs/>
          <w:color w:val="2F2F2F"/>
          <w:sz w:val="18"/>
          <w:szCs w:val="18"/>
          <w:lang w:eastAsia="es-MX"/>
        </w:rPr>
      </w:pPr>
      <w:r w:rsidRPr="005C2D9B">
        <w:rPr>
          <w:rFonts w:ascii="Times" w:eastAsia="Times New Roman" w:hAnsi="Times" w:cs="Times"/>
          <w:b/>
          <w:bCs/>
          <w:color w:val="2F2F2F"/>
          <w:sz w:val="18"/>
          <w:szCs w:val="18"/>
          <w:lang w:eastAsia="es-MX"/>
        </w:rPr>
        <w:t>TRANSITORIO</w:t>
      </w:r>
    </w:p>
    <w:p w:rsidR="005C2D9B" w:rsidRPr="005C2D9B" w:rsidRDefault="005C2D9B" w:rsidP="005C2D9B">
      <w:pPr>
        <w:shd w:val="clear" w:color="auto" w:fill="FFFFFF"/>
        <w:spacing w:after="60"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b/>
          <w:bCs/>
          <w:color w:val="2F2F2F"/>
          <w:sz w:val="18"/>
          <w:szCs w:val="18"/>
          <w:lang w:eastAsia="es-MX"/>
        </w:rPr>
        <w:t>ÚNICO.-</w:t>
      </w:r>
      <w:r w:rsidRPr="005C2D9B">
        <w:rPr>
          <w:rFonts w:ascii="Arial" w:eastAsia="Times New Roman" w:hAnsi="Arial" w:cs="Arial"/>
          <w:color w:val="2F2F2F"/>
          <w:sz w:val="18"/>
          <w:szCs w:val="18"/>
          <w:lang w:eastAsia="es-MX"/>
        </w:rPr>
        <w:t> La presente Resolución entrará en vigor a partir del 15 de diciembre de 2021.</w:t>
      </w:r>
    </w:p>
    <w:p w:rsidR="005C2D9B" w:rsidRPr="005C2D9B" w:rsidRDefault="005C2D9B" w:rsidP="005C2D9B">
      <w:pPr>
        <w:shd w:val="clear" w:color="auto" w:fill="FFFFFF"/>
        <w:spacing w:after="60"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Atentamente</w:t>
      </w:r>
    </w:p>
    <w:p w:rsidR="005C2D9B" w:rsidRPr="005C2D9B" w:rsidRDefault="005C2D9B" w:rsidP="005C2D9B">
      <w:pPr>
        <w:shd w:val="clear" w:color="auto" w:fill="FFFFFF"/>
        <w:spacing w:after="60" w:line="240" w:lineRule="auto"/>
        <w:ind w:firstLine="288"/>
        <w:jc w:val="both"/>
        <w:rPr>
          <w:rFonts w:ascii="Arial" w:eastAsia="Times New Roman" w:hAnsi="Arial" w:cs="Arial"/>
          <w:color w:val="2F2F2F"/>
          <w:sz w:val="18"/>
          <w:szCs w:val="18"/>
          <w:lang w:eastAsia="es-MX"/>
        </w:rPr>
      </w:pPr>
      <w:r w:rsidRPr="005C2D9B">
        <w:rPr>
          <w:rFonts w:ascii="Arial" w:eastAsia="Times New Roman" w:hAnsi="Arial" w:cs="Arial"/>
          <w:color w:val="2F2F2F"/>
          <w:sz w:val="18"/>
          <w:szCs w:val="18"/>
          <w:lang w:eastAsia="es-MX"/>
        </w:rPr>
        <w:t>Ciudad de México, a 8 de diciembre de 2021.- Presidente de la Comisión Nacional Bancaria y de Valores, Dr.</w:t>
      </w:r>
      <w:r w:rsidRPr="005C2D9B">
        <w:rPr>
          <w:rFonts w:ascii="Arial" w:eastAsia="Times New Roman" w:hAnsi="Arial" w:cs="Arial"/>
          <w:b/>
          <w:bCs/>
          <w:color w:val="2F2F2F"/>
          <w:sz w:val="18"/>
          <w:szCs w:val="18"/>
          <w:lang w:eastAsia="es-MX"/>
        </w:rPr>
        <w:t> Jesús de la Fuente Rodríguez</w:t>
      </w:r>
      <w:r w:rsidRPr="005C2D9B">
        <w:rPr>
          <w:rFonts w:ascii="Arial" w:eastAsia="Times New Roman" w:hAnsi="Arial" w:cs="Arial"/>
          <w:color w:val="2F2F2F"/>
          <w:sz w:val="18"/>
          <w:szCs w:val="18"/>
          <w:lang w:eastAsia="es-MX"/>
        </w:rPr>
        <w:t>.- Rúbrica.</w:t>
      </w:r>
    </w:p>
    <w:sectPr w:rsidR="005C2D9B" w:rsidRPr="005C2D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9B"/>
    <w:rsid w:val="005C2D9B"/>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37430">
      <w:bodyDiv w:val="1"/>
      <w:marLeft w:val="0"/>
      <w:marRight w:val="0"/>
      <w:marTop w:val="0"/>
      <w:marBottom w:val="0"/>
      <w:divBdr>
        <w:top w:val="none" w:sz="0" w:space="0" w:color="auto"/>
        <w:left w:val="none" w:sz="0" w:space="0" w:color="auto"/>
        <w:bottom w:val="none" w:sz="0" w:space="0" w:color="auto"/>
        <w:right w:val="none" w:sz="0" w:space="0" w:color="auto"/>
      </w:divBdr>
      <w:divsChild>
        <w:div w:id="1479419827">
          <w:marLeft w:val="0"/>
          <w:marRight w:val="0"/>
          <w:marTop w:val="0"/>
          <w:marBottom w:val="101"/>
          <w:divBdr>
            <w:top w:val="none" w:sz="0" w:space="0" w:color="auto"/>
            <w:left w:val="none" w:sz="0" w:space="0" w:color="auto"/>
            <w:bottom w:val="none" w:sz="0" w:space="0" w:color="auto"/>
            <w:right w:val="none" w:sz="0" w:space="0" w:color="auto"/>
          </w:divBdr>
        </w:div>
        <w:div w:id="609702704">
          <w:marLeft w:val="0"/>
          <w:marRight w:val="0"/>
          <w:marTop w:val="101"/>
          <w:marBottom w:val="101"/>
          <w:divBdr>
            <w:top w:val="none" w:sz="0" w:space="0" w:color="auto"/>
            <w:left w:val="none" w:sz="0" w:space="0" w:color="auto"/>
            <w:bottom w:val="none" w:sz="0" w:space="0" w:color="auto"/>
            <w:right w:val="none" w:sz="0" w:space="0" w:color="auto"/>
          </w:divBdr>
        </w:div>
        <w:div w:id="1937324503">
          <w:marLeft w:val="0"/>
          <w:marRight w:val="0"/>
          <w:marTop w:val="0"/>
          <w:marBottom w:val="101"/>
          <w:divBdr>
            <w:top w:val="none" w:sz="0" w:space="0" w:color="auto"/>
            <w:left w:val="none" w:sz="0" w:space="0" w:color="auto"/>
            <w:bottom w:val="none" w:sz="0" w:space="0" w:color="auto"/>
            <w:right w:val="none" w:sz="0" w:space="0" w:color="auto"/>
          </w:divBdr>
        </w:div>
        <w:div w:id="1943143430">
          <w:marLeft w:val="0"/>
          <w:marRight w:val="0"/>
          <w:marTop w:val="0"/>
          <w:marBottom w:val="101"/>
          <w:divBdr>
            <w:top w:val="none" w:sz="0" w:space="0" w:color="auto"/>
            <w:left w:val="none" w:sz="0" w:space="0" w:color="auto"/>
            <w:bottom w:val="none" w:sz="0" w:space="0" w:color="auto"/>
            <w:right w:val="none" w:sz="0" w:space="0" w:color="auto"/>
          </w:divBdr>
        </w:div>
        <w:div w:id="1496415667">
          <w:marLeft w:val="0"/>
          <w:marRight w:val="0"/>
          <w:marTop w:val="0"/>
          <w:marBottom w:val="101"/>
          <w:divBdr>
            <w:top w:val="none" w:sz="0" w:space="0" w:color="auto"/>
            <w:left w:val="none" w:sz="0" w:space="0" w:color="auto"/>
            <w:bottom w:val="none" w:sz="0" w:space="0" w:color="auto"/>
            <w:right w:val="none" w:sz="0" w:space="0" w:color="auto"/>
          </w:divBdr>
        </w:div>
        <w:div w:id="2030136016">
          <w:marLeft w:val="0"/>
          <w:marRight w:val="0"/>
          <w:marTop w:val="0"/>
          <w:marBottom w:val="101"/>
          <w:divBdr>
            <w:top w:val="none" w:sz="0" w:space="0" w:color="auto"/>
            <w:left w:val="none" w:sz="0" w:space="0" w:color="auto"/>
            <w:bottom w:val="none" w:sz="0" w:space="0" w:color="auto"/>
            <w:right w:val="none" w:sz="0" w:space="0" w:color="auto"/>
          </w:divBdr>
        </w:div>
        <w:div w:id="1370303662">
          <w:marLeft w:val="0"/>
          <w:marRight w:val="0"/>
          <w:marTop w:val="0"/>
          <w:marBottom w:val="101"/>
          <w:divBdr>
            <w:top w:val="none" w:sz="0" w:space="0" w:color="auto"/>
            <w:left w:val="none" w:sz="0" w:space="0" w:color="auto"/>
            <w:bottom w:val="none" w:sz="0" w:space="0" w:color="auto"/>
            <w:right w:val="none" w:sz="0" w:space="0" w:color="auto"/>
          </w:divBdr>
        </w:div>
        <w:div w:id="737558678">
          <w:marLeft w:val="0"/>
          <w:marRight w:val="0"/>
          <w:marTop w:val="101"/>
          <w:marBottom w:val="101"/>
          <w:divBdr>
            <w:top w:val="none" w:sz="0" w:space="0" w:color="auto"/>
            <w:left w:val="none" w:sz="0" w:space="0" w:color="auto"/>
            <w:bottom w:val="none" w:sz="0" w:space="0" w:color="auto"/>
            <w:right w:val="none" w:sz="0" w:space="0" w:color="auto"/>
          </w:divBdr>
        </w:div>
        <w:div w:id="1646008430">
          <w:marLeft w:val="0"/>
          <w:marRight w:val="0"/>
          <w:marTop w:val="0"/>
          <w:marBottom w:val="101"/>
          <w:divBdr>
            <w:top w:val="none" w:sz="0" w:space="0" w:color="auto"/>
            <w:left w:val="none" w:sz="0" w:space="0" w:color="auto"/>
            <w:bottom w:val="none" w:sz="0" w:space="0" w:color="auto"/>
            <w:right w:val="none" w:sz="0" w:space="0" w:color="auto"/>
          </w:divBdr>
        </w:div>
        <w:div w:id="1323662329">
          <w:marLeft w:val="0"/>
          <w:marRight w:val="0"/>
          <w:marTop w:val="0"/>
          <w:marBottom w:val="101"/>
          <w:divBdr>
            <w:top w:val="none" w:sz="0" w:space="0" w:color="auto"/>
            <w:left w:val="none" w:sz="0" w:space="0" w:color="auto"/>
            <w:bottom w:val="none" w:sz="0" w:space="0" w:color="auto"/>
            <w:right w:val="none" w:sz="0" w:space="0" w:color="auto"/>
          </w:divBdr>
        </w:div>
        <w:div w:id="876087463">
          <w:marLeft w:val="0"/>
          <w:marRight w:val="0"/>
          <w:marTop w:val="0"/>
          <w:marBottom w:val="101"/>
          <w:divBdr>
            <w:top w:val="none" w:sz="0" w:space="0" w:color="auto"/>
            <w:left w:val="none" w:sz="0" w:space="0" w:color="auto"/>
            <w:bottom w:val="none" w:sz="0" w:space="0" w:color="auto"/>
            <w:right w:val="none" w:sz="0" w:space="0" w:color="auto"/>
          </w:divBdr>
        </w:div>
        <w:div w:id="202328143">
          <w:marLeft w:val="0"/>
          <w:marRight w:val="0"/>
          <w:marTop w:val="0"/>
          <w:marBottom w:val="101"/>
          <w:divBdr>
            <w:top w:val="none" w:sz="0" w:space="0" w:color="auto"/>
            <w:left w:val="none" w:sz="0" w:space="0" w:color="auto"/>
            <w:bottom w:val="none" w:sz="0" w:space="0" w:color="auto"/>
            <w:right w:val="none" w:sz="0" w:space="0" w:color="auto"/>
          </w:divBdr>
        </w:div>
        <w:div w:id="474107644">
          <w:marLeft w:val="0"/>
          <w:marRight w:val="0"/>
          <w:marTop w:val="0"/>
          <w:marBottom w:val="101"/>
          <w:divBdr>
            <w:top w:val="none" w:sz="0" w:space="0" w:color="auto"/>
            <w:left w:val="none" w:sz="0" w:space="0" w:color="auto"/>
            <w:bottom w:val="none" w:sz="0" w:space="0" w:color="auto"/>
            <w:right w:val="none" w:sz="0" w:space="0" w:color="auto"/>
          </w:divBdr>
        </w:div>
        <w:div w:id="741566913">
          <w:marLeft w:val="0"/>
          <w:marRight w:val="0"/>
          <w:marTop w:val="0"/>
          <w:marBottom w:val="101"/>
          <w:divBdr>
            <w:top w:val="none" w:sz="0" w:space="0" w:color="auto"/>
            <w:left w:val="none" w:sz="0" w:space="0" w:color="auto"/>
            <w:bottom w:val="none" w:sz="0" w:space="0" w:color="auto"/>
            <w:right w:val="none" w:sz="0" w:space="0" w:color="auto"/>
          </w:divBdr>
        </w:div>
        <w:div w:id="773289143">
          <w:marLeft w:val="0"/>
          <w:marRight w:val="0"/>
          <w:marTop w:val="0"/>
          <w:marBottom w:val="101"/>
          <w:divBdr>
            <w:top w:val="none" w:sz="0" w:space="0" w:color="auto"/>
            <w:left w:val="none" w:sz="0" w:space="0" w:color="auto"/>
            <w:bottom w:val="none" w:sz="0" w:space="0" w:color="auto"/>
            <w:right w:val="none" w:sz="0" w:space="0" w:color="auto"/>
          </w:divBdr>
        </w:div>
        <w:div w:id="1279683127">
          <w:marLeft w:val="0"/>
          <w:marRight w:val="0"/>
          <w:marTop w:val="0"/>
          <w:marBottom w:val="101"/>
          <w:divBdr>
            <w:top w:val="none" w:sz="0" w:space="0" w:color="auto"/>
            <w:left w:val="none" w:sz="0" w:space="0" w:color="auto"/>
            <w:bottom w:val="none" w:sz="0" w:space="0" w:color="auto"/>
            <w:right w:val="none" w:sz="0" w:space="0" w:color="auto"/>
          </w:divBdr>
        </w:div>
        <w:div w:id="195432765">
          <w:marLeft w:val="0"/>
          <w:marRight w:val="0"/>
          <w:marTop w:val="0"/>
          <w:marBottom w:val="101"/>
          <w:divBdr>
            <w:top w:val="none" w:sz="0" w:space="0" w:color="auto"/>
            <w:left w:val="none" w:sz="0" w:space="0" w:color="auto"/>
            <w:bottom w:val="none" w:sz="0" w:space="0" w:color="auto"/>
            <w:right w:val="none" w:sz="0" w:space="0" w:color="auto"/>
          </w:divBdr>
        </w:div>
        <w:div w:id="1675573945">
          <w:marLeft w:val="0"/>
          <w:marRight w:val="0"/>
          <w:marTop w:val="0"/>
          <w:marBottom w:val="101"/>
          <w:divBdr>
            <w:top w:val="none" w:sz="0" w:space="0" w:color="auto"/>
            <w:left w:val="none" w:sz="0" w:space="0" w:color="auto"/>
            <w:bottom w:val="none" w:sz="0" w:space="0" w:color="auto"/>
            <w:right w:val="none" w:sz="0" w:space="0" w:color="auto"/>
          </w:divBdr>
        </w:div>
        <w:div w:id="924876775">
          <w:marLeft w:val="0"/>
          <w:marRight w:val="0"/>
          <w:marTop w:val="0"/>
          <w:marBottom w:val="101"/>
          <w:divBdr>
            <w:top w:val="none" w:sz="0" w:space="0" w:color="auto"/>
            <w:left w:val="none" w:sz="0" w:space="0" w:color="auto"/>
            <w:bottom w:val="none" w:sz="0" w:space="0" w:color="auto"/>
            <w:right w:val="none" w:sz="0" w:space="0" w:color="auto"/>
          </w:divBdr>
        </w:div>
        <w:div w:id="1900093515">
          <w:marLeft w:val="0"/>
          <w:marRight w:val="0"/>
          <w:marTop w:val="0"/>
          <w:marBottom w:val="101"/>
          <w:divBdr>
            <w:top w:val="none" w:sz="0" w:space="0" w:color="auto"/>
            <w:left w:val="none" w:sz="0" w:space="0" w:color="auto"/>
            <w:bottom w:val="none" w:sz="0" w:space="0" w:color="auto"/>
            <w:right w:val="none" w:sz="0" w:space="0" w:color="auto"/>
          </w:divBdr>
        </w:div>
        <w:div w:id="1874616013">
          <w:marLeft w:val="0"/>
          <w:marRight w:val="0"/>
          <w:marTop w:val="0"/>
          <w:marBottom w:val="101"/>
          <w:divBdr>
            <w:top w:val="none" w:sz="0" w:space="0" w:color="auto"/>
            <w:left w:val="none" w:sz="0" w:space="0" w:color="auto"/>
            <w:bottom w:val="none" w:sz="0" w:space="0" w:color="auto"/>
            <w:right w:val="none" w:sz="0" w:space="0" w:color="auto"/>
          </w:divBdr>
        </w:div>
        <w:div w:id="319191899">
          <w:marLeft w:val="0"/>
          <w:marRight w:val="0"/>
          <w:marTop w:val="0"/>
          <w:marBottom w:val="101"/>
          <w:divBdr>
            <w:top w:val="none" w:sz="0" w:space="0" w:color="auto"/>
            <w:left w:val="none" w:sz="0" w:space="0" w:color="auto"/>
            <w:bottom w:val="none" w:sz="0" w:space="0" w:color="auto"/>
            <w:right w:val="none" w:sz="0" w:space="0" w:color="auto"/>
          </w:divBdr>
        </w:div>
        <w:div w:id="297611871">
          <w:marLeft w:val="0"/>
          <w:marRight w:val="0"/>
          <w:marTop w:val="0"/>
          <w:marBottom w:val="101"/>
          <w:divBdr>
            <w:top w:val="none" w:sz="0" w:space="0" w:color="auto"/>
            <w:left w:val="none" w:sz="0" w:space="0" w:color="auto"/>
            <w:bottom w:val="none" w:sz="0" w:space="0" w:color="auto"/>
            <w:right w:val="none" w:sz="0" w:space="0" w:color="auto"/>
          </w:divBdr>
        </w:div>
        <w:div w:id="116684569">
          <w:marLeft w:val="0"/>
          <w:marRight w:val="0"/>
          <w:marTop w:val="0"/>
          <w:marBottom w:val="101"/>
          <w:divBdr>
            <w:top w:val="none" w:sz="0" w:space="0" w:color="auto"/>
            <w:left w:val="none" w:sz="0" w:space="0" w:color="auto"/>
            <w:bottom w:val="none" w:sz="0" w:space="0" w:color="auto"/>
            <w:right w:val="none" w:sz="0" w:space="0" w:color="auto"/>
          </w:divBdr>
        </w:div>
        <w:div w:id="863783049">
          <w:marLeft w:val="0"/>
          <w:marRight w:val="0"/>
          <w:marTop w:val="0"/>
          <w:marBottom w:val="101"/>
          <w:divBdr>
            <w:top w:val="none" w:sz="0" w:space="0" w:color="auto"/>
            <w:left w:val="none" w:sz="0" w:space="0" w:color="auto"/>
            <w:bottom w:val="none" w:sz="0" w:space="0" w:color="auto"/>
            <w:right w:val="none" w:sz="0" w:space="0" w:color="auto"/>
          </w:divBdr>
        </w:div>
        <w:div w:id="1236161218">
          <w:marLeft w:val="0"/>
          <w:marRight w:val="0"/>
          <w:marTop w:val="0"/>
          <w:marBottom w:val="101"/>
          <w:divBdr>
            <w:top w:val="none" w:sz="0" w:space="0" w:color="auto"/>
            <w:left w:val="none" w:sz="0" w:space="0" w:color="auto"/>
            <w:bottom w:val="none" w:sz="0" w:space="0" w:color="auto"/>
            <w:right w:val="none" w:sz="0" w:space="0" w:color="auto"/>
          </w:divBdr>
        </w:div>
        <w:div w:id="1883975219">
          <w:marLeft w:val="0"/>
          <w:marRight w:val="0"/>
          <w:marTop w:val="0"/>
          <w:marBottom w:val="101"/>
          <w:divBdr>
            <w:top w:val="none" w:sz="0" w:space="0" w:color="auto"/>
            <w:left w:val="none" w:sz="0" w:space="0" w:color="auto"/>
            <w:bottom w:val="none" w:sz="0" w:space="0" w:color="auto"/>
            <w:right w:val="none" w:sz="0" w:space="0" w:color="auto"/>
          </w:divBdr>
        </w:div>
        <w:div w:id="1860579859">
          <w:marLeft w:val="0"/>
          <w:marRight w:val="0"/>
          <w:marTop w:val="0"/>
          <w:marBottom w:val="101"/>
          <w:divBdr>
            <w:top w:val="none" w:sz="0" w:space="0" w:color="auto"/>
            <w:left w:val="none" w:sz="0" w:space="0" w:color="auto"/>
            <w:bottom w:val="none" w:sz="0" w:space="0" w:color="auto"/>
            <w:right w:val="none" w:sz="0" w:space="0" w:color="auto"/>
          </w:divBdr>
        </w:div>
        <w:div w:id="1765495878">
          <w:marLeft w:val="0"/>
          <w:marRight w:val="0"/>
          <w:marTop w:val="0"/>
          <w:marBottom w:val="101"/>
          <w:divBdr>
            <w:top w:val="none" w:sz="0" w:space="0" w:color="auto"/>
            <w:left w:val="none" w:sz="0" w:space="0" w:color="auto"/>
            <w:bottom w:val="none" w:sz="0" w:space="0" w:color="auto"/>
            <w:right w:val="none" w:sz="0" w:space="0" w:color="auto"/>
          </w:divBdr>
        </w:div>
        <w:div w:id="618755478">
          <w:marLeft w:val="0"/>
          <w:marRight w:val="0"/>
          <w:marTop w:val="0"/>
          <w:marBottom w:val="101"/>
          <w:divBdr>
            <w:top w:val="none" w:sz="0" w:space="0" w:color="auto"/>
            <w:left w:val="none" w:sz="0" w:space="0" w:color="auto"/>
            <w:bottom w:val="none" w:sz="0" w:space="0" w:color="auto"/>
            <w:right w:val="none" w:sz="0" w:space="0" w:color="auto"/>
          </w:divBdr>
        </w:div>
        <w:div w:id="575866688">
          <w:marLeft w:val="0"/>
          <w:marRight w:val="0"/>
          <w:marTop w:val="0"/>
          <w:marBottom w:val="101"/>
          <w:divBdr>
            <w:top w:val="none" w:sz="0" w:space="0" w:color="auto"/>
            <w:left w:val="none" w:sz="0" w:space="0" w:color="auto"/>
            <w:bottom w:val="none" w:sz="0" w:space="0" w:color="auto"/>
            <w:right w:val="none" w:sz="0" w:space="0" w:color="auto"/>
          </w:divBdr>
        </w:div>
        <w:div w:id="693464152">
          <w:marLeft w:val="0"/>
          <w:marRight w:val="0"/>
          <w:marTop w:val="0"/>
          <w:marBottom w:val="101"/>
          <w:divBdr>
            <w:top w:val="none" w:sz="0" w:space="0" w:color="auto"/>
            <w:left w:val="none" w:sz="0" w:space="0" w:color="auto"/>
            <w:bottom w:val="none" w:sz="0" w:space="0" w:color="auto"/>
            <w:right w:val="none" w:sz="0" w:space="0" w:color="auto"/>
          </w:divBdr>
        </w:div>
        <w:div w:id="48698916">
          <w:marLeft w:val="0"/>
          <w:marRight w:val="0"/>
          <w:marTop w:val="0"/>
          <w:marBottom w:val="101"/>
          <w:divBdr>
            <w:top w:val="none" w:sz="0" w:space="0" w:color="auto"/>
            <w:left w:val="none" w:sz="0" w:space="0" w:color="auto"/>
            <w:bottom w:val="none" w:sz="0" w:space="0" w:color="auto"/>
            <w:right w:val="none" w:sz="0" w:space="0" w:color="auto"/>
          </w:divBdr>
        </w:div>
        <w:div w:id="35858857">
          <w:marLeft w:val="432"/>
          <w:marRight w:val="0"/>
          <w:marTop w:val="0"/>
          <w:marBottom w:val="101"/>
          <w:divBdr>
            <w:top w:val="none" w:sz="0" w:space="0" w:color="auto"/>
            <w:left w:val="none" w:sz="0" w:space="0" w:color="auto"/>
            <w:bottom w:val="none" w:sz="0" w:space="0" w:color="auto"/>
            <w:right w:val="none" w:sz="0" w:space="0" w:color="auto"/>
          </w:divBdr>
        </w:div>
        <w:div w:id="1059860670">
          <w:marLeft w:val="432"/>
          <w:marRight w:val="0"/>
          <w:marTop w:val="0"/>
          <w:marBottom w:val="101"/>
          <w:divBdr>
            <w:top w:val="none" w:sz="0" w:space="0" w:color="auto"/>
            <w:left w:val="none" w:sz="0" w:space="0" w:color="auto"/>
            <w:bottom w:val="none" w:sz="0" w:space="0" w:color="auto"/>
            <w:right w:val="none" w:sz="0" w:space="0" w:color="auto"/>
          </w:divBdr>
        </w:div>
        <w:div w:id="14817990">
          <w:marLeft w:val="432"/>
          <w:marRight w:val="0"/>
          <w:marTop w:val="0"/>
          <w:marBottom w:val="101"/>
          <w:divBdr>
            <w:top w:val="none" w:sz="0" w:space="0" w:color="auto"/>
            <w:left w:val="none" w:sz="0" w:space="0" w:color="auto"/>
            <w:bottom w:val="none" w:sz="0" w:space="0" w:color="auto"/>
            <w:right w:val="none" w:sz="0" w:space="0" w:color="auto"/>
          </w:divBdr>
        </w:div>
        <w:div w:id="707148422">
          <w:marLeft w:val="0"/>
          <w:marRight w:val="0"/>
          <w:marTop w:val="0"/>
          <w:marBottom w:val="101"/>
          <w:divBdr>
            <w:top w:val="none" w:sz="0" w:space="0" w:color="auto"/>
            <w:left w:val="none" w:sz="0" w:space="0" w:color="auto"/>
            <w:bottom w:val="none" w:sz="0" w:space="0" w:color="auto"/>
            <w:right w:val="none" w:sz="0" w:space="0" w:color="auto"/>
          </w:divBdr>
        </w:div>
        <w:div w:id="1374504810">
          <w:marLeft w:val="0"/>
          <w:marRight w:val="0"/>
          <w:marTop w:val="0"/>
          <w:marBottom w:val="101"/>
          <w:divBdr>
            <w:top w:val="none" w:sz="0" w:space="0" w:color="auto"/>
            <w:left w:val="none" w:sz="0" w:space="0" w:color="auto"/>
            <w:bottom w:val="none" w:sz="0" w:space="0" w:color="auto"/>
            <w:right w:val="none" w:sz="0" w:space="0" w:color="auto"/>
          </w:divBdr>
        </w:div>
        <w:div w:id="1157577053">
          <w:marLeft w:val="0"/>
          <w:marRight w:val="0"/>
          <w:marTop w:val="0"/>
          <w:marBottom w:val="101"/>
          <w:divBdr>
            <w:top w:val="none" w:sz="0" w:space="0" w:color="auto"/>
            <w:left w:val="none" w:sz="0" w:space="0" w:color="auto"/>
            <w:bottom w:val="none" w:sz="0" w:space="0" w:color="auto"/>
            <w:right w:val="none" w:sz="0" w:space="0" w:color="auto"/>
          </w:divBdr>
        </w:div>
        <w:div w:id="1003819335">
          <w:marLeft w:val="0"/>
          <w:marRight w:val="0"/>
          <w:marTop w:val="0"/>
          <w:marBottom w:val="101"/>
          <w:divBdr>
            <w:top w:val="none" w:sz="0" w:space="0" w:color="auto"/>
            <w:left w:val="none" w:sz="0" w:space="0" w:color="auto"/>
            <w:bottom w:val="none" w:sz="0" w:space="0" w:color="auto"/>
            <w:right w:val="none" w:sz="0" w:space="0" w:color="auto"/>
          </w:divBdr>
        </w:div>
        <w:div w:id="1651712591">
          <w:marLeft w:val="0"/>
          <w:marRight w:val="0"/>
          <w:marTop w:val="0"/>
          <w:marBottom w:val="101"/>
          <w:divBdr>
            <w:top w:val="none" w:sz="0" w:space="0" w:color="auto"/>
            <w:left w:val="none" w:sz="0" w:space="0" w:color="auto"/>
            <w:bottom w:val="none" w:sz="0" w:space="0" w:color="auto"/>
            <w:right w:val="none" w:sz="0" w:space="0" w:color="auto"/>
          </w:divBdr>
        </w:div>
        <w:div w:id="888227349">
          <w:marLeft w:val="0"/>
          <w:marRight w:val="0"/>
          <w:marTop w:val="0"/>
          <w:marBottom w:val="101"/>
          <w:divBdr>
            <w:top w:val="none" w:sz="0" w:space="0" w:color="auto"/>
            <w:left w:val="none" w:sz="0" w:space="0" w:color="auto"/>
            <w:bottom w:val="none" w:sz="0" w:space="0" w:color="auto"/>
            <w:right w:val="none" w:sz="0" w:space="0" w:color="auto"/>
          </w:divBdr>
        </w:div>
        <w:div w:id="514997153">
          <w:marLeft w:val="0"/>
          <w:marRight w:val="0"/>
          <w:marTop w:val="0"/>
          <w:marBottom w:val="101"/>
          <w:divBdr>
            <w:top w:val="none" w:sz="0" w:space="0" w:color="auto"/>
            <w:left w:val="none" w:sz="0" w:space="0" w:color="auto"/>
            <w:bottom w:val="none" w:sz="0" w:space="0" w:color="auto"/>
            <w:right w:val="none" w:sz="0" w:space="0" w:color="auto"/>
          </w:divBdr>
        </w:div>
        <w:div w:id="880752856">
          <w:marLeft w:val="0"/>
          <w:marRight w:val="0"/>
          <w:marTop w:val="0"/>
          <w:marBottom w:val="101"/>
          <w:divBdr>
            <w:top w:val="none" w:sz="0" w:space="0" w:color="auto"/>
            <w:left w:val="none" w:sz="0" w:space="0" w:color="auto"/>
            <w:bottom w:val="none" w:sz="0" w:space="0" w:color="auto"/>
            <w:right w:val="none" w:sz="0" w:space="0" w:color="auto"/>
          </w:divBdr>
        </w:div>
        <w:div w:id="1410544198">
          <w:marLeft w:val="0"/>
          <w:marRight w:val="0"/>
          <w:marTop w:val="0"/>
          <w:marBottom w:val="101"/>
          <w:divBdr>
            <w:top w:val="none" w:sz="0" w:space="0" w:color="auto"/>
            <w:left w:val="none" w:sz="0" w:space="0" w:color="auto"/>
            <w:bottom w:val="none" w:sz="0" w:space="0" w:color="auto"/>
            <w:right w:val="none" w:sz="0" w:space="0" w:color="auto"/>
          </w:divBdr>
        </w:div>
        <w:div w:id="1236354347">
          <w:marLeft w:val="0"/>
          <w:marRight w:val="0"/>
          <w:marTop w:val="0"/>
          <w:marBottom w:val="101"/>
          <w:divBdr>
            <w:top w:val="none" w:sz="0" w:space="0" w:color="auto"/>
            <w:left w:val="none" w:sz="0" w:space="0" w:color="auto"/>
            <w:bottom w:val="none" w:sz="0" w:space="0" w:color="auto"/>
            <w:right w:val="none" w:sz="0" w:space="0" w:color="auto"/>
          </w:divBdr>
        </w:div>
        <w:div w:id="2077892385">
          <w:marLeft w:val="0"/>
          <w:marRight w:val="0"/>
          <w:marTop w:val="0"/>
          <w:marBottom w:val="101"/>
          <w:divBdr>
            <w:top w:val="none" w:sz="0" w:space="0" w:color="auto"/>
            <w:left w:val="none" w:sz="0" w:space="0" w:color="auto"/>
            <w:bottom w:val="none" w:sz="0" w:space="0" w:color="auto"/>
            <w:right w:val="none" w:sz="0" w:space="0" w:color="auto"/>
          </w:divBdr>
        </w:div>
        <w:div w:id="1021197845">
          <w:marLeft w:val="0"/>
          <w:marRight w:val="0"/>
          <w:marTop w:val="0"/>
          <w:marBottom w:val="101"/>
          <w:divBdr>
            <w:top w:val="none" w:sz="0" w:space="0" w:color="auto"/>
            <w:left w:val="none" w:sz="0" w:space="0" w:color="auto"/>
            <w:bottom w:val="none" w:sz="0" w:space="0" w:color="auto"/>
            <w:right w:val="none" w:sz="0" w:space="0" w:color="auto"/>
          </w:divBdr>
        </w:div>
        <w:div w:id="1167013615">
          <w:marLeft w:val="0"/>
          <w:marRight w:val="0"/>
          <w:marTop w:val="0"/>
          <w:marBottom w:val="101"/>
          <w:divBdr>
            <w:top w:val="none" w:sz="0" w:space="0" w:color="auto"/>
            <w:left w:val="none" w:sz="0" w:space="0" w:color="auto"/>
            <w:bottom w:val="none" w:sz="0" w:space="0" w:color="auto"/>
            <w:right w:val="none" w:sz="0" w:space="0" w:color="auto"/>
          </w:divBdr>
        </w:div>
        <w:div w:id="437067508">
          <w:marLeft w:val="0"/>
          <w:marRight w:val="0"/>
          <w:marTop w:val="0"/>
          <w:marBottom w:val="101"/>
          <w:divBdr>
            <w:top w:val="none" w:sz="0" w:space="0" w:color="auto"/>
            <w:left w:val="none" w:sz="0" w:space="0" w:color="auto"/>
            <w:bottom w:val="none" w:sz="0" w:space="0" w:color="auto"/>
            <w:right w:val="none" w:sz="0" w:space="0" w:color="auto"/>
          </w:divBdr>
        </w:div>
        <w:div w:id="2034577820">
          <w:marLeft w:val="0"/>
          <w:marRight w:val="0"/>
          <w:marTop w:val="0"/>
          <w:marBottom w:val="101"/>
          <w:divBdr>
            <w:top w:val="none" w:sz="0" w:space="0" w:color="auto"/>
            <w:left w:val="none" w:sz="0" w:space="0" w:color="auto"/>
            <w:bottom w:val="none" w:sz="0" w:space="0" w:color="auto"/>
            <w:right w:val="none" w:sz="0" w:space="0" w:color="auto"/>
          </w:divBdr>
        </w:div>
        <w:div w:id="855922599">
          <w:marLeft w:val="0"/>
          <w:marRight w:val="0"/>
          <w:marTop w:val="0"/>
          <w:marBottom w:val="101"/>
          <w:divBdr>
            <w:top w:val="none" w:sz="0" w:space="0" w:color="auto"/>
            <w:left w:val="none" w:sz="0" w:space="0" w:color="auto"/>
            <w:bottom w:val="none" w:sz="0" w:space="0" w:color="auto"/>
            <w:right w:val="none" w:sz="0" w:space="0" w:color="auto"/>
          </w:divBdr>
        </w:div>
        <w:div w:id="827138350">
          <w:marLeft w:val="0"/>
          <w:marRight w:val="0"/>
          <w:marTop w:val="0"/>
          <w:marBottom w:val="101"/>
          <w:divBdr>
            <w:top w:val="none" w:sz="0" w:space="0" w:color="auto"/>
            <w:left w:val="none" w:sz="0" w:space="0" w:color="auto"/>
            <w:bottom w:val="none" w:sz="0" w:space="0" w:color="auto"/>
            <w:right w:val="none" w:sz="0" w:space="0" w:color="auto"/>
          </w:divBdr>
        </w:div>
        <w:div w:id="1659110348">
          <w:marLeft w:val="0"/>
          <w:marRight w:val="0"/>
          <w:marTop w:val="0"/>
          <w:marBottom w:val="101"/>
          <w:divBdr>
            <w:top w:val="none" w:sz="0" w:space="0" w:color="auto"/>
            <w:left w:val="none" w:sz="0" w:space="0" w:color="auto"/>
            <w:bottom w:val="none" w:sz="0" w:space="0" w:color="auto"/>
            <w:right w:val="none" w:sz="0" w:space="0" w:color="auto"/>
          </w:divBdr>
        </w:div>
        <w:div w:id="581063251">
          <w:marLeft w:val="0"/>
          <w:marRight w:val="0"/>
          <w:marTop w:val="0"/>
          <w:marBottom w:val="101"/>
          <w:divBdr>
            <w:top w:val="none" w:sz="0" w:space="0" w:color="auto"/>
            <w:left w:val="none" w:sz="0" w:space="0" w:color="auto"/>
            <w:bottom w:val="none" w:sz="0" w:space="0" w:color="auto"/>
            <w:right w:val="none" w:sz="0" w:space="0" w:color="auto"/>
          </w:divBdr>
        </w:div>
        <w:div w:id="1833569229">
          <w:marLeft w:val="0"/>
          <w:marRight w:val="0"/>
          <w:marTop w:val="0"/>
          <w:marBottom w:val="101"/>
          <w:divBdr>
            <w:top w:val="none" w:sz="0" w:space="0" w:color="auto"/>
            <w:left w:val="none" w:sz="0" w:space="0" w:color="auto"/>
            <w:bottom w:val="none" w:sz="0" w:space="0" w:color="auto"/>
            <w:right w:val="none" w:sz="0" w:space="0" w:color="auto"/>
          </w:divBdr>
        </w:div>
        <w:div w:id="259140799">
          <w:marLeft w:val="0"/>
          <w:marRight w:val="0"/>
          <w:marTop w:val="0"/>
          <w:marBottom w:val="101"/>
          <w:divBdr>
            <w:top w:val="none" w:sz="0" w:space="0" w:color="auto"/>
            <w:left w:val="none" w:sz="0" w:space="0" w:color="auto"/>
            <w:bottom w:val="none" w:sz="0" w:space="0" w:color="auto"/>
            <w:right w:val="none" w:sz="0" w:space="0" w:color="auto"/>
          </w:divBdr>
        </w:div>
        <w:div w:id="528420521">
          <w:marLeft w:val="0"/>
          <w:marRight w:val="0"/>
          <w:marTop w:val="0"/>
          <w:marBottom w:val="60"/>
          <w:divBdr>
            <w:top w:val="none" w:sz="0" w:space="0" w:color="auto"/>
            <w:left w:val="none" w:sz="0" w:space="0" w:color="auto"/>
            <w:bottom w:val="none" w:sz="0" w:space="0" w:color="auto"/>
            <w:right w:val="none" w:sz="0" w:space="0" w:color="auto"/>
          </w:divBdr>
        </w:div>
        <w:div w:id="114759652">
          <w:marLeft w:val="0"/>
          <w:marRight w:val="0"/>
          <w:marTop w:val="0"/>
          <w:marBottom w:val="60"/>
          <w:divBdr>
            <w:top w:val="none" w:sz="0" w:space="0" w:color="auto"/>
            <w:left w:val="none" w:sz="0" w:space="0" w:color="auto"/>
            <w:bottom w:val="none" w:sz="0" w:space="0" w:color="auto"/>
            <w:right w:val="none" w:sz="0" w:space="0" w:color="auto"/>
          </w:divBdr>
        </w:div>
        <w:div w:id="426075940">
          <w:marLeft w:val="0"/>
          <w:marRight w:val="0"/>
          <w:marTop w:val="0"/>
          <w:marBottom w:val="60"/>
          <w:divBdr>
            <w:top w:val="none" w:sz="0" w:space="0" w:color="auto"/>
            <w:left w:val="none" w:sz="0" w:space="0" w:color="auto"/>
            <w:bottom w:val="none" w:sz="0" w:space="0" w:color="auto"/>
            <w:right w:val="none" w:sz="0" w:space="0" w:color="auto"/>
          </w:divBdr>
        </w:div>
        <w:div w:id="101657141">
          <w:marLeft w:val="0"/>
          <w:marRight w:val="0"/>
          <w:marTop w:val="0"/>
          <w:marBottom w:val="60"/>
          <w:divBdr>
            <w:top w:val="none" w:sz="0" w:space="0" w:color="auto"/>
            <w:left w:val="none" w:sz="0" w:space="0" w:color="auto"/>
            <w:bottom w:val="none" w:sz="0" w:space="0" w:color="auto"/>
            <w:right w:val="none" w:sz="0" w:space="0" w:color="auto"/>
          </w:divBdr>
        </w:div>
        <w:div w:id="1207327929">
          <w:marLeft w:val="432"/>
          <w:marRight w:val="0"/>
          <w:marTop w:val="0"/>
          <w:marBottom w:val="60"/>
          <w:divBdr>
            <w:top w:val="none" w:sz="0" w:space="0" w:color="auto"/>
            <w:left w:val="none" w:sz="0" w:space="0" w:color="auto"/>
            <w:bottom w:val="none" w:sz="0" w:space="0" w:color="auto"/>
            <w:right w:val="none" w:sz="0" w:space="0" w:color="auto"/>
          </w:divBdr>
        </w:div>
        <w:div w:id="1072118010">
          <w:marLeft w:val="432"/>
          <w:marRight w:val="0"/>
          <w:marTop w:val="0"/>
          <w:marBottom w:val="60"/>
          <w:divBdr>
            <w:top w:val="none" w:sz="0" w:space="0" w:color="auto"/>
            <w:left w:val="none" w:sz="0" w:space="0" w:color="auto"/>
            <w:bottom w:val="none" w:sz="0" w:space="0" w:color="auto"/>
            <w:right w:val="none" w:sz="0" w:space="0" w:color="auto"/>
          </w:divBdr>
        </w:div>
        <w:div w:id="1533836206">
          <w:marLeft w:val="432"/>
          <w:marRight w:val="0"/>
          <w:marTop w:val="0"/>
          <w:marBottom w:val="60"/>
          <w:divBdr>
            <w:top w:val="none" w:sz="0" w:space="0" w:color="auto"/>
            <w:left w:val="none" w:sz="0" w:space="0" w:color="auto"/>
            <w:bottom w:val="none" w:sz="0" w:space="0" w:color="auto"/>
            <w:right w:val="none" w:sz="0" w:space="0" w:color="auto"/>
          </w:divBdr>
        </w:div>
        <w:div w:id="1900625137">
          <w:marLeft w:val="0"/>
          <w:marRight w:val="0"/>
          <w:marTop w:val="0"/>
          <w:marBottom w:val="60"/>
          <w:divBdr>
            <w:top w:val="none" w:sz="0" w:space="0" w:color="auto"/>
            <w:left w:val="none" w:sz="0" w:space="0" w:color="auto"/>
            <w:bottom w:val="none" w:sz="0" w:space="0" w:color="auto"/>
            <w:right w:val="none" w:sz="0" w:space="0" w:color="auto"/>
          </w:divBdr>
        </w:div>
        <w:div w:id="254020591">
          <w:marLeft w:val="0"/>
          <w:marRight w:val="0"/>
          <w:marTop w:val="0"/>
          <w:marBottom w:val="60"/>
          <w:divBdr>
            <w:top w:val="none" w:sz="0" w:space="0" w:color="auto"/>
            <w:left w:val="none" w:sz="0" w:space="0" w:color="auto"/>
            <w:bottom w:val="none" w:sz="0" w:space="0" w:color="auto"/>
            <w:right w:val="none" w:sz="0" w:space="0" w:color="auto"/>
          </w:divBdr>
        </w:div>
        <w:div w:id="1478717169">
          <w:marLeft w:val="0"/>
          <w:marRight w:val="0"/>
          <w:marTop w:val="0"/>
          <w:marBottom w:val="60"/>
          <w:divBdr>
            <w:top w:val="none" w:sz="0" w:space="0" w:color="auto"/>
            <w:left w:val="none" w:sz="0" w:space="0" w:color="auto"/>
            <w:bottom w:val="none" w:sz="0" w:space="0" w:color="auto"/>
            <w:right w:val="none" w:sz="0" w:space="0" w:color="auto"/>
          </w:divBdr>
        </w:div>
        <w:div w:id="1039084408">
          <w:marLeft w:val="0"/>
          <w:marRight w:val="0"/>
          <w:marTop w:val="0"/>
          <w:marBottom w:val="60"/>
          <w:divBdr>
            <w:top w:val="none" w:sz="0" w:space="0" w:color="auto"/>
            <w:left w:val="none" w:sz="0" w:space="0" w:color="auto"/>
            <w:bottom w:val="none" w:sz="0" w:space="0" w:color="auto"/>
            <w:right w:val="none" w:sz="0" w:space="0" w:color="auto"/>
          </w:divBdr>
        </w:div>
        <w:div w:id="1102721287">
          <w:marLeft w:val="0"/>
          <w:marRight w:val="0"/>
          <w:marTop w:val="0"/>
          <w:marBottom w:val="60"/>
          <w:divBdr>
            <w:top w:val="none" w:sz="0" w:space="0" w:color="auto"/>
            <w:left w:val="none" w:sz="0" w:space="0" w:color="auto"/>
            <w:bottom w:val="none" w:sz="0" w:space="0" w:color="auto"/>
            <w:right w:val="none" w:sz="0" w:space="0" w:color="auto"/>
          </w:divBdr>
        </w:div>
        <w:div w:id="28265107">
          <w:marLeft w:val="0"/>
          <w:marRight w:val="0"/>
          <w:marTop w:val="0"/>
          <w:marBottom w:val="60"/>
          <w:divBdr>
            <w:top w:val="none" w:sz="0" w:space="0" w:color="auto"/>
            <w:left w:val="none" w:sz="0" w:space="0" w:color="auto"/>
            <w:bottom w:val="none" w:sz="0" w:space="0" w:color="auto"/>
            <w:right w:val="none" w:sz="0" w:space="0" w:color="auto"/>
          </w:divBdr>
        </w:div>
        <w:div w:id="2096703519">
          <w:marLeft w:val="0"/>
          <w:marRight w:val="0"/>
          <w:marTop w:val="0"/>
          <w:marBottom w:val="60"/>
          <w:divBdr>
            <w:top w:val="none" w:sz="0" w:space="0" w:color="auto"/>
            <w:left w:val="none" w:sz="0" w:space="0" w:color="auto"/>
            <w:bottom w:val="none" w:sz="0" w:space="0" w:color="auto"/>
            <w:right w:val="none" w:sz="0" w:space="0" w:color="auto"/>
          </w:divBdr>
        </w:div>
        <w:div w:id="1001854200">
          <w:marLeft w:val="0"/>
          <w:marRight w:val="0"/>
          <w:marTop w:val="0"/>
          <w:marBottom w:val="60"/>
          <w:divBdr>
            <w:top w:val="none" w:sz="0" w:space="0" w:color="auto"/>
            <w:left w:val="none" w:sz="0" w:space="0" w:color="auto"/>
            <w:bottom w:val="none" w:sz="0" w:space="0" w:color="auto"/>
            <w:right w:val="none" w:sz="0" w:space="0" w:color="auto"/>
          </w:divBdr>
        </w:div>
        <w:div w:id="203833774">
          <w:marLeft w:val="0"/>
          <w:marRight w:val="0"/>
          <w:marTop w:val="0"/>
          <w:marBottom w:val="60"/>
          <w:divBdr>
            <w:top w:val="none" w:sz="0" w:space="0" w:color="auto"/>
            <w:left w:val="none" w:sz="0" w:space="0" w:color="auto"/>
            <w:bottom w:val="none" w:sz="0" w:space="0" w:color="auto"/>
            <w:right w:val="none" w:sz="0" w:space="0" w:color="auto"/>
          </w:divBdr>
        </w:div>
        <w:div w:id="1555847619">
          <w:marLeft w:val="0"/>
          <w:marRight w:val="0"/>
          <w:marTop w:val="0"/>
          <w:marBottom w:val="60"/>
          <w:divBdr>
            <w:top w:val="none" w:sz="0" w:space="0" w:color="auto"/>
            <w:left w:val="none" w:sz="0" w:space="0" w:color="auto"/>
            <w:bottom w:val="none" w:sz="0" w:space="0" w:color="auto"/>
            <w:right w:val="none" w:sz="0" w:space="0" w:color="auto"/>
          </w:divBdr>
        </w:div>
        <w:div w:id="484207418">
          <w:marLeft w:val="0"/>
          <w:marRight w:val="0"/>
          <w:marTop w:val="101"/>
          <w:marBottom w:val="60"/>
          <w:divBdr>
            <w:top w:val="none" w:sz="0" w:space="0" w:color="auto"/>
            <w:left w:val="none" w:sz="0" w:space="0" w:color="auto"/>
            <w:bottom w:val="none" w:sz="0" w:space="0" w:color="auto"/>
            <w:right w:val="none" w:sz="0" w:space="0" w:color="auto"/>
          </w:divBdr>
        </w:div>
        <w:div w:id="1204371318">
          <w:marLeft w:val="0"/>
          <w:marRight w:val="0"/>
          <w:marTop w:val="0"/>
          <w:marBottom w:val="60"/>
          <w:divBdr>
            <w:top w:val="none" w:sz="0" w:space="0" w:color="auto"/>
            <w:left w:val="none" w:sz="0" w:space="0" w:color="auto"/>
            <w:bottom w:val="none" w:sz="0" w:space="0" w:color="auto"/>
            <w:right w:val="none" w:sz="0" w:space="0" w:color="auto"/>
          </w:divBdr>
        </w:div>
        <w:div w:id="919481008">
          <w:marLeft w:val="0"/>
          <w:marRight w:val="0"/>
          <w:marTop w:val="0"/>
          <w:marBottom w:val="60"/>
          <w:divBdr>
            <w:top w:val="none" w:sz="0" w:space="0" w:color="auto"/>
            <w:left w:val="none" w:sz="0" w:space="0" w:color="auto"/>
            <w:bottom w:val="none" w:sz="0" w:space="0" w:color="auto"/>
            <w:right w:val="none" w:sz="0" w:space="0" w:color="auto"/>
          </w:divBdr>
        </w:div>
        <w:div w:id="635719991">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1539</Words>
  <Characters>8466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2021-12-15T14:55:00Z</dcterms:created>
  <dcterms:modified xsi:type="dcterms:W3CDTF">2021-12-15T14:57:00Z</dcterms:modified>
</cp:coreProperties>
</file>