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88" w:rsidRDefault="00733488" w:rsidP="00733488">
      <w:pPr>
        <w:jc w:val="center"/>
        <w:rPr>
          <w:rFonts w:ascii="Verdana" w:hAnsi="Verdana"/>
          <w:b/>
          <w:bCs/>
          <w:color w:val="0070C0"/>
          <w:sz w:val="24"/>
        </w:rPr>
      </w:pPr>
      <w:r w:rsidRPr="00733488">
        <w:rPr>
          <w:rFonts w:ascii="Verdana" w:hAnsi="Verdana"/>
          <w:b/>
          <w:bCs/>
          <w:color w:val="0070C0"/>
          <w:sz w:val="24"/>
        </w:rPr>
        <w:t>Acuerdo que modifica al diverso que establece la clasificación y codificación de mercancías cuya importación está sujeta a regulación por parte de la Secretaría de Agricultura, Ganadería, Desarrollo Rural, Pesca y Alimentación, a través del Servicio Nacional</w:t>
      </w:r>
      <w:r>
        <w:rPr>
          <w:rFonts w:ascii="Verdana" w:hAnsi="Verdana"/>
          <w:b/>
          <w:bCs/>
          <w:color w:val="0070C0"/>
          <w:sz w:val="24"/>
        </w:rPr>
        <w:t xml:space="preserve"> </w:t>
      </w:r>
      <w:r w:rsidRPr="00733488">
        <w:rPr>
          <w:rFonts w:ascii="Verdana" w:hAnsi="Verdana"/>
          <w:b/>
          <w:bCs/>
          <w:color w:val="0070C0"/>
          <w:sz w:val="24"/>
        </w:rPr>
        <w:t>de Sanidad, Inocuidad y Calidad Agroalimentaria</w:t>
      </w:r>
    </w:p>
    <w:p w:rsidR="00733488" w:rsidRDefault="00733488" w:rsidP="00733488">
      <w:pPr>
        <w:jc w:val="center"/>
        <w:rPr>
          <w:rFonts w:ascii="Verdana" w:hAnsi="Verdana"/>
          <w:b/>
          <w:bCs/>
          <w:color w:val="0070C0"/>
          <w:sz w:val="24"/>
        </w:rPr>
      </w:pPr>
      <w:r>
        <w:rPr>
          <w:rFonts w:ascii="Verdana" w:hAnsi="Verdana"/>
          <w:b/>
          <w:bCs/>
          <w:color w:val="0070C0"/>
          <w:sz w:val="24"/>
        </w:rPr>
        <w:t>(DOF del 12 de julio de 2018)</w:t>
      </w:r>
    </w:p>
    <w:p w:rsidR="00733488" w:rsidRPr="00733488" w:rsidRDefault="00733488" w:rsidP="00733488">
      <w:pPr>
        <w:jc w:val="both"/>
        <w:rPr>
          <w:rFonts w:ascii="Verdana" w:hAnsi="Verdana"/>
          <w:b/>
          <w:bCs/>
          <w:sz w:val="20"/>
        </w:rPr>
      </w:pPr>
      <w:r w:rsidRPr="00733488">
        <w:rPr>
          <w:rFonts w:ascii="Verdana" w:hAnsi="Verdana"/>
          <w:b/>
          <w:bCs/>
          <w:sz w:val="20"/>
        </w:rPr>
        <w:t>Al margen un sello con el Escudo Nacional, que dice: Estados Unidos Mexicanos.- Secretaría de Economía.- Secretaría de Agricultura, Ganadería, Desarrollo Rural, Pesca y Alimentación.</w:t>
      </w:r>
    </w:p>
    <w:p w:rsidR="00733488" w:rsidRPr="00733488" w:rsidRDefault="00733488" w:rsidP="00733488">
      <w:pPr>
        <w:jc w:val="both"/>
        <w:rPr>
          <w:rFonts w:ascii="Verdana" w:hAnsi="Verdana"/>
          <w:bCs/>
          <w:sz w:val="20"/>
        </w:rPr>
      </w:pPr>
      <w:r w:rsidRPr="00733488">
        <w:rPr>
          <w:rFonts w:ascii="Verdana" w:hAnsi="Verdana"/>
          <w:bCs/>
          <w:sz w:val="20"/>
        </w:rPr>
        <w:t>ILDEFONSO GUAJARDO VILLARREAL, Secretario de Economía, y BALTAZAR MANUEL HINOJOSA OCHOA, Secretario de Agricultura, Ganadería, Desarrollo Rural, Pesca y Alimentación, con fundamento en los artículos 34 fracciones V y XXXIII y 35 fracciones XV y XXII de la Ley Orgánica de la Administración Pública Federal; 4o. fracción III, 5o. fracciones III y V, 16 fracción VI, 17, 20 y 21 de la Ley de Comercio Exterior; 36-A fracción I inciso c) de la Ley Aduanera; 5 fracción XVII del Reglamento Interior de la Secretaría de Economía; 5 fracción XXII del Reglamento Interior de la Secretaría de Agricultura, Ganadería, Desarrollo Rural, Pesca y Alimentación, y</w:t>
      </w:r>
    </w:p>
    <w:p w:rsidR="00733488" w:rsidRPr="00733488" w:rsidRDefault="00733488" w:rsidP="00733488">
      <w:pPr>
        <w:jc w:val="both"/>
        <w:rPr>
          <w:rFonts w:ascii="Verdana" w:hAnsi="Verdana"/>
          <w:b/>
          <w:bCs/>
          <w:sz w:val="20"/>
        </w:rPr>
      </w:pPr>
      <w:r w:rsidRPr="00733488">
        <w:rPr>
          <w:rFonts w:ascii="Verdana" w:hAnsi="Verdana"/>
          <w:b/>
          <w:bCs/>
          <w:sz w:val="20"/>
        </w:rPr>
        <w:t>CONSIDERANDO</w:t>
      </w:r>
    </w:p>
    <w:p w:rsidR="00733488" w:rsidRPr="00733488" w:rsidRDefault="00733488" w:rsidP="00733488">
      <w:pPr>
        <w:jc w:val="both"/>
        <w:rPr>
          <w:rFonts w:ascii="Verdana" w:hAnsi="Verdana"/>
          <w:bCs/>
          <w:sz w:val="20"/>
        </w:rPr>
      </w:pPr>
      <w:r w:rsidRPr="00733488">
        <w:rPr>
          <w:rFonts w:ascii="Verdana" w:hAnsi="Verdana"/>
          <w:bCs/>
          <w:sz w:val="20"/>
        </w:rPr>
        <w:t>Que el 3 de septiembre de 2012 se publicó en el Diario Oficial de la Federación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(Acuerdo).</w:t>
      </w:r>
    </w:p>
    <w:p w:rsidR="00733488" w:rsidRPr="00733488" w:rsidRDefault="00733488" w:rsidP="00733488">
      <w:pPr>
        <w:jc w:val="both"/>
        <w:rPr>
          <w:rFonts w:ascii="Verdana" w:hAnsi="Verdana"/>
          <w:bCs/>
          <w:sz w:val="20"/>
        </w:rPr>
      </w:pPr>
      <w:r w:rsidRPr="00733488">
        <w:rPr>
          <w:rFonts w:ascii="Verdana" w:hAnsi="Verdana"/>
          <w:bCs/>
          <w:sz w:val="20"/>
        </w:rPr>
        <w:t>Que el Acuerdo establece que, para constatar el cumplimiento de la normatividad, la autoridad aduanera exigirá la presentación del Certificado Zoosanitario para Importación, Certificado de Sanidad Acuícola para Importación, o el Certificado Fitosanitario para Importación, según corresponda, cuya expedición está supeditada a la inspección documental y física de las mercancías reguladas, la cual debe hacerse al momento mismo del despacho.</w:t>
      </w:r>
    </w:p>
    <w:p w:rsidR="00733488" w:rsidRPr="00733488" w:rsidRDefault="00733488" w:rsidP="00733488">
      <w:pPr>
        <w:jc w:val="both"/>
        <w:rPr>
          <w:rFonts w:ascii="Verdana" w:hAnsi="Verdana"/>
          <w:bCs/>
          <w:sz w:val="20"/>
        </w:rPr>
      </w:pPr>
      <w:r w:rsidRPr="00733488">
        <w:rPr>
          <w:rFonts w:ascii="Verdana" w:hAnsi="Verdana"/>
          <w:bCs/>
          <w:sz w:val="20"/>
        </w:rPr>
        <w:t>Que el 5 de junio de 2018 se publicó en el Diario Oficial de la Federación el Decreto</w:t>
      </w:r>
      <w:r w:rsidRPr="00733488">
        <w:rPr>
          <w:rFonts w:ascii="Verdana" w:hAnsi="Verdana"/>
          <w:b/>
          <w:bCs/>
          <w:sz w:val="20"/>
        </w:rPr>
        <w:t> </w:t>
      </w:r>
      <w:r w:rsidRPr="00733488">
        <w:rPr>
          <w:rFonts w:ascii="Verdana" w:hAnsi="Verdana"/>
          <w:bCs/>
          <w:sz w:val="20"/>
        </w:rPr>
        <w:t>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mediante el cual se creó la fracción arancelaria específica 1601.00.02 en la que se clasifican productos de la especie porcina.</w:t>
      </w:r>
    </w:p>
    <w:p w:rsidR="00733488" w:rsidRPr="00733488" w:rsidRDefault="00733488" w:rsidP="00733488">
      <w:pPr>
        <w:jc w:val="both"/>
        <w:rPr>
          <w:rFonts w:ascii="Verdana" w:hAnsi="Verdana"/>
          <w:bCs/>
          <w:sz w:val="20"/>
        </w:rPr>
      </w:pPr>
      <w:r w:rsidRPr="00733488">
        <w:rPr>
          <w:rFonts w:ascii="Verdana" w:hAnsi="Verdana"/>
          <w:bCs/>
          <w:sz w:val="20"/>
        </w:rPr>
        <w:t xml:space="preserve">Que conforme a lo dispuesto por los artículos 20 de la Ley de Comercio Exterior y 36-A fracción I inciso c) de la Ley Aduanera, sólo podrán hacerse cumplir en el punto de entrada al país las regulaciones y restricciones no arancelarias cuyas mercancías hayan </w:t>
      </w:r>
      <w:r w:rsidRPr="00733488">
        <w:rPr>
          <w:rFonts w:ascii="Verdana" w:hAnsi="Verdana"/>
          <w:bCs/>
          <w:sz w:val="20"/>
        </w:rPr>
        <w:lastRenderedPageBreak/>
        <w:t>sido identificadas en términos de sus fracciones arancelarias y nomenclatura que les corresponda, por lo que resulta necesario actualizar el Acuerdo para sujetar la fracción arancelaria que se creó por virtud del Decreto señalado en el considerando anterior al cumplimiento de lo señalado en el Módulo de Consulta de Requisitos Zoosanitarios para la Importación u Hoja de Requisitos Zoosanitarios, con el propósito de otorgar certeza jurídica a los usuarios de comercio exterior.</w:t>
      </w:r>
    </w:p>
    <w:p w:rsidR="00733488" w:rsidRPr="00733488" w:rsidRDefault="00733488" w:rsidP="00733488">
      <w:pPr>
        <w:jc w:val="both"/>
        <w:rPr>
          <w:rFonts w:ascii="Verdana" w:hAnsi="Verdana"/>
          <w:bCs/>
          <w:sz w:val="20"/>
        </w:rPr>
      </w:pPr>
      <w:r w:rsidRPr="00733488">
        <w:rPr>
          <w:rFonts w:ascii="Verdana" w:hAnsi="Verdana"/>
          <w:bCs/>
          <w:sz w:val="20"/>
        </w:rPr>
        <w:t>Que en cumplimiento a lo señalado por la Ley de Comercio Exterior, la medida a que se refiere el presente instrumento fue sometida a la consideración de la Comisión de Comercio Exterior y opinada favorablemente por la misma, por lo que se expide el siguiente:</w:t>
      </w:r>
    </w:p>
    <w:p w:rsidR="00733488" w:rsidRPr="00733488" w:rsidRDefault="00733488" w:rsidP="00733488">
      <w:pPr>
        <w:jc w:val="both"/>
        <w:rPr>
          <w:rFonts w:ascii="Verdana" w:hAnsi="Verdana"/>
          <w:b/>
          <w:bCs/>
          <w:sz w:val="20"/>
        </w:rPr>
      </w:pPr>
      <w:r w:rsidRPr="00733488">
        <w:rPr>
          <w:rFonts w:ascii="Verdana" w:hAnsi="Verdana"/>
          <w:b/>
          <w:bCs/>
          <w:sz w:val="20"/>
        </w:rPr>
        <w:t>ACUERDO QUE MODIFICA AL DIVERSO QUE ESTABLECE LA CLASIFICACIÓN Y CODIFICACIÓN DE</w:t>
      </w:r>
      <w:r w:rsidRPr="00733488">
        <w:rPr>
          <w:rFonts w:ascii="Verdana" w:hAnsi="Verdana"/>
          <w:b/>
          <w:bCs/>
          <w:sz w:val="20"/>
        </w:rPr>
        <w:br/>
        <w:t>MERCANCÍAS CUYA IMPORTACIÓN ESTÁ SUJETA A REGULACIÓN POR PARTE DE LA SECRETARÍA</w:t>
      </w:r>
      <w:r w:rsidRPr="00733488">
        <w:rPr>
          <w:rFonts w:ascii="Verdana" w:hAnsi="Verdana"/>
          <w:b/>
          <w:bCs/>
          <w:sz w:val="20"/>
        </w:rPr>
        <w:br/>
        <w:t>DE AGRICULTURA, GANADERÍA, DESARROLLO RURAL, PESCA Y ALIMENTACIÓN, A TRAVÉS DEL</w:t>
      </w:r>
      <w:r w:rsidRPr="00733488">
        <w:rPr>
          <w:rFonts w:ascii="Verdana" w:hAnsi="Verdana"/>
          <w:b/>
          <w:bCs/>
          <w:sz w:val="20"/>
        </w:rPr>
        <w:br/>
        <w:t>SERVICIO NACIONAL DE SANIDAD, INOCUIDAD Y CALIDAD AGROALIMENTARIA</w:t>
      </w:r>
    </w:p>
    <w:p w:rsidR="00733488" w:rsidRPr="00733488" w:rsidRDefault="00733488" w:rsidP="00733488">
      <w:pPr>
        <w:jc w:val="both"/>
        <w:rPr>
          <w:rFonts w:ascii="Verdana" w:hAnsi="Verdana"/>
          <w:bCs/>
          <w:sz w:val="20"/>
        </w:rPr>
      </w:pPr>
      <w:r w:rsidRPr="00733488">
        <w:rPr>
          <w:rFonts w:ascii="Verdana" w:hAnsi="Verdana"/>
          <w:b/>
          <w:bCs/>
          <w:sz w:val="20"/>
        </w:rPr>
        <w:t>ÚNICO.- </w:t>
      </w:r>
      <w:r w:rsidRPr="00733488">
        <w:rPr>
          <w:rFonts w:ascii="Verdana" w:hAnsi="Verdana"/>
          <w:bCs/>
          <w:sz w:val="20"/>
        </w:rPr>
        <w:t>Se </w:t>
      </w:r>
      <w:r w:rsidRPr="00733488">
        <w:rPr>
          <w:rFonts w:ascii="Verdana" w:hAnsi="Verdana"/>
          <w:b/>
          <w:bCs/>
          <w:sz w:val="20"/>
        </w:rPr>
        <w:t>adiciona </w:t>
      </w:r>
      <w:r w:rsidRPr="00733488">
        <w:rPr>
          <w:rFonts w:ascii="Verdana" w:hAnsi="Verdana"/>
          <w:bCs/>
          <w:sz w:val="20"/>
        </w:rPr>
        <w:t>al Punto SEGUNDO del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modificaciones, la siguiente fracción arancelaria, en el orden que le corresponde según su numeración, como a continuación se indica:</w:t>
      </w:r>
    </w:p>
    <w:p w:rsidR="00733488" w:rsidRPr="00733488" w:rsidRDefault="00733488" w:rsidP="00733488">
      <w:pPr>
        <w:jc w:val="both"/>
        <w:rPr>
          <w:rFonts w:ascii="Verdana" w:hAnsi="Verdana"/>
          <w:bCs/>
          <w:sz w:val="20"/>
        </w:rPr>
      </w:pPr>
      <w:r w:rsidRPr="00733488">
        <w:rPr>
          <w:rFonts w:ascii="Verdana" w:hAnsi="Verdana"/>
          <w:bCs/>
          <w:sz w:val="20"/>
        </w:rPr>
        <w:t>"</w:t>
      </w:r>
      <w:r w:rsidRPr="00733488">
        <w:rPr>
          <w:rFonts w:ascii="Verdana" w:hAnsi="Verdana"/>
          <w:b/>
          <w:bCs/>
          <w:sz w:val="20"/>
        </w:rPr>
        <w:t>SEGUNDO.</w:t>
      </w:r>
      <w:proofErr w:type="gramStart"/>
      <w:r w:rsidRPr="00733488">
        <w:rPr>
          <w:rFonts w:ascii="Verdana" w:hAnsi="Verdana"/>
          <w:b/>
          <w:bCs/>
          <w:sz w:val="20"/>
        </w:rPr>
        <w:t>-</w:t>
      </w:r>
      <w:r w:rsidRPr="00733488">
        <w:rPr>
          <w:rFonts w:ascii="Verdana" w:hAnsi="Verdana"/>
          <w:bCs/>
          <w:sz w:val="20"/>
        </w:rPr>
        <w:t> </w:t>
      </w:r>
      <w:r w:rsidRPr="00733488">
        <w:rPr>
          <w:rFonts w:ascii="Verdana" w:hAnsi="Verdana"/>
          <w:b/>
          <w:bCs/>
          <w:sz w:val="20"/>
        </w:rPr>
        <w:t>...</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03"/>
        <w:gridCol w:w="6809"/>
      </w:tblGrid>
      <w:tr w:rsidR="00733488" w:rsidRPr="00733488" w:rsidTr="00733488">
        <w:trPr>
          <w:trHeight w:val="445"/>
        </w:trPr>
        <w:tc>
          <w:tcPr>
            <w:tcW w:w="19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
                <w:bCs/>
                <w:sz w:val="20"/>
              </w:rPr>
              <w:t>Fracción</w:t>
            </w:r>
            <w:r w:rsidRPr="00733488">
              <w:rPr>
                <w:rFonts w:ascii="Verdana" w:hAnsi="Verdana"/>
                <w:bCs/>
                <w:sz w:val="20"/>
              </w:rPr>
              <w:br/>
            </w:r>
            <w:r w:rsidRPr="00733488">
              <w:rPr>
                <w:rFonts w:ascii="Verdana" w:hAnsi="Verdana"/>
                <w:b/>
                <w:bCs/>
                <w:sz w:val="20"/>
              </w:rPr>
              <w:t>arancelaria</w:t>
            </w:r>
          </w:p>
        </w:tc>
        <w:tc>
          <w:tcPr>
            <w:tcW w:w="6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
                <w:bCs/>
                <w:sz w:val="20"/>
              </w:rPr>
              <w:t>Descripción</w:t>
            </w:r>
          </w:p>
        </w:tc>
      </w:tr>
      <w:tr w:rsidR="00733488" w:rsidRPr="00733488" w:rsidTr="00733488">
        <w:trPr>
          <w:trHeight w:val="235"/>
        </w:trPr>
        <w:tc>
          <w:tcPr>
            <w:tcW w:w="1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
                <w:bCs/>
                <w:sz w:val="20"/>
              </w:rPr>
              <w:t>...</w:t>
            </w:r>
          </w:p>
        </w:tc>
        <w:tc>
          <w:tcPr>
            <w:tcW w:w="6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
                <w:bCs/>
                <w:sz w:val="20"/>
              </w:rPr>
              <w:t>...</w:t>
            </w:r>
          </w:p>
        </w:tc>
      </w:tr>
      <w:tr w:rsidR="00733488" w:rsidRPr="00733488" w:rsidTr="00733488">
        <w:trPr>
          <w:trHeight w:val="235"/>
        </w:trPr>
        <w:tc>
          <w:tcPr>
            <w:tcW w:w="1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Cs/>
                <w:sz w:val="20"/>
              </w:rPr>
              <w:t>1601.00.02</w:t>
            </w:r>
          </w:p>
        </w:tc>
        <w:tc>
          <w:tcPr>
            <w:tcW w:w="6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Cs/>
                <w:sz w:val="20"/>
              </w:rPr>
              <w:t>De la especie porcina.</w:t>
            </w:r>
          </w:p>
        </w:tc>
      </w:tr>
      <w:tr w:rsidR="00733488" w:rsidRPr="00733488" w:rsidTr="00733488">
        <w:trPr>
          <w:trHeight w:val="250"/>
        </w:trPr>
        <w:tc>
          <w:tcPr>
            <w:tcW w:w="1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
                <w:bCs/>
                <w:sz w:val="20"/>
              </w:rPr>
              <w:t>....</w:t>
            </w:r>
          </w:p>
        </w:tc>
        <w:tc>
          <w:tcPr>
            <w:tcW w:w="6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33488" w:rsidRPr="00733488" w:rsidRDefault="00733488" w:rsidP="00733488">
            <w:pPr>
              <w:jc w:val="both"/>
              <w:rPr>
                <w:rFonts w:ascii="Verdana" w:hAnsi="Verdana"/>
                <w:bCs/>
                <w:sz w:val="20"/>
              </w:rPr>
            </w:pPr>
            <w:r w:rsidRPr="00733488">
              <w:rPr>
                <w:rFonts w:ascii="Verdana" w:hAnsi="Verdana"/>
                <w:b/>
                <w:bCs/>
                <w:sz w:val="20"/>
              </w:rPr>
              <w:t>...</w:t>
            </w:r>
          </w:p>
        </w:tc>
      </w:tr>
    </w:tbl>
    <w:p w:rsidR="00733488" w:rsidRPr="00733488" w:rsidRDefault="00733488" w:rsidP="00733488">
      <w:pPr>
        <w:jc w:val="both"/>
        <w:rPr>
          <w:rFonts w:ascii="Verdana" w:hAnsi="Verdana"/>
          <w:bCs/>
          <w:sz w:val="20"/>
        </w:rPr>
      </w:pPr>
      <w:r w:rsidRPr="00733488">
        <w:rPr>
          <w:rFonts w:ascii="Verdana" w:hAnsi="Verdana"/>
          <w:bCs/>
          <w:sz w:val="20"/>
        </w:rPr>
        <w:t> </w:t>
      </w:r>
    </w:p>
    <w:p w:rsidR="00733488" w:rsidRPr="00733488" w:rsidRDefault="00733488" w:rsidP="00733488">
      <w:pPr>
        <w:jc w:val="both"/>
        <w:rPr>
          <w:rFonts w:ascii="Verdana" w:hAnsi="Verdana"/>
          <w:b/>
          <w:bCs/>
          <w:sz w:val="20"/>
        </w:rPr>
      </w:pPr>
      <w:r w:rsidRPr="00733488">
        <w:rPr>
          <w:rFonts w:ascii="Verdana" w:hAnsi="Verdana"/>
          <w:b/>
          <w:bCs/>
          <w:sz w:val="20"/>
        </w:rPr>
        <w:t>TRANSITORIO</w:t>
      </w:r>
    </w:p>
    <w:p w:rsidR="00733488" w:rsidRPr="00733488" w:rsidRDefault="00733488" w:rsidP="00733488">
      <w:pPr>
        <w:jc w:val="both"/>
        <w:rPr>
          <w:rFonts w:ascii="Verdana" w:hAnsi="Verdana"/>
          <w:bCs/>
          <w:sz w:val="20"/>
        </w:rPr>
      </w:pPr>
      <w:r w:rsidRPr="00733488">
        <w:rPr>
          <w:rFonts w:ascii="Verdana" w:hAnsi="Verdana"/>
          <w:b/>
          <w:bCs/>
          <w:sz w:val="20"/>
        </w:rPr>
        <w:t>ÚNICO.-</w:t>
      </w:r>
      <w:r w:rsidRPr="00733488">
        <w:rPr>
          <w:rFonts w:ascii="Verdana" w:hAnsi="Verdana"/>
          <w:bCs/>
          <w:sz w:val="20"/>
        </w:rPr>
        <w:t> El presente Acuerdo entrará en vigor el día hábil siguiente al de su publicación en el Diario Oficial de la Federación.</w:t>
      </w:r>
    </w:p>
    <w:p w:rsidR="00733488" w:rsidRPr="00733488" w:rsidRDefault="00733488" w:rsidP="00733488">
      <w:pPr>
        <w:jc w:val="both"/>
        <w:rPr>
          <w:rFonts w:ascii="Verdana" w:hAnsi="Verdana"/>
          <w:bCs/>
          <w:sz w:val="20"/>
        </w:rPr>
      </w:pPr>
      <w:r w:rsidRPr="00733488">
        <w:rPr>
          <w:rFonts w:ascii="Verdana" w:hAnsi="Verdana"/>
          <w:bCs/>
          <w:sz w:val="20"/>
        </w:rPr>
        <w:lastRenderedPageBreak/>
        <w:t>Ciudad de México, a 8 de junio de 2018.- El Secretario de Economía, </w:t>
      </w:r>
      <w:r w:rsidRPr="00733488">
        <w:rPr>
          <w:rFonts w:ascii="Verdana" w:hAnsi="Verdana"/>
          <w:b/>
          <w:bCs/>
          <w:sz w:val="20"/>
        </w:rPr>
        <w:t>Ildefonso Guajardo Villarreal</w:t>
      </w:r>
      <w:r w:rsidRPr="00733488">
        <w:rPr>
          <w:rFonts w:ascii="Verdana" w:hAnsi="Verdana"/>
          <w:bCs/>
          <w:sz w:val="20"/>
        </w:rPr>
        <w:t>.- Rúbrica.- El Secretario de Agricultura, Ganadería, Desarrollo Rural, Pesca y Alimentación, </w:t>
      </w:r>
      <w:r w:rsidRPr="00733488">
        <w:rPr>
          <w:rFonts w:ascii="Verdana" w:hAnsi="Verdana"/>
          <w:b/>
          <w:bCs/>
          <w:sz w:val="20"/>
        </w:rPr>
        <w:t>Baltazar Manuel Hinojosa Ochoa</w:t>
      </w:r>
      <w:r w:rsidRPr="00733488">
        <w:rPr>
          <w:rFonts w:ascii="Verdana" w:hAnsi="Verdana"/>
          <w:bCs/>
          <w:sz w:val="20"/>
        </w:rPr>
        <w:t>.- Rúbrica.</w:t>
      </w:r>
    </w:p>
    <w:p w:rsidR="00733488" w:rsidRPr="00733488" w:rsidRDefault="00733488" w:rsidP="00733488">
      <w:pPr>
        <w:jc w:val="both"/>
        <w:rPr>
          <w:rFonts w:ascii="Verdana" w:hAnsi="Verdana"/>
          <w:bCs/>
          <w:sz w:val="20"/>
        </w:rPr>
      </w:pPr>
      <w:bookmarkStart w:id="0" w:name="_GoBack"/>
      <w:bookmarkEnd w:id="0"/>
    </w:p>
    <w:p w:rsidR="00BF3AEB" w:rsidRDefault="0073348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88"/>
    <w:rsid w:val="002228FA"/>
    <w:rsid w:val="0073348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9628">
      <w:bodyDiv w:val="1"/>
      <w:marLeft w:val="0"/>
      <w:marRight w:val="0"/>
      <w:marTop w:val="0"/>
      <w:marBottom w:val="0"/>
      <w:divBdr>
        <w:top w:val="none" w:sz="0" w:space="0" w:color="auto"/>
        <w:left w:val="none" w:sz="0" w:space="0" w:color="auto"/>
        <w:bottom w:val="none" w:sz="0" w:space="0" w:color="auto"/>
        <w:right w:val="none" w:sz="0" w:space="0" w:color="auto"/>
      </w:divBdr>
    </w:div>
    <w:div w:id="1100881198">
      <w:bodyDiv w:val="1"/>
      <w:marLeft w:val="0"/>
      <w:marRight w:val="0"/>
      <w:marTop w:val="0"/>
      <w:marBottom w:val="0"/>
      <w:divBdr>
        <w:top w:val="none" w:sz="0" w:space="0" w:color="auto"/>
        <w:left w:val="none" w:sz="0" w:space="0" w:color="auto"/>
        <w:bottom w:val="none" w:sz="0" w:space="0" w:color="auto"/>
        <w:right w:val="none" w:sz="0" w:space="0" w:color="auto"/>
      </w:divBdr>
      <w:divsChild>
        <w:div w:id="278949375">
          <w:marLeft w:val="0"/>
          <w:marRight w:val="0"/>
          <w:marTop w:val="0"/>
          <w:marBottom w:val="40"/>
          <w:divBdr>
            <w:top w:val="none" w:sz="0" w:space="0" w:color="auto"/>
            <w:left w:val="none" w:sz="0" w:space="0" w:color="auto"/>
            <w:bottom w:val="none" w:sz="0" w:space="0" w:color="auto"/>
            <w:right w:val="none" w:sz="0" w:space="0" w:color="auto"/>
          </w:divBdr>
        </w:div>
        <w:div w:id="1713573606">
          <w:marLeft w:val="0"/>
          <w:marRight w:val="0"/>
          <w:marTop w:val="101"/>
          <w:marBottom w:val="40"/>
          <w:divBdr>
            <w:top w:val="none" w:sz="0" w:space="0" w:color="auto"/>
            <w:left w:val="none" w:sz="0" w:space="0" w:color="auto"/>
            <w:bottom w:val="none" w:sz="0" w:space="0" w:color="auto"/>
            <w:right w:val="none" w:sz="0" w:space="0" w:color="auto"/>
          </w:divBdr>
        </w:div>
        <w:div w:id="528302053">
          <w:marLeft w:val="0"/>
          <w:marRight w:val="0"/>
          <w:marTop w:val="0"/>
          <w:marBottom w:val="40"/>
          <w:divBdr>
            <w:top w:val="none" w:sz="0" w:space="0" w:color="auto"/>
            <w:left w:val="none" w:sz="0" w:space="0" w:color="auto"/>
            <w:bottom w:val="none" w:sz="0" w:space="0" w:color="auto"/>
            <w:right w:val="none" w:sz="0" w:space="0" w:color="auto"/>
          </w:divBdr>
        </w:div>
        <w:div w:id="1317687825">
          <w:marLeft w:val="0"/>
          <w:marRight w:val="0"/>
          <w:marTop w:val="0"/>
          <w:marBottom w:val="40"/>
          <w:divBdr>
            <w:top w:val="none" w:sz="0" w:space="0" w:color="auto"/>
            <w:left w:val="none" w:sz="0" w:space="0" w:color="auto"/>
            <w:bottom w:val="none" w:sz="0" w:space="0" w:color="auto"/>
            <w:right w:val="none" w:sz="0" w:space="0" w:color="auto"/>
          </w:divBdr>
        </w:div>
        <w:div w:id="2142651216">
          <w:marLeft w:val="0"/>
          <w:marRight w:val="0"/>
          <w:marTop w:val="0"/>
          <w:marBottom w:val="40"/>
          <w:divBdr>
            <w:top w:val="none" w:sz="0" w:space="0" w:color="auto"/>
            <w:left w:val="none" w:sz="0" w:space="0" w:color="auto"/>
            <w:bottom w:val="none" w:sz="0" w:space="0" w:color="auto"/>
            <w:right w:val="none" w:sz="0" w:space="0" w:color="auto"/>
          </w:divBdr>
        </w:div>
        <w:div w:id="1803842631">
          <w:marLeft w:val="0"/>
          <w:marRight w:val="0"/>
          <w:marTop w:val="0"/>
          <w:marBottom w:val="40"/>
          <w:divBdr>
            <w:top w:val="none" w:sz="0" w:space="0" w:color="auto"/>
            <w:left w:val="none" w:sz="0" w:space="0" w:color="auto"/>
            <w:bottom w:val="none" w:sz="0" w:space="0" w:color="auto"/>
            <w:right w:val="none" w:sz="0" w:space="0" w:color="auto"/>
          </w:divBdr>
        </w:div>
        <w:div w:id="2136211597">
          <w:marLeft w:val="0"/>
          <w:marRight w:val="0"/>
          <w:marTop w:val="0"/>
          <w:marBottom w:val="40"/>
          <w:divBdr>
            <w:top w:val="none" w:sz="0" w:space="0" w:color="auto"/>
            <w:left w:val="none" w:sz="0" w:space="0" w:color="auto"/>
            <w:bottom w:val="none" w:sz="0" w:space="0" w:color="auto"/>
            <w:right w:val="none" w:sz="0" w:space="0" w:color="auto"/>
          </w:divBdr>
        </w:div>
        <w:div w:id="481234221">
          <w:marLeft w:val="0"/>
          <w:marRight w:val="0"/>
          <w:marTop w:val="101"/>
          <w:marBottom w:val="40"/>
          <w:divBdr>
            <w:top w:val="none" w:sz="0" w:space="0" w:color="auto"/>
            <w:left w:val="none" w:sz="0" w:space="0" w:color="auto"/>
            <w:bottom w:val="none" w:sz="0" w:space="0" w:color="auto"/>
            <w:right w:val="none" w:sz="0" w:space="0" w:color="auto"/>
          </w:divBdr>
        </w:div>
        <w:div w:id="97799396">
          <w:marLeft w:val="0"/>
          <w:marRight w:val="0"/>
          <w:marTop w:val="0"/>
          <w:marBottom w:val="40"/>
          <w:divBdr>
            <w:top w:val="none" w:sz="0" w:space="0" w:color="auto"/>
            <w:left w:val="none" w:sz="0" w:space="0" w:color="auto"/>
            <w:bottom w:val="none" w:sz="0" w:space="0" w:color="auto"/>
            <w:right w:val="none" w:sz="0" w:space="0" w:color="auto"/>
          </w:divBdr>
        </w:div>
        <w:div w:id="1755660962">
          <w:marLeft w:val="0"/>
          <w:marRight w:val="0"/>
          <w:marTop w:val="0"/>
          <w:marBottom w:val="40"/>
          <w:divBdr>
            <w:top w:val="none" w:sz="0" w:space="0" w:color="auto"/>
            <w:left w:val="none" w:sz="0" w:space="0" w:color="auto"/>
            <w:bottom w:val="none" w:sz="0" w:space="0" w:color="auto"/>
            <w:right w:val="none" w:sz="0" w:space="0" w:color="auto"/>
          </w:divBdr>
        </w:div>
        <w:div w:id="1740128215">
          <w:marLeft w:val="0"/>
          <w:marRight w:val="0"/>
          <w:marTop w:val="0"/>
          <w:marBottom w:val="40"/>
          <w:divBdr>
            <w:top w:val="none" w:sz="0" w:space="0" w:color="auto"/>
            <w:left w:val="none" w:sz="0" w:space="0" w:color="auto"/>
            <w:bottom w:val="none" w:sz="0" w:space="0" w:color="auto"/>
            <w:right w:val="none" w:sz="0" w:space="0" w:color="auto"/>
          </w:divBdr>
        </w:div>
        <w:div w:id="1214152543">
          <w:marLeft w:val="0"/>
          <w:marRight w:val="0"/>
          <w:marTop w:val="0"/>
          <w:marBottom w:val="40"/>
          <w:divBdr>
            <w:top w:val="none" w:sz="0" w:space="0" w:color="auto"/>
            <w:left w:val="none" w:sz="0" w:space="0" w:color="auto"/>
            <w:bottom w:val="none" w:sz="0" w:space="0" w:color="auto"/>
            <w:right w:val="none" w:sz="0" w:space="0" w:color="auto"/>
          </w:divBdr>
        </w:div>
        <w:div w:id="426970930">
          <w:marLeft w:val="0"/>
          <w:marRight w:val="0"/>
          <w:marTop w:val="0"/>
          <w:marBottom w:val="40"/>
          <w:divBdr>
            <w:top w:val="none" w:sz="0" w:space="0" w:color="auto"/>
            <w:left w:val="none" w:sz="0" w:space="0" w:color="auto"/>
            <w:bottom w:val="none" w:sz="0" w:space="0" w:color="auto"/>
            <w:right w:val="none" w:sz="0" w:space="0" w:color="auto"/>
          </w:divBdr>
        </w:div>
        <w:div w:id="93596926">
          <w:marLeft w:val="0"/>
          <w:marRight w:val="0"/>
          <w:marTop w:val="0"/>
          <w:marBottom w:val="40"/>
          <w:divBdr>
            <w:top w:val="none" w:sz="0" w:space="0" w:color="auto"/>
            <w:left w:val="none" w:sz="0" w:space="0" w:color="auto"/>
            <w:bottom w:val="none" w:sz="0" w:space="0" w:color="auto"/>
            <w:right w:val="none" w:sz="0" w:space="0" w:color="auto"/>
          </w:divBdr>
        </w:div>
        <w:div w:id="396635248">
          <w:marLeft w:val="0"/>
          <w:marRight w:val="0"/>
          <w:marTop w:val="0"/>
          <w:marBottom w:val="40"/>
          <w:divBdr>
            <w:top w:val="none" w:sz="0" w:space="0" w:color="auto"/>
            <w:left w:val="none" w:sz="0" w:space="0" w:color="auto"/>
            <w:bottom w:val="none" w:sz="0" w:space="0" w:color="auto"/>
            <w:right w:val="none" w:sz="0" w:space="0" w:color="auto"/>
          </w:divBdr>
        </w:div>
        <w:div w:id="1633828624">
          <w:marLeft w:val="0"/>
          <w:marRight w:val="0"/>
          <w:marTop w:val="0"/>
          <w:marBottom w:val="40"/>
          <w:divBdr>
            <w:top w:val="none" w:sz="0" w:space="0" w:color="auto"/>
            <w:left w:val="none" w:sz="0" w:space="0" w:color="auto"/>
            <w:bottom w:val="none" w:sz="0" w:space="0" w:color="auto"/>
            <w:right w:val="none" w:sz="0" w:space="0" w:color="auto"/>
          </w:divBdr>
        </w:div>
        <w:div w:id="1901137700">
          <w:marLeft w:val="0"/>
          <w:marRight w:val="0"/>
          <w:marTop w:val="0"/>
          <w:marBottom w:val="40"/>
          <w:divBdr>
            <w:top w:val="none" w:sz="0" w:space="0" w:color="auto"/>
            <w:left w:val="none" w:sz="0" w:space="0" w:color="auto"/>
            <w:bottom w:val="none" w:sz="0" w:space="0" w:color="auto"/>
            <w:right w:val="none" w:sz="0" w:space="0" w:color="auto"/>
          </w:divBdr>
        </w:div>
        <w:div w:id="1845120397">
          <w:marLeft w:val="0"/>
          <w:marRight w:val="0"/>
          <w:marTop w:val="0"/>
          <w:marBottom w:val="40"/>
          <w:divBdr>
            <w:top w:val="none" w:sz="0" w:space="0" w:color="auto"/>
            <w:left w:val="none" w:sz="0" w:space="0" w:color="auto"/>
            <w:bottom w:val="none" w:sz="0" w:space="0" w:color="auto"/>
            <w:right w:val="none" w:sz="0" w:space="0" w:color="auto"/>
          </w:divBdr>
        </w:div>
        <w:div w:id="371152984">
          <w:marLeft w:val="0"/>
          <w:marRight w:val="0"/>
          <w:marTop w:val="0"/>
          <w:marBottom w:val="40"/>
          <w:divBdr>
            <w:top w:val="none" w:sz="0" w:space="0" w:color="auto"/>
            <w:left w:val="none" w:sz="0" w:space="0" w:color="auto"/>
            <w:bottom w:val="none" w:sz="0" w:space="0" w:color="auto"/>
            <w:right w:val="none" w:sz="0" w:space="0" w:color="auto"/>
          </w:divBdr>
        </w:div>
        <w:div w:id="1076319030">
          <w:marLeft w:val="0"/>
          <w:marRight w:val="0"/>
          <w:marTop w:val="101"/>
          <w:marBottom w:val="40"/>
          <w:divBdr>
            <w:top w:val="none" w:sz="0" w:space="0" w:color="auto"/>
            <w:left w:val="none" w:sz="0" w:space="0" w:color="auto"/>
            <w:bottom w:val="none" w:sz="0" w:space="0" w:color="auto"/>
            <w:right w:val="none" w:sz="0" w:space="0" w:color="auto"/>
          </w:divBdr>
        </w:div>
        <w:div w:id="1700006730">
          <w:marLeft w:val="0"/>
          <w:marRight w:val="0"/>
          <w:marTop w:val="0"/>
          <w:marBottom w:val="40"/>
          <w:divBdr>
            <w:top w:val="none" w:sz="0" w:space="0" w:color="auto"/>
            <w:left w:val="none" w:sz="0" w:space="0" w:color="auto"/>
            <w:bottom w:val="none" w:sz="0" w:space="0" w:color="auto"/>
            <w:right w:val="none" w:sz="0" w:space="0" w:color="auto"/>
          </w:divBdr>
        </w:div>
        <w:div w:id="618033645">
          <w:marLeft w:val="0"/>
          <w:marRight w:val="0"/>
          <w:marTop w:val="0"/>
          <w:marBottom w:val="40"/>
          <w:divBdr>
            <w:top w:val="none" w:sz="0" w:space="0" w:color="auto"/>
            <w:left w:val="none" w:sz="0" w:space="0" w:color="auto"/>
            <w:bottom w:val="none" w:sz="0" w:space="0" w:color="auto"/>
            <w:right w:val="none" w:sz="0" w:space="0" w:color="auto"/>
          </w:divBdr>
        </w:div>
      </w:divsChild>
    </w:div>
    <w:div w:id="11640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2018-07-12T13:18:00Z</dcterms:created>
  <dcterms:modified xsi:type="dcterms:W3CDTF">2018-07-12T13:20:00Z</dcterms:modified>
</cp:coreProperties>
</file>