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D5" w:rsidRPr="00841D9A" w:rsidRDefault="00FD4ED5" w:rsidP="00FD4ED5">
      <w:pPr>
        <w:jc w:val="center"/>
        <w:rPr>
          <w:rFonts w:ascii="Verdana" w:eastAsia="Verdana" w:hAnsi="Verdana" w:cs="Verdana"/>
          <w:b/>
          <w:color w:val="0000FF"/>
          <w:sz w:val="24"/>
          <w:szCs w:val="24"/>
        </w:rPr>
      </w:pPr>
      <w:r w:rsidRPr="00FD4ED5">
        <w:rPr>
          <w:rFonts w:ascii="Verdana" w:eastAsia="Verdana" w:hAnsi="Verdana" w:cs="Verdana"/>
          <w:b/>
          <w:color w:val="0000FF"/>
          <w:sz w:val="24"/>
          <w:szCs w:val="24"/>
        </w:rPr>
        <w:t>ANEXO 4 Monto de recursos a transferir y conceptos de gasto del Acuerdo de Coordinación para garantizar la prestación gratuita de servicios de salud, medicamentos y demás insumos asociados para las personas sin seguridad social en los términos previstos en el Título Tercero Bis de la Ley General de Salud, celebrado por la Secretaría de Salud, el Instituto de Salud para el Bienestar y el Estado de Campeche.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septiembre</w:t>
      </w:r>
      <w:r w:rsidRPr="00841D9A">
        <w:rPr>
          <w:rFonts w:ascii="Verdana" w:eastAsia="Verdana" w:hAnsi="Verdana" w:cs="Verdana"/>
          <w:b/>
          <w:color w:val="0000FF"/>
          <w:sz w:val="24"/>
          <w:szCs w:val="24"/>
        </w:rPr>
        <w:t xml:space="preserve"> de 2022)</w:t>
      </w:r>
      <w:bookmarkEnd w:id="0"/>
    </w:p>
    <w:p w:rsidR="007E3619" w:rsidRDefault="00FD4ED5" w:rsidP="00FD4ED5">
      <w:pPr>
        <w:jc w:val="both"/>
        <w:rPr>
          <w:rFonts w:ascii="Arial" w:hAnsi="Arial" w:cs="Arial"/>
          <w:b/>
          <w:sz w:val="18"/>
          <w:szCs w:val="18"/>
        </w:rPr>
      </w:pPr>
      <w:r w:rsidRPr="00FD4ED5">
        <w:rPr>
          <w:rFonts w:ascii="Arial" w:hAnsi="Arial" w:cs="Arial"/>
          <w:b/>
          <w:sz w:val="18"/>
          <w:szCs w:val="18"/>
        </w:rPr>
        <w:t>Al margen un sello con el Escudo Nacional, que dice: Estados Unidos Mexicanos.- SALUD.- Secretaría de Salud.- Instituto de Salud para el Bienestar.</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6"/>
          <w:szCs w:val="16"/>
          <w:lang w:eastAsia="es-MX"/>
        </w:rPr>
      </w:pPr>
      <w:r w:rsidRPr="00FD4ED5">
        <w:rPr>
          <w:rFonts w:ascii="Arial" w:eastAsia="Times New Roman" w:hAnsi="Arial" w:cs="Arial"/>
          <w:color w:val="2F2F2F"/>
          <w:sz w:val="16"/>
          <w:szCs w:val="16"/>
          <w:lang w:eastAsia="es-MX"/>
        </w:rPr>
        <w:t>ANEXO 4 MONTO DE RECURSOS A TRANSFERIR Y CONCEPTOS DE GASTO DEL </w:t>
      </w:r>
      <w:r w:rsidRPr="00FD4ED5">
        <w:rPr>
          <w:rFonts w:ascii="Arial" w:eastAsia="Times New Roman" w:hAnsi="Arial" w:cs="Arial"/>
          <w:i/>
          <w:iCs/>
          <w:color w:val="2F2F2F"/>
          <w:sz w:val="16"/>
          <w:szCs w:val="16"/>
          <w:lang w:eastAsia="es-MX"/>
        </w:rPr>
        <w:t>"ACUERDO DE COORDINACIÓN PARA GARANTIZAR LA PRESTACIÓN GRATUITA DE SERVICIOS DE SALUD, MEDICAMENTOS Y DEMÁS INSUMOS ASOCIADOS PARA LAS PERSONAS SIN SEGURIDAD SOCIAL EN LOS TÉRMINOS PREVISTOS EN EL TÍTULO TERCERO BIS DE LA LEY GENERAL DE SALUD CELEBRADO POR EL EJECUTIVO FEDERAL, A TRAVÉS DE LA SECRETARÍA DE SALUD, EL INSTITUTO DE SALUD PARA EL BIENESTAR Y EL EJECUTIVO DEL ESTADO DE CAMPECHE"</w:t>
      </w:r>
      <w:r w:rsidRPr="00FD4ED5">
        <w:rPr>
          <w:rFonts w:ascii="Arial" w:eastAsia="Times New Roman" w:hAnsi="Arial" w:cs="Arial"/>
          <w:color w:val="2F2F2F"/>
          <w:sz w:val="16"/>
          <w:szCs w:val="16"/>
          <w:lang w:eastAsia="es-MX"/>
        </w:rPr>
        <w:t>, EN LO SUCESIVO "EL ACUERDO DE COORDINACIÓN", QUE PARA EL EJERCICIO FISCAL 2022, CELEBRAN, POR UNA PARTE, EL INSTITUTO DE SALUD PARA EL BIENESTAR, EN LO SUCESIVO EL "INSABI", REPRESENTADO POR SU DIRECTOR GENERAL, MTRO. JUAN ANTONIO FERRER AGUILAR, ASISTIDO POR EL MTRO. JOAQUÍN VALENTE PAREDES NARANJO, COORDINADOR DE FINANCIAMIENTO Y POR LA OTRA, EL EJECUTIVO DEL ESTADO DE CAMPECHE, EN LO SUCESIVO "LA ENTIDAD", REPRESENTADO POR EL C. JERZAEL ISAAC LARRACILLA PÉREZ, SECRETARIO DE ADMINISTRACIÓN Y FINANZAS Y POR LA DOCTORA LILIANA DE LOS ÁNGELES MONTEJO LEÓN, SECRETARIA DE SALUD Y DIRECTORA GENERAL DEL INSTITUTO DE SERVICIOS DESCENTRALIZADOS DE SALUD PÚBLICA DEL ESTADO DE CAMPECHE, A QUIENES DE MANERA CONJUNTA SE LES DENOMINARÁ LAS PARTES, AL TENOR DE LOS ANTECEDENTES, DECLARACIONES Y ESTIPULACIONES SIGUIENTES:</w:t>
      </w:r>
    </w:p>
    <w:p w:rsidR="00FD4ED5" w:rsidRPr="00FD4ED5" w:rsidRDefault="00FD4ED5" w:rsidP="00FD4ED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4ED5">
        <w:rPr>
          <w:rFonts w:ascii="Times" w:eastAsia="Times New Roman" w:hAnsi="Times" w:cs="Times"/>
          <w:b/>
          <w:bCs/>
          <w:color w:val="2F2F2F"/>
          <w:sz w:val="18"/>
          <w:szCs w:val="18"/>
          <w:lang w:eastAsia="es-MX"/>
        </w:rPr>
        <w:t>ANTECEDENTES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I.</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Con fecha 14 de enero de 2022, "LAS PARTES" celebraron "EL ACUERDO DE COORDINACIÓN", con el objeto de establecer los compromisos a que se sujetarían para garantizar la prestación gratuita de servicios de salud, medicamentos y demás insumos asociados para las personas sin seguridad social en el Estado de Campeche.</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II.</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En la cláusula Décima de "EL ACUERDO DE COORDINACIÓN" se estipuló que su Anexo 4 Monto de Recursos a Transferir y Conceptos de Gasto, sería actualizado de manera anual por conducto de los titulares del "INSABI", de las Secretarías de Salud, Administración y Finanzas y del Instituto de Servicios Descentralizados de Salud Pública del Estado de Campeche y que éste sería publicado en el Diario Oficial de la Federación y en el Periódico Oficial de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III.</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El 27 de enero de 2022, el Dr. Jorge Carlos Alcocer Varela, Secretario de Salud, emitió los "Criterios de Operación del Programa de Atención a la Salud y Medicamentos Gratuitos para la Población sin Seguridad Social Laboral para el ejercicio fiscal 2022" (CRITERIOS OPERATIVOS 2022), a los que debe sujetarse el ejercicio de los recursos a destinarse a la prestación de los servicios a que se refiere el Título Tercero Bis de la Ley General de Salud (LGS).</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Expuesto lo anterior y reconociéndose "LAS PARTES" recíprocamente el carácter y facultades que ostentan, con fundamento en lo dispuesto por los artículos 77 bis 6, fracciones II y III de la LGS y los CRITERIOS OPERATIVOS 2022, y de conformidad con lo estipulado en la cláusula Décima de "EL ACUERDO DE COORDINACIÓN", determinan los siguientes:</w:t>
      </w:r>
    </w:p>
    <w:p w:rsidR="00FD4ED5" w:rsidRPr="00FD4ED5" w:rsidRDefault="00FD4ED5" w:rsidP="00FD4ED5">
      <w:pPr>
        <w:shd w:val="clear" w:color="auto" w:fill="FFFFFF"/>
        <w:spacing w:after="101" w:line="240" w:lineRule="auto"/>
        <w:jc w:val="center"/>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MONTO DE RECURSOS A TRANSFERIR Y CONCEPTOS DE GASTO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1.</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Monto total de los recursos presupuestarios federales a destinarse a "LA ENTIDAD" para la prestación gratuita de servicios de salud, medicamentos y demás insumos asociados para las personas sin seguridad social en su circunscripción territorial.</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 xml:space="preserve">De conformidad con lo dispuesto en los artículos 77 bis 11 y 77 bis 12 de la LGS y a la previsión presupuestaria contemplada en el Presupuesto de Egresos de la Federación para el ejercicio fiscal 2022, el monto total de recursos a transferir a "LA ENTIDAD" para la prestación gratuita de servicios de salud, medicamentos y demás insumos asociados para las personas sin seguridad social en </w:t>
      </w:r>
      <w:r w:rsidRPr="00FD4ED5">
        <w:rPr>
          <w:rFonts w:ascii="Arial" w:eastAsia="Times New Roman" w:hAnsi="Arial" w:cs="Arial"/>
          <w:color w:val="000000"/>
          <w:sz w:val="18"/>
          <w:szCs w:val="18"/>
          <w:lang w:eastAsia="es-MX"/>
        </w:rPr>
        <w:lastRenderedPageBreak/>
        <w:t>su circunscripción territorial, durante el ejercicio fiscal 2022, con estricta sujeción a la disponibilidad presupuestaria, es por la cantidad de hasta $479,133,527.35 (Cuatrocientos setenta y nueve millones ciento treinta y tres mil quinientos veintisiete pesos 35/100 MN).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El periodo de aplicación de dichos recursos será el comprendido entre el 1 de enero y el 31 de diciembre de 2022.</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2.</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2F2F2F"/>
          <w:sz w:val="18"/>
          <w:szCs w:val="18"/>
          <w:lang w:eastAsia="es-MX"/>
        </w:rPr>
        <w:t>Monto de los recursos presupuestarios federales que "EL INSABI" ejercerá para la prestación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D4ED5">
        <w:rPr>
          <w:rFonts w:ascii="Arial" w:eastAsia="Times New Roman" w:hAnsi="Arial" w:cs="Arial"/>
          <w:b/>
          <w:bCs/>
          <w:color w:val="2F2F2F"/>
          <w:sz w:val="18"/>
          <w:szCs w:val="18"/>
          <w:lang w:eastAsia="es-MX"/>
        </w:rPr>
        <w:t>de</w:t>
      </w:r>
      <w:proofErr w:type="gramEnd"/>
      <w:r w:rsidRPr="00FD4ED5">
        <w:rPr>
          <w:rFonts w:ascii="Arial" w:eastAsia="Times New Roman" w:hAnsi="Arial" w:cs="Arial"/>
          <w:b/>
          <w:bCs/>
          <w:color w:val="2F2F2F"/>
          <w:sz w:val="18"/>
          <w:szCs w:val="18"/>
          <w:lang w:eastAsia="es-MX"/>
        </w:rPr>
        <w:t> "LOS SERVICIOS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Este monto, en el supuesto de que se suscriban los Anexos 1, 2 y 3 de "EL ACUERDO DE COORDINACIÓN", será determinado en la Adenda correspondiente al presente Anexo, en los términos estipulados en el numeral ii del literal a del apartado D de la Cláusula Segunda de "EL ACUERDO DE COORDINACIÓN.</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Dichos recursos se ejercerán, atendiendo a la distribución y conceptos de gasto previstos en los numerales 5 y 6 del presente Anexo.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3.</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Monto de los recursos presupuestarios federales a transferir a "LA ENTIDAD" para la prestación de "LOS SERVICIOS NO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Este monto, en el supuesto de que se suscriban los Anexos 1, 2 y 3 de "EL ACUERDO DE COORDINACIÓN" será determinado en la Adenda correspondiente al presente Anexo, en los términos estipulados en el numeral iii del literal a del apartado D de la Cláusula Segunda de "EL ACUERDO DE COORDINACIÓN"</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En el caso de que los Anexos 1, 2 y 3 de "EL ACUERDO DE COORDINACIÓN" no se celebren durante el ejercicio fiscal 2022, "LA ENTIDAD" será responsable del ejercicio del monto total de recursos presupuestarios federales que se le transfieran por el "INSABI" para la prestación gratuita de servicios de salud, medicamentos y demás insumos asociados para las personas sin seguridad social en su circunscripción territorial, en los términos previstos en los numerales 5 y 6 del presente Anexo.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4.</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Calendario de ministración de los recursos presupuestarios federales a transferir para la prestación de "LOS SERVICIOS NO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Los recursos a que se refiere el numeral anterior serán transferidos por el "INSABI" a "LA ENTIDAD", de manera trimestral. La primera ministración se realizará dentro de los quince días hábiles siguientes a la fecha de firma del presente Anexo. Las subsecuentes ministraciones se realizarán a más tardar los días 15 de abril, 15 de julio y 15 de octubre de 2022.</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 xml:space="preserve">Las mencionadas transferencias estarán sujetas a lo señalado en los artículos 77 bis 12, párrafo segundo y 77 </w:t>
      </w:r>
      <w:proofErr w:type="gramStart"/>
      <w:r w:rsidRPr="00FD4ED5">
        <w:rPr>
          <w:rFonts w:ascii="Arial" w:eastAsia="Times New Roman" w:hAnsi="Arial" w:cs="Arial"/>
          <w:color w:val="2F2F2F"/>
          <w:sz w:val="18"/>
          <w:szCs w:val="18"/>
          <w:lang w:eastAsia="es-MX"/>
        </w:rPr>
        <w:t>bis</w:t>
      </w:r>
      <w:proofErr w:type="gramEnd"/>
      <w:r w:rsidRPr="00FD4ED5">
        <w:rPr>
          <w:rFonts w:ascii="Arial" w:eastAsia="Times New Roman" w:hAnsi="Arial" w:cs="Arial"/>
          <w:color w:val="2F2F2F"/>
          <w:sz w:val="18"/>
          <w:szCs w:val="18"/>
          <w:lang w:eastAsia="es-MX"/>
        </w:rPr>
        <w:t xml:space="preserve"> 13 de la LGS, así como a lo estipulado en el apartado B de la Cláusula Tercera de "EL ACUERDO DE COORDINACIÓN".</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5.</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Distribución de los recursos presupuestarios federales transferidos para la prestación de "LOS SERVICIOS NO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El ejercicio de los recursos presupuestarios federales que el "INSABI" transfiera a "LA ENTIDAD", para la prestación de "LOS SERVICIOS NO TRANSFERIDOS" se sujetará a las bases siguientes: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a.</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Hasta el 50 por ciento de los referidos recursos podrán destinarse exclusivamente al pago de las plantillas de personal que hasta el 31 de diciembre de 2021 estuviesen autorizadas a financiarse con cargo a los recursos transferidos por el "INSABI" para el mismo fin, cuyas funciones se encuentren directamente relacionadas con la prestación de servicios de atención a las personas sin seguridad social o, en su caso, nuevas contrataciones, hasta el porcentaje señalado, en los términos previstos en el literal a del numeral 6 del presente Anexo.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b.</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Al menos el 32 por ciento a la adquisición, distribución y demás costos asociados, respecto de medicamentos, material de curación y otros insumos asociados a la prestación de "LOS SERVICIOS NO TRANSFERIDOS".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c.</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El remanente de los recursos para gasto de operación de las unidades médicas del primer, segundo y tercer niveles de atención de "LA ENTIDAD" que realicen la prestación de "LOS SERVICIOS NO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Asimismo, "LAS PARTES" están conformes en que, de manera transversal, cuando menos el 20 por ciento total de los recursos transferidos deberán destinarse a acciones relacionadas con la prevención de enfermedades y la promoción de la salud.</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lastRenderedPageBreak/>
        <w:t>       </w:t>
      </w:r>
      <w:r w:rsidRPr="00FD4ED5">
        <w:rPr>
          <w:rFonts w:ascii="Arial" w:eastAsia="Times New Roman" w:hAnsi="Arial" w:cs="Arial"/>
          <w:color w:val="2F2F2F"/>
          <w:sz w:val="18"/>
          <w:szCs w:val="18"/>
          <w:lang w:eastAsia="es-MX"/>
        </w:rPr>
        <w:t>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"LAS PARTES" están conformes en que será responsabilidad de "LA ENTIDAD", por conducto de la Unidad Ejecutora, el envío de la información y el cumplimiento de los requisitos necesarios en los términos señalados en el presente Anexo y demás normativa aplicable, para estar en condiciones de recibir las transferencias federales de manera regular, conforme a lo establecido en los artículos 77 bis 12, párrafo segundo, 77 bis 13 y 77 bis 15 de la LGS.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6.</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Conceptos de gasto de los recursos presupuestarios federales transferidos para la prestación de "LOS SERVICIOS NO TRANSFERIDOS".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a.</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Remuneraciones al personal médico, paramédico y afín.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"LAS PARTES" convienen en que todo el personal médico, paramédico y afín que sea contratado con cargo a los recursos presupuestarios federales que el "INSABI" transfiera a "LA ENTIDAD" para la prestación gratuita de servicios de salud, medicamentos y demás insumos asociados, deberá contar con seguridad social y las prestaciones establecidas en la normativa aplicable, aun en el caso de tratarse de personal eventual, a efecto de cumplir cabalmente con la Ley del Instituto de Seguridad y Servicios Sociales de los Trabajadores del Estado.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Para el ejercicio de estos recursos, "LAS PARTES" están conformes en que los mismos serán transferidos de manera líquida a "LA ENTIDAD", en los términos previstos en el artículo 77 bis 15, fracción I de la LGS y en el apartado B de la Cláusula Tercera de "EL ACUERDO DE COORDINACIÓN".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Durante el primer trimestre del año "LA ENTIDAD" deberá enviar al "INSABI", en los términos que este último lo requiera, la información que permita identificar al personal contratado de manera previa al 31 de diciembre de 2021, su lugar de adscripción, las funciones que realiza y la remuneración que percibe.</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"LAS PARTES" están conformes en que, en el caso de generarse vacancias en las plantillas de personal, las contrataciones que "LA ENTIDAD" efectúe, deberán realizarse respecto de las plazas que hayan quedado vacantes, solo en el caso de que éstas formen parte de la rama médica, paramédica o afín.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Adicionalmente,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 sujeto a la disponibilidad de los recursos para este concepto de gasto, podrá realizar la contratación de médicos, enfermeras, gestores comunitarios de atención primaria de salud, coordinadores de gestores comunitarios de atención primaria de salud y demás personal necesario para el fortalecimiento de la prestación gratuita de servicios de salud, medicamentos y demás insumos asociados a las personas sin seguridad social, preferentemente en el primer nivel de atención. Para tal fin, las contrataciones que se efectúen deberán asignarse a las unidades médicas que requieran el apoyo respectivo.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Las contrataciones que "LA ENTIDAD" realice para fortalecer el segundo y, en su caso, el tercer nivel de atención deberá focalizarse en personal médico especialista y de enfermería con capacitación especializada.</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Conforme a lo anterior, queda expresamente estipulado que "LA ENTIDAD" no podrá realizar contrataciones para llevar a cabo funciones de carácter administrativo con cargo a los recursos que se le transfieran para la prestación de "LOS SERVICIOS NO TRANSFERIDOS". En consecuencia, "LA ENTIDAD" se obliga a cubrir con sus recursos propios, las contrataciones que efectúe en contravención a lo estipulado en el presente Anexo.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Nombre del empleado.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Cédula profesional.</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Unidad Médica de Adscripción.</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Tipo de Unidad y Clave Única de Establecimientos de Salud (CLUES).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Número de empleado.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Año, mes y quincena.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Entidad federativa.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R.F.C.</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lastRenderedPageBreak/>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C.U.R.P.</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Fecha de inicio de la relación laboral.</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Tipo de contratación </w:t>
      </w:r>
      <w:r w:rsidRPr="00FD4ED5">
        <w:rPr>
          <w:rFonts w:ascii="Arial" w:eastAsia="Times New Roman" w:hAnsi="Arial" w:cs="Arial"/>
          <w:color w:val="2F2F2F"/>
          <w:sz w:val="18"/>
          <w:szCs w:val="18"/>
          <w:lang w:eastAsia="es-MX"/>
        </w:rPr>
        <w:t>(federalizado, homologado, regularizado, formalizado o contrato)</w:t>
      </w:r>
      <w:r w:rsidRPr="00FD4ED5">
        <w:rPr>
          <w:rFonts w:ascii="Arial" w:eastAsia="Times New Roman" w:hAnsi="Arial" w:cs="Arial"/>
          <w:color w:val="000000"/>
          <w:sz w:val="18"/>
          <w:szCs w:val="18"/>
          <w:lang w:eastAsia="es-MX"/>
        </w:rPr>
        <w:t>.</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Nivel y puesto o plaza.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Clave del puesto o plaza.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Turno.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Rama.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Percepción bruta total.</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Total de deducciones.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Percepciones netas.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Fecha del timbrado.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ID factura.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Concepto de pago.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Estatus de incidencia.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Descripción de la incidencia.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En su caso, fecha de baja de la relación laboral.</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Cualquier otro dato que el "INSABI" solicite para efectos de comprobación.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información antes señalada deberá ser presentada por "LA ENTIDAD", por conducto de la Unidad Ejecutora, en los formatos y conforme a los procedimientos que mediante oficio le comunique el "INSABI".</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Asimismo, queda expresamente estipulado que, bajo ningún concepto, con cargo a estos recursos, podrá realizarse:</w:t>
      </w:r>
    </w:p>
    <w:p w:rsidR="00FD4ED5" w:rsidRPr="00FD4ED5" w:rsidRDefault="00FD4ED5" w:rsidP="00FD4ED5">
      <w:pPr>
        <w:shd w:val="clear" w:color="auto" w:fill="FFFFFF"/>
        <w:spacing w:after="101" w:line="240" w:lineRule="auto"/>
        <w:ind w:hanging="45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El pago de finiquitos, indemnizaciones o cualquier otro concepto similar.</w:t>
      </w:r>
    </w:p>
    <w:p w:rsidR="00FD4ED5" w:rsidRPr="00FD4ED5" w:rsidRDefault="00FD4ED5" w:rsidP="00FD4ED5">
      <w:pPr>
        <w:shd w:val="clear" w:color="auto" w:fill="FFFFFF"/>
        <w:spacing w:after="101" w:line="240" w:lineRule="auto"/>
        <w:ind w:hanging="45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Pagos relativos a las partidas 12101 "Honorarios".</w:t>
      </w:r>
    </w:p>
    <w:p w:rsidR="00FD4ED5" w:rsidRPr="00FD4ED5" w:rsidRDefault="00FD4ED5" w:rsidP="00FD4ED5">
      <w:pPr>
        <w:shd w:val="clear" w:color="auto" w:fill="FFFFFF"/>
        <w:spacing w:after="101" w:line="240" w:lineRule="auto"/>
        <w:ind w:hanging="45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iii.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 15401 "Prestaciones Establecidas por Condiciones Generales de Trabajo o Contratos Colectivos de Trabajo".</w:t>
      </w:r>
    </w:p>
    <w:p w:rsidR="00FD4ED5" w:rsidRPr="00FD4ED5" w:rsidRDefault="00FD4ED5" w:rsidP="00FD4ED5">
      <w:pPr>
        <w:shd w:val="clear" w:color="auto" w:fill="FFFFFF"/>
        <w:spacing w:after="101" w:line="240" w:lineRule="auto"/>
        <w:ind w:hanging="45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iv.</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El pago de impuestos estatales sobre nómina.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b.</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Adquisición, distribución y demás costos asociados, respecto de medicamentos, material de curación y otros insumos relacionados con la prestación de "LOS SERVICIOS NO TRANSFERIDOS".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los Apéndices del presente Anexo, del que formarán parte integrante, una vez que los mismos sean formalizados por "LAS PARTES".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Para efecto de la formalización de los Apéndices a que se refiere el párrafo anterior, "LAS PARTES" reconocen que éstos se integrarán con los requerimientos que "LA ENTIDAD" cargue en el Sistema implementado para tal fin por el "INSABI", denominado Ambiente de Administración de Atenciones en Salud (AAMATES).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De acuerdo a lo anterior, "LAS PARTES" están conformes en que será responsabilidad de "LA ENTIDAD" la correcta planeación y programación de los recursos asociados a "LOS SERVICIOS NO TRANSFERIDOS".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"LAS PARTES" manifiestan su conformidad en que los recursos en especie a que se refiere este literal, incluirán aquéllos que el "INSABI" haya adquirido en los términos de lo dispuesto en el artículo 1, párrafo quinto de la Ley de Adquisiciones, Arrendamientos y Servicios del Sector Público.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 xml:space="preserve">Para efecto de acreditar las entregas en especie que se prevén en el presente literal, "LA ENTIDAD" manifiesta su conformidad en que contará con un plazo de hasta treinta días naturales, </w:t>
      </w:r>
      <w:r w:rsidRPr="00FD4ED5">
        <w:rPr>
          <w:rFonts w:ascii="Arial" w:eastAsia="Times New Roman" w:hAnsi="Arial" w:cs="Arial"/>
          <w:color w:val="000000"/>
          <w:sz w:val="18"/>
          <w:szCs w:val="18"/>
          <w:lang w:eastAsia="es-MX"/>
        </w:rPr>
        <w:lastRenderedPageBreak/>
        <w:t>contado a partir del día natural siguiente a la fecha de recepción de las mismas en sus almacenes, para manifestar su entera conformidad, en el entendido de que todo rechazo deberá estar plenamente justificado. En el caso de que transcurra el plazo anterior, sin que "LA ENTIDAD" haga pronunciamiento expreso al respecto, se entenderá que ha operado la tácita aceptación de los bienes con todas las implicaciones legales y administrativas que corresponderían a su aceptación expresa.</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"LAS PARTES" acuerdan que el "INSABI" podrá liberar a "LA ENTIDAD", recursos líquidos correspondientes a los medicamentos, material de curación y demás insumos asociados que se incluyan en los Apéndices de este Anexo, para que esta última los adquiera.</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c.</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Acciones de promoción, prevención y detección oportuna de enfermedades.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de la rama médica, paramédica y afín, medicamentos, material de curación y otros insumos; siempre y cuando se ajusten individualmente a los límites y montos establecidos.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pertinencia de los conceptos considerados para estas acciones deberá ser validada por el "INSABI", a través de la Unidad de Coordinación Nacional Médica. </w:t>
      </w:r>
      <w:r w:rsidRPr="00FD4ED5">
        <w:rPr>
          <w:rFonts w:ascii="Arial" w:eastAsia="Times New Roman" w:hAnsi="Arial" w:cs="Arial"/>
          <w:color w:val="2F2F2F"/>
          <w:sz w:val="18"/>
          <w:szCs w:val="18"/>
          <w:lang w:eastAsia="es-MX"/>
        </w:rPr>
        <w:t>Para apoyar lo anterior, el "INSABI" podrá solicitar, a través de su Unidad de Coordinación Nacional Médica, la opinión técnica de la Subsecretaría de Prevención y Promoción de la Salud de la Secretaría de Salud.</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d.</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Gasto de operación.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El remanente de los recursos presupuestarios federales que se transfieran a "LA ENTIDAD" para la prestación de "LOS SERVICIOS NO TRANSFERIDOS" que se destinen a gasto de operación de las unidades médicas de primer, segundo y tercer niveles de "LA ENTIDAD" que realicen la prestación de "LOS SERVICIOS NO TRANSFERIDOS" incluye lo siguiente:</w:t>
      </w:r>
    </w:p>
    <w:p w:rsidR="00FD4ED5" w:rsidRPr="00FD4ED5" w:rsidRDefault="00FD4ED5" w:rsidP="00FD4ED5">
      <w:pPr>
        <w:shd w:val="clear" w:color="auto" w:fill="FFFFFF"/>
        <w:spacing w:after="101" w:line="240" w:lineRule="auto"/>
        <w:ind w:hanging="54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Contribuir al gasto de operación del Instituto de Servicios Descentralizados de Salud Pública del Estado de Campeche, relacionado exclusivamente con la prestación de "LOS SERVICIOS NO TRANSFERIDOS". Para este fin, "LA ENTIDAD" podrá destinar recursos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D4ED5">
        <w:rPr>
          <w:rFonts w:ascii="Arial" w:eastAsia="Times New Roman" w:hAnsi="Arial" w:cs="Arial"/>
          <w:color w:val="000000"/>
          <w:sz w:val="18"/>
          <w:szCs w:val="18"/>
          <w:lang w:eastAsia="es-MX"/>
        </w:rPr>
        <w:t>presupuestarios</w:t>
      </w:r>
      <w:proofErr w:type="gramEnd"/>
      <w:r w:rsidRPr="00FD4ED5">
        <w:rPr>
          <w:rFonts w:ascii="Arial" w:eastAsia="Times New Roman" w:hAnsi="Arial" w:cs="Arial"/>
          <w:color w:val="000000"/>
          <w:sz w:val="18"/>
          <w:szCs w:val="18"/>
          <w:lang w:eastAsia="es-MX"/>
        </w:rPr>
        <w:t xml:space="preserve"> federales que el "INSABI" le transfiera en términos de lo establecido en el artículo 77 bis 15, fracción I de la LGS y el apartado B de la Cláusula Tercera de "EL ACUERDO DE COORDINACIÓN".</w:t>
      </w:r>
    </w:p>
    <w:p w:rsidR="00FD4ED5" w:rsidRPr="00FD4ED5" w:rsidRDefault="00FD4ED5" w:rsidP="00FD4ED5">
      <w:pPr>
        <w:shd w:val="clear" w:color="auto" w:fill="FFFFFF"/>
        <w:spacing w:after="101" w:line="240" w:lineRule="auto"/>
        <w:ind w:hanging="54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Apoyar el gasto de operación de las unidades médicas móviles asignadas a "LA ENTIDAD" en el marco del Programa Fortalecimiento a la Atención Médica para el ejercicio fiscal 2022, respecto de las partidas de gasto que el "INSABI" notifique a "LA ENTIDAD", previa validación que para tal efecto se realice por el "INSABI", a través de la Coordinación de Formación y Capacitación del Personal de Salud.</w:t>
      </w:r>
    </w:p>
    <w:p w:rsidR="00FD4ED5" w:rsidRPr="00FD4ED5" w:rsidRDefault="00FD4ED5" w:rsidP="00FD4ED5">
      <w:pPr>
        <w:shd w:val="clear" w:color="auto" w:fill="FFFFFF"/>
        <w:spacing w:after="101" w:line="240" w:lineRule="auto"/>
        <w:ind w:hanging="54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iii.</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Adquisición de bienes de inversión, como equipo médico, computadoras, impresoras, entre otros. Para este fin, "LA ENTIDAD" podrá destinar recursos presupuestarios federales que el "INSABI" le transfiera en términos de lo establecido en el artículo 77 bis 15, fracción I de la LGS y el apartado B de la Cláusula Tercera de "EL ACUERDO DE COORDINACIÓN". Dichas adquisiciones deberán cumplir con las disposiciones aplicables a gasto de inversión establecidas en la Ley Federal de Presupuesto y Responsabilidad Hacendaria, su Reglamento, la LGS y demás disposiciones en la materia.</w:t>
      </w:r>
    </w:p>
    <w:p w:rsidR="00FD4ED5" w:rsidRPr="00FD4ED5" w:rsidRDefault="00FD4ED5" w:rsidP="00FD4ED5">
      <w:pPr>
        <w:shd w:val="clear" w:color="auto" w:fill="FFFFFF"/>
        <w:spacing w:after="101" w:line="240" w:lineRule="auto"/>
        <w:ind w:hanging="540"/>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Tratándose de adquisición de equipo médico se requerirá la autorización expresa del "INSABI", por conducto de la Unidad de Coordinación Nacional de Abastecimiento de Medicamentos y Equipamiento Médico.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Sin perjuicio de lo señalado en el párrafo que antecede, "LAS PARTES" podrán convenir, cuando se trate de la adquisición de equipo médico, que las acciones relativas a este concepto de gasto, sean realizadas por el "INSABI", a través de la Unidad de Coordinación Nacional de Abastecimiento de Medicamentos y Equipamiento Médico. En este supuesto, el importe de recursos correspondientes será ejercido directamente por el "INSABI", a través de la Unidad de Coordinación Nacional de Abastecimiento de Medicamentos y Equipamiento Médico, y los bienes adquiridos serán considerados como transferencia de recursos en especie, en los términos establecidos en la fracción III del artículo 77 bis 15 de la LGS.</w:t>
      </w:r>
    </w:p>
    <w:p w:rsidR="00FD4ED5" w:rsidRPr="00FD4ED5" w:rsidRDefault="00FD4ED5" w:rsidP="00FD4ED5">
      <w:pPr>
        <w:shd w:val="clear" w:color="auto" w:fill="FFFFFF"/>
        <w:spacing w:after="101" w:line="240" w:lineRule="auto"/>
        <w:ind w:hanging="540"/>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iv.</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 "EL ACUERDO DE COORDINACIÓN".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lastRenderedPageBreak/>
        <w:t>Para determinar las acciones de conservación y mantenimiento a desarrollarse en el ejercicio fiscal, "LA ENTIDAD" deberá presentar para validación de la Unidad de Coordinación Nacional de Infraestructura y Rehabilitación de Establecimientos de Salud del "INSABI", un "Proyecto de Programa de Conservación y Mantenimiento de las Unidades Médicas", que deberá incluir lo siguiente:</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Declaratoria signada por la Titular del Instituto de Servicios Descentralizados de Salud Pública del Estado de Campeche, dirigida al Titular de la Unidad de Coordinación Nacional de Infraestructura y Rehabilitación de Establecimientos de Salud del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w:t>
      </w:r>
      <w:proofErr w:type="spellStart"/>
      <w:r w:rsidRPr="00FD4ED5">
        <w:rPr>
          <w:rFonts w:ascii="Arial" w:eastAsia="Times New Roman" w:hAnsi="Arial" w:cs="Arial"/>
          <w:color w:val="000000"/>
          <w:sz w:val="18"/>
          <w:szCs w:val="18"/>
          <w:lang w:eastAsia="es-MX"/>
        </w:rPr>
        <w:t>reacreditación</w:t>
      </w:r>
      <w:proofErr w:type="spellEnd"/>
      <w:r w:rsidRPr="00FD4ED5">
        <w:rPr>
          <w:rFonts w:ascii="Arial" w:eastAsia="Times New Roman" w:hAnsi="Arial" w:cs="Arial"/>
          <w:color w:val="000000"/>
          <w:sz w:val="18"/>
          <w:szCs w:val="18"/>
          <w:lang w:eastAsia="es-MX"/>
        </w:rPr>
        <w:t>, o (iii) si iniciará su proceso de acreditación en el año 2022.</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Symbol" w:eastAsia="Times New Roman" w:hAnsi="Symbol" w:cs="Arial"/>
          <w:color w:val="2F2F2F"/>
          <w:sz w:val="20"/>
          <w:szCs w:val="20"/>
          <w:lang w:eastAsia="es-MX"/>
        </w:rPr>
        <w:t></w:t>
      </w:r>
      <w:r w:rsidRPr="00FD4ED5">
        <w:rPr>
          <w:rFonts w:ascii="Arial" w:eastAsia="Times New Roman" w:hAnsi="Arial" w:cs="Arial"/>
          <w:color w:val="2F2F2F"/>
          <w:sz w:val="20"/>
          <w:szCs w:val="20"/>
          <w:lang w:eastAsia="es-MX"/>
        </w:rPr>
        <w:t>  </w:t>
      </w:r>
      <w:r w:rsidRPr="00FD4ED5">
        <w:rPr>
          <w:rFonts w:ascii="Arial" w:eastAsia="Times New Roman" w:hAnsi="Arial" w:cs="Arial"/>
          <w:color w:val="000000"/>
          <w:sz w:val="18"/>
          <w:szCs w:val="18"/>
          <w:lang w:eastAsia="es-MX"/>
        </w:rPr>
        <w:t>Los recursos que se destinen a este rubro deberán estar dirigidas a áreas médicas.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Sin perjuicio de lo antes señalado, "LA ENTIDAD" podrán convenir que las acciones relativas a este concepto de gasto, sean realizadas por el "INSABI", a través de la Unidad de Coordinación Nacional de Infraestructura y Rehabilitación de Establecimientos de Salud. En este supuesto, el importe de recursos correspondientes será ejercido directamente por el "INSABI", a través de la referida Unidad de Coordinación Nacional de Infraestructura y Rehabilitación de Establecimientos de Salud, y los avances y la entrega de los trabajos correspondientes serán considerados como transferencia de recursos en especie, en los términos establecidos en la fracción III del artículo 77 bis 15 de la LGS.</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e.</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Pago por servicios de salud a instituciones públicas del Sistema Nacional de Salud y por compensación económica entre entidades federativas.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ENTIDAD" podrá destinar recursos presupuestarios federales que el "INSABI" le transfiera en términos de lo establecido en el artículo 77 bis 15, fracción I de la LGS y el apartado B de la Cláusula Tercera de "EL ACUERDO DE COORDINACIÓN", para la compensación económica entre entidades federativas, así como para el pago de servicios de salud a instituciones públicas del Sistema Nacional de Salud, por concepto de la prestación de "LOS SERVICIOS NO TRANSFERIDOS".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Para efectos de lo anterior, "LA ENTIDAD" deberá, además de apegarse a la normativa aplicable, suscribir los convenios de colaboración que correspondan con otras entidades federativas, así como con las referidas instituciones públicas del Sistema Nacional de Salud para definir las condiciones y esquemas de pago.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En todos los casos, para estar en condiciones de realizar pagos por la prestación de servicios de salud a instituciones públicas del Sistema Nacional de Salud, éstas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ENTIDAD", por conducto de la Titular del Instituto de Servicios Descentralizados de Salud Pública del Estado de Campeche, enviará al "INSABI" durante el ejercicio, la relación de unidades mencionadas en el párrafo anterior, así como los convenios celebrados. No podrán realizarse pagos sin los acuerdos contractuales que manifiesten el detalle de la atención médica y los conceptos del pago.</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7.</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Partidas de gasto.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del Instituto de Servicios Descentralizados de Salud Pública del Estado de Campeche.</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8.</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Programación de los recursos.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lastRenderedPageBreak/>
        <w:t>       </w:t>
      </w:r>
      <w:r w:rsidRPr="00FD4ED5">
        <w:rPr>
          <w:rFonts w:ascii="Arial" w:eastAsia="Times New Roman" w:hAnsi="Arial" w:cs="Arial"/>
          <w:color w:val="2F2F2F"/>
          <w:sz w:val="18"/>
          <w:szCs w:val="18"/>
          <w:lang w:eastAsia="es-MX"/>
        </w:rPr>
        <w:t>"LA ENTIDAD" se obliga, por conducto del Titular del Instituto de Servicios Descentralizados de Salud Pública del Estado de Campeche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asociados presupuestados en este Programa de Gasto, incluye el monto de los recursos que se entregarán en especie de acuerdo a los Apéndices del Anexo 4 del Acuerdo de Coordinación para garantizar la prestación gratuita de servicios de salud, medicamentos y demás insumos asociados para las personas sin seguridad social", y deberán tomarse en cuenta dentro del cómputo correspondiente a los recursos presupuestarios transferidos a "LA ENTIDAD".</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La programación de gasto a que se refiere este numeral, podrá ser actualizada, a solicitud de "LA ENTIDAD", previa validación del "INSABI" que se realice a través de la Coordinación de Financiamiento. Dichas actualizaciones podrán ser realizadas hasta dos veces en el año fiscal (primer semestre, cierre de año).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9.</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Información del ejercicio de los recursos presupuestarios federales transferidos para la prestación de "LOS SERVICIOS NO TRANSFERIDOS".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De conformidad con la fracción VIII, del apartado B del artículo 77 bis 5 de la LGS, "LA ENTIDAD", por conducto de la Unidad Ejecutora,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ENTIDAD", por conducto de la Unidad Ejecutora, se obliga a reportar al "INSABI", en un plazo de 30 días naturales, posteriores al cierre de cada mes, el avance del ejercicio de los recursos presupuestarios transferidos. El resumen de los reportes generados deberá remitirse al "INSABI", por el Instituto de Servicios Descentralizados de Salud Pública del Estado de Campeche y el Director Administrativo de dicho organismo local.</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fecha límite para efectuar la comprobación de los recursos se sujetará a lo previsto en el artículo 17 de la Ley de Disciplina Financiera de las Entidades Federativas y los Municipios y demás disposiciones jurídicas aplicables.</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10.</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Otros informes</w:t>
      </w:r>
      <w:r w:rsidRPr="00FD4ED5">
        <w:rPr>
          <w:rFonts w:ascii="Arial" w:eastAsia="Times New Roman" w:hAnsi="Arial" w:cs="Arial"/>
          <w:color w:val="000000"/>
          <w:sz w:val="18"/>
          <w:szCs w:val="18"/>
          <w:lang w:eastAsia="es-MX"/>
        </w:rPr>
        <w:t>.</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"LA ENTIDAD" se obliga, por conducto de la Unidad Ejecutora, a rendir los demás informes que determine el "INSABI", por conducto de la Unidad de Coordinación Nacional de Abastecimiento de Medicamentos y Equipamiento Médico, la Unidad de Coordinación Nacional Médica y la Unidad de Coordinación Nacional de Infraestructura y Rehabilitación de Establecimientos de Salud y la Coordinación de Financiamiento, que permitan observar y evaluar los resultados obtenidos con los recursos transferidos.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000000"/>
          <w:sz w:val="18"/>
          <w:szCs w:val="18"/>
          <w:lang w:eastAsia="es-MX"/>
        </w:rPr>
        <w:t>11.</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000000"/>
          <w:sz w:val="18"/>
          <w:szCs w:val="18"/>
          <w:lang w:eastAsia="es-MX"/>
        </w:rPr>
        <w:t>Monto de los recursos del Ramo 33. Fondo de Aportaciones para los Servicios de Salud que se destinarán al "INSABI" para la prestación de "LOS SERVICIOS TRANSFERIDOS".</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Este monto, en el supuesto de que se suscriban los Anexos 1, 2 y 3 de "EL ACUERDO DE COORDINACIÓN", será determinado en la Adenda correspondiente al presente Anexo, en los términos estipulados en el numeral i del literal b del apartado D de la Cláusula Segunda de "EL ACUERDO DE COORDINACIÓN".</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12.</w:t>
      </w:r>
      <w:r w:rsidRPr="00FD4ED5">
        <w:rPr>
          <w:rFonts w:ascii="Arial" w:eastAsia="Times New Roman" w:hAnsi="Arial" w:cs="Arial"/>
          <w:color w:val="2F2F2F"/>
          <w:sz w:val="20"/>
          <w:szCs w:val="20"/>
          <w:lang w:eastAsia="es-MX"/>
        </w:rPr>
        <w:t>   </w:t>
      </w:r>
      <w:r w:rsidRPr="00FD4ED5">
        <w:rPr>
          <w:rFonts w:ascii="Arial" w:eastAsia="Times New Roman" w:hAnsi="Arial" w:cs="Arial"/>
          <w:b/>
          <w:bCs/>
          <w:color w:val="2F2F2F"/>
          <w:sz w:val="18"/>
          <w:szCs w:val="18"/>
          <w:lang w:eastAsia="es-MX"/>
        </w:rPr>
        <w:t>Monto de la aportación solidaria a efectuarse por "</w:t>
      </w:r>
      <w:r w:rsidRPr="00FD4ED5">
        <w:rPr>
          <w:rFonts w:ascii="Arial" w:eastAsia="Times New Roman" w:hAnsi="Arial" w:cs="Arial"/>
          <w:b/>
          <w:bCs/>
          <w:color w:val="000000"/>
          <w:sz w:val="18"/>
          <w:szCs w:val="18"/>
          <w:lang w:eastAsia="es-MX"/>
        </w:rPr>
        <w:t>LA ENTIDAD</w:t>
      </w:r>
      <w:r w:rsidRPr="00FD4ED5">
        <w:rPr>
          <w:rFonts w:ascii="Arial" w:eastAsia="Times New Roman" w:hAnsi="Arial" w:cs="Arial"/>
          <w:b/>
          <w:bCs/>
          <w:color w:val="2F2F2F"/>
          <w:sz w:val="18"/>
          <w:szCs w:val="18"/>
          <w:lang w:eastAsia="es-MX"/>
        </w:rPr>
        <w:t>" y modalidades de entrega.</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Conforme a lo pactado en el apartado E de la Cláusula Segunda de "EL ACUERDO DE COORDINACIÓN", el monto total de la aportación solidaria a realizarse por "LA ENTIDAD" durante el ejercicio fiscal 2022, para la prestación gratuita de servicios de salud, medicamentos y demás insumos asociados para las personas sin seguridad social en su circunscripción territorial, conforme a lo dispuesto en los artículos 77 bis 11 y 77 bis 13 de la LGS, será la cantidad de $280,164,190.04 (Doscientos ochenta millones ciento sesenta y cuatro mil ciento noventa pesos 04/100 M.N.), en virtud de lo cual el importe líquido que por este concepto deberá aportar "LA ENTIDAD" será la cantidad de $196,114,933.02 (Ciento noventa y seis millones ciento catorce mil novecientos treinta y tres pesos 02/100 M.N.).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En el supuesto de que se suscriban los Anexos 1, 2 y 3 de "EL ACUERDO DE COORDINACIÓN", el monto de la aportación solidaria que corresponde realizar a "LA ENTIDAD" que deberá ser entregada al "INSABI" para la prestación de "LOS SERVICIOS TRANSFERIDOS", será determinado en la Adenda correspondiente, en los términos estipulados en el apartado E de la Cláusula Segunda de "EL ACUERDO DE COORDINACIÓN".</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lastRenderedPageBreak/>
        <w:t>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77"/>
        <w:gridCol w:w="1486"/>
        <w:gridCol w:w="1487"/>
        <w:gridCol w:w="1589"/>
        <w:gridCol w:w="1486"/>
        <w:gridCol w:w="1487"/>
      </w:tblGrid>
      <w:tr w:rsidR="00FD4ED5" w:rsidRPr="00FD4ED5" w:rsidTr="00FD4ED5">
        <w:trPr>
          <w:trHeight w:val="600"/>
        </w:trPr>
        <w:tc>
          <w:tcPr>
            <w:tcW w:w="1177" w:type="dxa"/>
            <w:tcBorders>
              <w:right w:val="single" w:sz="6" w:space="0" w:color="000000"/>
            </w:tcBorders>
            <w:shd w:val="clear" w:color="auto" w:fill="FFFFFF"/>
            <w:tcMar>
              <w:top w:w="15" w:type="dxa"/>
              <w:left w:w="72" w:type="dxa"/>
              <w:bottom w:w="15" w:type="dxa"/>
              <w:right w:w="72" w:type="dxa"/>
            </w:tcMar>
            <w:hideMark/>
          </w:tcPr>
          <w:p w:rsidR="00FD4ED5" w:rsidRPr="00FD4ED5" w:rsidRDefault="00FD4ED5" w:rsidP="00FD4ED5">
            <w:pPr>
              <w:spacing w:after="101" w:line="240" w:lineRule="auto"/>
              <w:jc w:val="both"/>
              <w:rPr>
                <w:rFonts w:ascii="Arial" w:eastAsia="Times New Roman" w:hAnsi="Arial" w:cs="Arial"/>
                <w:color w:val="000000"/>
                <w:sz w:val="18"/>
                <w:szCs w:val="18"/>
                <w:lang w:eastAsia="es-MX"/>
              </w:rPr>
            </w:pPr>
            <w:r w:rsidRPr="00FD4ED5">
              <w:rPr>
                <w:rFonts w:ascii="Arial" w:eastAsia="Times New Roman" w:hAnsi="Arial" w:cs="Arial"/>
                <w:color w:val="000000"/>
                <w:sz w:val="18"/>
                <w:szCs w:val="18"/>
                <w:lang w:eastAsia="es-MX"/>
              </w:rPr>
              <w:t> </w:t>
            </w:r>
          </w:p>
        </w:tc>
        <w:tc>
          <w:tcPr>
            <w:tcW w:w="148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Aportación Estatal</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Total Anual</w:t>
            </w:r>
          </w:p>
        </w:tc>
        <w:tc>
          <w:tcPr>
            <w:tcW w:w="148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Aportación del</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primer trimestre</w:t>
            </w:r>
          </w:p>
        </w:tc>
        <w:tc>
          <w:tcPr>
            <w:tcW w:w="158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Aportación del</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segundo trimestre</w:t>
            </w:r>
          </w:p>
        </w:tc>
        <w:tc>
          <w:tcPr>
            <w:tcW w:w="148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Aportación del</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tercer trimestre</w:t>
            </w:r>
          </w:p>
        </w:tc>
        <w:tc>
          <w:tcPr>
            <w:tcW w:w="148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Aportación del</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cuarto trimestre</w:t>
            </w:r>
          </w:p>
        </w:tc>
      </w:tr>
      <w:tr w:rsidR="00FD4ED5" w:rsidRPr="00FD4ED5" w:rsidTr="00FD4ED5">
        <w:trPr>
          <w:trHeight w:val="343"/>
        </w:trPr>
        <w:tc>
          <w:tcPr>
            <w:tcW w:w="1177" w:type="dxa"/>
            <w:tcBorders>
              <w:right w:val="single" w:sz="6" w:space="0" w:color="000000"/>
            </w:tcBorders>
            <w:shd w:val="clear" w:color="auto" w:fill="FFFFFF"/>
            <w:tcMar>
              <w:top w:w="15" w:type="dxa"/>
              <w:left w:w="72" w:type="dxa"/>
              <w:bottom w:w="15" w:type="dxa"/>
              <w:right w:w="72" w:type="dxa"/>
            </w:tcMar>
            <w:hideMark/>
          </w:tcPr>
          <w:p w:rsidR="00FD4ED5" w:rsidRPr="00FD4ED5" w:rsidRDefault="00FD4ED5" w:rsidP="00FD4ED5">
            <w:pPr>
              <w:spacing w:after="101" w:line="240" w:lineRule="auto"/>
              <w:jc w:val="both"/>
              <w:rPr>
                <w:rFonts w:ascii="Arial" w:eastAsia="Times New Roman" w:hAnsi="Arial" w:cs="Arial"/>
                <w:color w:val="000000"/>
                <w:sz w:val="18"/>
                <w:szCs w:val="18"/>
                <w:lang w:eastAsia="es-MX"/>
              </w:rPr>
            </w:pPr>
            <w:r w:rsidRPr="00FD4ED5">
              <w:rPr>
                <w:rFonts w:ascii="Arial" w:eastAsia="Times New Roman" w:hAnsi="Arial" w:cs="Arial"/>
                <w:color w:val="000000"/>
                <w:sz w:val="18"/>
                <w:szCs w:val="18"/>
                <w:lang w:eastAsia="es-MX"/>
              </w:rPr>
              <w:t> </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$280,164,190.04</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$70,041,047.51</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$70,041,047.51</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$70,041,047.51</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$70,041,047.51</w:t>
            </w:r>
          </w:p>
        </w:tc>
      </w:tr>
      <w:tr w:rsidR="00FD4ED5" w:rsidRPr="00FD4ED5" w:rsidTr="00FD4ED5">
        <w:trPr>
          <w:trHeight w:val="343"/>
        </w:trPr>
        <w:tc>
          <w:tcPr>
            <w:tcW w:w="1177" w:type="dxa"/>
            <w:tcBorders>
              <w:right w:val="single" w:sz="6" w:space="0" w:color="000000"/>
            </w:tcBorders>
            <w:shd w:val="clear" w:color="auto" w:fill="FFFFFF"/>
            <w:tcMar>
              <w:top w:w="15" w:type="dxa"/>
              <w:left w:w="72" w:type="dxa"/>
              <w:bottom w:w="15" w:type="dxa"/>
              <w:right w:w="72" w:type="dxa"/>
            </w:tcMar>
            <w:hideMark/>
          </w:tcPr>
          <w:p w:rsidR="00FD4ED5" w:rsidRPr="00FD4ED5" w:rsidRDefault="00FD4ED5" w:rsidP="00FD4ED5">
            <w:pPr>
              <w:spacing w:after="101" w:line="240" w:lineRule="auto"/>
              <w:jc w:val="right"/>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30%</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$84,049,257.01</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$21,012,314.25</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$21,012,314.25</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$21,012,314.25</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$21,012,314.25</w:t>
            </w:r>
          </w:p>
        </w:tc>
      </w:tr>
      <w:tr w:rsidR="00FD4ED5" w:rsidRPr="00FD4ED5" w:rsidTr="00FD4ED5">
        <w:trPr>
          <w:trHeight w:val="343"/>
        </w:trPr>
        <w:tc>
          <w:tcPr>
            <w:tcW w:w="1177" w:type="dxa"/>
            <w:tcBorders>
              <w:right w:val="single" w:sz="6" w:space="0" w:color="000000"/>
            </w:tcBorders>
            <w:shd w:val="clear" w:color="auto" w:fill="FFFFFF"/>
            <w:tcMar>
              <w:top w:w="15" w:type="dxa"/>
              <w:left w:w="72" w:type="dxa"/>
              <w:bottom w:w="15" w:type="dxa"/>
              <w:right w:w="72" w:type="dxa"/>
            </w:tcMar>
            <w:hideMark/>
          </w:tcPr>
          <w:p w:rsidR="00FD4ED5" w:rsidRPr="00FD4ED5" w:rsidRDefault="00FD4ED5" w:rsidP="00FD4ED5">
            <w:pPr>
              <w:spacing w:after="101" w:line="240" w:lineRule="auto"/>
              <w:jc w:val="right"/>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70%</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$196,114,933.02</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$49,028,733.26</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$49,028,733.26</w:t>
            </w:r>
          </w:p>
        </w:tc>
        <w:tc>
          <w:tcPr>
            <w:tcW w:w="14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$49,028,733.26</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$49,028,733.26</w:t>
            </w:r>
          </w:p>
        </w:tc>
      </w:tr>
      <w:tr w:rsidR="00FD4ED5" w:rsidRPr="00FD4ED5" w:rsidTr="00FD4ED5">
        <w:trPr>
          <w:trHeight w:val="600"/>
        </w:trPr>
        <w:tc>
          <w:tcPr>
            <w:tcW w:w="1177" w:type="dxa"/>
            <w:tcBorders>
              <w:right w:val="single" w:sz="6" w:space="0" w:color="000000"/>
            </w:tcBorders>
            <w:shd w:val="clear" w:color="auto" w:fill="FFFFFF"/>
            <w:tcMar>
              <w:top w:w="15" w:type="dxa"/>
              <w:left w:w="72" w:type="dxa"/>
              <w:bottom w:w="15" w:type="dxa"/>
              <w:right w:w="72" w:type="dxa"/>
            </w:tcMar>
            <w:hideMark/>
          </w:tcPr>
          <w:p w:rsidR="00FD4ED5" w:rsidRPr="00FD4ED5" w:rsidRDefault="00FD4ED5" w:rsidP="00FD4ED5">
            <w:pPr>
              <w:spacing w:after="101" w:line="240" w:lineRule="auto"/>
              <w:jc w:val="both"/>
              <w:rPr>
                <w:rFonts w:ascii="Arial" w:eastAsia="Times New Roman" w:hAnsi="Arial" w:cs="Arial"/>
                <w:color w:val="000000"/>
                <w:sz w:val="18"/>
                <w:szCs w:val="18"/>
                <w:lang w:eastAsia="es-MX"/>
              </w:rPr>
            </w:pPr>
            <w:r w:rsidRPr="00FD4ED5">
              <w:rPr>
                <w:rFonts w:ascii="Arial" w:eastAsia="Times New Roman" w:hAnsi="Arial" w:cs="Arial"/>
                <w:color w:val="000000"/>
                <w:sz w:val="18"/>
                <w:szCs w:val="18"/>
                <w:lang w:eastAsia="es-MX"/>
              </w:rPr>
              <w:t> </w:t>
            </w:r>
          </w:p>
        </w:tc>
        <w:tc>
          <w:tcPr>
            <w:tcW w:w="148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Fecha límite de</w:t>
            </w:r>
            <w:r w:rsidRPr="00FD4ED5">
              <w:rPr>
                <w:rFonts w:ascii="Arial" w:eastAsia="Times New Roman" w:hAnsi="Arial" w:cs="Arial"/>
                <w:color w:val="000000"/>
                <w:sz w:val="14"/>
                <w:szCs w:val="14"/>
                <w:lang w:eastAsia="es-MX"/>
              </w:rPr>
              <w:br/>
            </w:r>
            <w:r w:rsidRPr="00FD4ED5">
              <w:rPr>
                <w:rFonts w:ascii="Arial" w:eastAsia="Times New Roman" w:hAnsi="Arial" w:cs="Arial"/>
                <w:b/>
                <w:bCs/>
                <w:color w:val="000000"/>
                <w:sz w:val="14"/>
                <w:szCs w:val="14"/>
                <w:lang w:eastAsia="es-MX"/>
              </w:rPr>
              <w:t>acreditación</w:t>
            </w:r>
          </w:p>
        </w:tc>
        <w:tc>
          <w:tcPr>
            <w:tcW w:w="148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15 de abril 2022</w:t>
            </w:r>
          </w:p>
        </w:tc>
        <w:tc>
          <w:tcPr>
            <w:tcW w:w="158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15 de julio 202</w:t>
            </w:r>
          </w:p>
        </w:tc>
        <w:tc>
          <w:tcPr>
            <w:tcW w:w="148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15 de octubre 2022</w:t>
            </w:r>
          </w:p>
        </w:tc>
        <w:tc>
          <w:tcPr>
            <w:tcW w:w="148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D4ED5" w:rsidRPr="00FD4ED5" w:rsidRDefault="00FD4ED5" w:rsidP="00FD4ED5">
            <w:pPr>
              <w:spacing w:after="101" w:line="240" w:lineRule="auto"/>
              <w:jc w:val="center"/>
              <w:rPr>
                <w:rFonts w:ascii="Arial" w:eastAsia="Times New Roman" w:hAnsi="Arial" w:cs="Arial"/>
                <w:color w:val="000000"/>
                <w:sz w:val="14"/>
                <w:szCs w:val="14"/>
                <w:lang w:eastAsia="es-MX"/>
              </w:rPr>
            </w:pPr>
            <w:r w:rsidRPr="00FD4ED5">
              <w:rPr>
                <w:rFonts w:ascii="Arial" w:eastAsia="Times New Roman" w:hAnsi="Arial" w:cs="Arial"/>
                <w:b/>
                <w:bCs/>
                <w:color w:val="000000"/>
                <w:sz w:val="14"/>
                <w:szCs w:val="14"/>
                <w:lang w:eastAsia="es-MX"/>
              </w:rPr>
              <w:t>15 de enero 2023</w:t>
            </w:r>
          </w:p>
        </w:tc>
      </w:tr>
    </w:tbl>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color w:val="2F2F2F"/>
          <w:sz w:val="18"/>
          <w:szCs w:val="18"/>
          <w:lang w:eastAsia="es-MX"/>
        </w:rPr>
        <w:t> </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El "INSABI" podrá suspender la ministración subsecuente de recursos presupuestarios federales a "LA ENTIDAD", hasta en tanto no se realicen las aportaciones correspondientes.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A efecto de dar seguimiento a los recursos que por concepto de aportación solidaria aporte y ejerza la "LA ENTIDAD", por conducto de la Unidad Ejecutora, se obliga a notificar al "INSABI" lo siguiente:</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a.</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 xml:space="preserve">La cuenta bancaria productiva específica que destine para el uso y manejo de los recursos de las aportaciones en numerario, en el ejercicio fiscal vigente, la cual deberá ser </w:t>
      </w:r>
      <w:proofErr w:type="spellStart"/>
      <w:r w:rsidRPr="00FD4ED5">
        <w:rPr>
          <w:rFonts w:ascii="Arial" w:eastAsia="Times New Roman" w:hAnsi="Arial" w:cs="Arial"/>
          <w:color w:val="2F2F2F"/>
          <w:sz w:val="18"/>
          <w:szCs w:val="18"/>
          <w:lang w:eastAsia="es-MX"/>
        </w:rPr>
        <w:t>aperturada</w:t>
      </w:r>
      <w:proofErr w:type="spellEnd"/>
      <w:r w:rsidRPr="00FD4ED5">
        <w:rPr>
          <w:rFonts w:ascii="Arial" w:eastAsia="Times New Roman" w:hAnsi="Arial" w:cs="Arial"/>
          <w:color w:val="2F2F2F"/>
          <w:sz w:val="18"/>
          <w:szCs w:val="18"/>
          <w:lang w:eastAsia="es-MX"/>
        </w:rPr>
        <w:t xml:space="preserve"> a nombre del Instituto de Servicios Descentralizados de Salud Pública del Estado de Campeche, bajo la denominación </w:t>
      </w:r>
      <w:r w:rsidRPr="00FD4ED5">
        <w:rPr>
          <w:rFonts w:ascii="Arial" w:eastAsia="Times New Roman" w:hAnsi="Arial" w:cs="Arial"/>
          <w:b/>
          <w:bCs/>
          <w:color w:val="2F2F2F"/>
          <w:sz w:val="18"/>
          <w:szCs w:val="18"/>
          <w:lang w:eastAsia="es-MX"/>
        </w:rPr>
        <w:t>"Aportación Líquida Estatal INSABI 2022"</w:t>
      </w:r>
      <w:r w:rsidRPr="00FD4ED5">
        <w:rPr>
          <w:rFonts w:ascii="Arial" w:eastAsia="Times New Roman" w:hAnsi="Arial" w:cs="Arial"/>
          <w:color w:val="2F2F2F"/>
          <w:sz w:val="18"/>
          <w:szCs w:val="18"/>
          <w:lang w:eastAsia="es-MX"/>
        </w:rPr>
        <w:t>.</w:t>
      </w:r>
    </w:p>
    <w:p w:rsidR="00FD4ED5" w:rsidRPr="00FD4ED5" w:rsidRDefault="00FD4ED5" w:rsidP="00FD4ED5">
      <w:pPr>
        <w:shd w:val="clear" w:color="auto" w:fill="FFFFFF"/>
        <w:spacing w:after="101" w:line="240" w:lineRule="auto"/>
        <w:ind w:hanging="360"/>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b.</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El soporte documental de los depósitos o transferencias realizadas a dichas cuentas mediante el Sistema de Pagos Electrónicos Interbancarios.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"LAS PARTES" están conformes en que el 30 % de la mencionada aportación solidaria que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RPr="00FD4ED5">
        <w:rPr>
          <w:rFonts w:ascii="Arial" w:eastAsia="Times New Roman" w:hAnsi="Arial" w:cs="Arial"/>
          <w:color w:val="000000"/>
          <w:sz w:val="18"/>
          <w:szCs w:val="18"/>
          <w:lang w:eastAsia="es-MX"/>
        </w:rPr>
        <w:t> a que dichas unidades obtengan o mantengan la acreditación de la calidad a que se refiere el artículo 77 bis 9 de la LGS</w:t>
      </w:r>
      <w:r w:rsidRPr="00FD4ED5">
        <w:rPr>
          <w:rFonts w:ascii="Arial" w:eastAsia="Times New Roman" w:hAnsi="Arial" w:cs="Arial"/>
          <w:color w:val="2F2F2F"/>
          <w:sz w:val="18"/>
          <w:szCs w:val="18"/>
          <w:lang w:eastAsia="es-MX"/>
        </w:rPr>
        <w:t>,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 la nómina del personal médico, paramédico y afín, así como el gasto en medicamentos, material de curación, equipamiento médico y demás insumos para la salud de hospitales públicos que tengan la naturaleza jurídica de organismos públicos descentralizados de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 que se cubran con ingresos propios que no tengan el carácter de trasferencias federales etiquetadas en términos de la fracción XL del artículo 2 de la Ley de Disciplina Financiera de las Entidades Federativas y los Municipios.</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Para acreditar dicha aportación en especie, "</w:t>
      </w:r>
      <w:r w:rsidRPr="00FD4ED5">
        <w:rPr>
          <w:rFonts w:ascii="Arial" w:eastAsia="Times New Roman" w:hAnsi="Arial" w:cs="Arial"/>
          <w:color w:val="000000"/>
          <w:sz w:val="18"/>
          <w:szCs w:val="18"/>
          <w:lang w:eastAsia="es-MX"/>
        </w:rPr>
        <w:t>LA ENTIDAD</w:t>
      </w:r>
      <w:r w:rsidRPr="00FD4ED5">
        <w:rPr>
          <w:rFonts w:ascii="Arial" w:eastAsia="Times New Roman" w:hAnsi="Arial" w:cs="Arial"/>
          <w:color w:val="2F2F2F"/>
          <w:sz w:val="18"/>
          <w:szCs w:val="18"/>
          <w:lang w:eastAsia="es-MX"/>
        </w:rPr>
        <w:t>" deberá proporcionar al "INSABI", por unidad médica, la información que acredite el referido gasto.</w:t>
      </w:r>
    </w:p>
    <w:p w:rsidR="00FD4ED5" w:rsidRPr="00FD4ED5" w:rsidRDefault="00FD4ED5" w:rsidP="00FD4ED5">
      <w:pPr>
        <w:shd w:val="clear" w:color="auto" w:fill="FFFFFF"/>
        <w:spacing w:after="101" w:line="240" w:lineRule="auto"/>
        <w:ind w:hanging="432"/>
        <w:jc w:val="both"/>
        <w:rPr>
          <w:rFonts w:ascii="Arial" w:eastAsia="Times New Roman" w:hAnsi="Arial" w:cs="Arial"/>
          <w:color w:val="2F2F2F"/>
          <w:sz w:val="18"/>
          <w:szCs w:val="18"/>
          <w:lang w:eastAsia="es-MX"/>
        </w:rPr>
      </w:pPr>
      <w:r w:rsidRPr="00FD4ED5">
        <w:rPr>
          <w:rFonts w:ascii="Arial" w:eastAsia="Times New Roman" w:hAnsi="Arial" w:cs="Arial"/>
          <w:b/>
          <w:bCs/>
          <w:color w:val="2F2F2F"/>
          <w:sz w:val="18"/>
          <w:szCs w:val="18"/>
          <w:lang w:eastAsia="es-MX"/>
        </w:rPr>
        <w:t>13.</w:t>
      </w:r>
      <w:r w:rsidRPr="00FD4ED5">
        <w:rPr>
          <w:rFonts w:ascii="Arial" w:eastAsia="Times New Roman" w:hAnsi="Arial" w:cs="Arial"/>
          <w:color w:val="2F2F2F"/>
          <w:sz w:val="20"/>
          <w:szCs w:val="20"/>
          <w:lang w:eastAsia="es-MX"/>
        </w:rPr>
        <w:t>   </w:t>
      </w:r>
      <w:r w:rsidRPr="00FD4ED5">
        <w:rPr>
          <w:rFonts w:ascii="Arial" w:eastAsia="Times New Roman" w:hAnsi="Arial" w:cs="Arial"/>
          <w:color w:val="2F2F2F"/>
          <w:sz w:val="18"/>
          <w:szCs w:val="18"/>
          <w:lang w:eastAsia="es-MX"/>
        </w:rPr>
        <w:t>Las</w:t>
      </w:r>
      <w:r w:rsidRPr="00FD4ED5">
        <w:rPr>
          <w:rFonts w:ascii="Arial" w:eastAsia="Times New Roman" w:hAnsi="Arial" w:cs="Arial"/>
          <w:b/>
          <w:bCs/>
          <w:color w:val="2F2F2F"/>
          <w:sz w:val="18"/>
          <w:szCs w:val="18"/>
          <w:lang w:eastAsia="es-MX"/>
        </w:rPr>
        <w:t> </w:t>
      </w:r>
      <w:r w:rsidRPr="00FD4ED5">
        <w:rPr>
          <w:rFonts w:ascii="Arial" w:eastAsia="Times New Roman" w:hAnsi="Arial" w:cs="Arial"/>
          <w:color w:val="2F2F2F"/>
          <w:sz w:val="18"/>
          <w:szCs w:val="18"/>
          <w:lang w:eastAsia="es-MX"/>
        </w:rPr>
        <w:t>circunstancias no previstas en el presente Anexo, serán resueltas por el "INSABI".</w:t>
      </w:r>
    </w:p>
    <w:p w:rsidR="00FD4ED5" w:rsidRPr="00FD4ED5" w:rsidRDefault="00FD4ED5" w:rsidP="00FD4ED5">
      <w:pPr>
        <w:shd w:val="clear" w:color="auto" w:fill="FFFFFF"/>
        <w:spacing w:after="101" w:line="240" w:lineRule="auto"/>
        <w:ind w:firstLine="288"/>
        <w:jc w:val="both"/>
        <w:rPr>
          <w:rFonts w:ascii="Arial" w:eastAsia="Times New Roman" w:hAnsi="Arial" w:cs="Arial"/>
          <w:color w:val="2F2F2F"/>
          <w:sz w:val="18"/>
          <w:szCs w:val="18"/>
          <w:lang w:eastAsia="es-MX"/>
        </w:rPr>
      </w:pPr>
      <w:r w:rsidRPr="00FD4ED5">
        <w:rPr>
          <w:rFonts w:ascii="Arial" w:eastAsia="Times New Roman" w:hAnsi="Arial" w:cs="Arial"/>
          <w:color w:val="000000"/>
          <w:sz w:val="18"/>
          <w:szCs w:val="18"/>
          <w:lang w:eastAsia="es-MX"/>
        </w:rPr>
        <w:t>El presente Anexo se firma en cuatro tantos originales a los treinta y un días del mes de enero de dos mil veintidós.- P</w:t>
      </w:r>
      <w:r w:rsidRPr="00FD4ED5">
        <w:rPr>
          <w:rFonts w:ascii="Arial" w:eastAsia="Times New Roman" w:hAnsi="Arial" w:cs="Arial"/>
          <w:color w:val="2F2F2F"/>
          <w:sz w:val="18"/>
          <w:szCs w:val="18"/>
          <w:lang w:eastAsia="es-MX"/>
        </w:rPr>
        <w:t>or el INSABI: Director General, Mtro.</w:t>
      </w:r>
      <w:r w:rsidRPr="00FD4ED5">
        <w:rPr>
          <w:rFonts w:ascii="Arial" w:eastAsia="Times New Roman" w:hAnsi="Arial" w:cs="Arial"/>
          <w:b/>
          <w:bCs/>
          <w:color w:val="2F2F2F"/>
          <w:sz w:val="18"/>
          <w:szCs w:val="18"/>
          <w:lang w:eastAsia="es-MX"/>
        </w:rPr>
        <w:t> Juan Antonio Ferrer Aguilar</w:t>
      </w:r>
      <w:r w:rsidRPr="00FD4ED5">
        <w:rPr>
          <w:rFonts w:ascii="Arial" w:eastAsia="Times New Roman" w:hAnsi="Arial" w:cs="Arial"/>
          <w:color w:val="2F2F2F"/>
          <w:sz w:val="18"/>
          <w:szCs w:val="18"/>
          <w:lang w:eastAsia="es-MX"/>
        </w:rPr>
        <w:t>.- Rúbrica.- Coordinador de Financiamiento, Mtro.</w:t>
      </w:r>
      <w:r w:rsidRPr="00FD4ED5">
        <w:rPr>
          <w:rFonts w:ascii="Arial" w:eastAsia="Times New Roman" w:hAnsi="Arial" w:cs="Arial"/>
          <w:b/>
          <w:bCs/>
          <w:color w:val="2F2F2F"/>
          <w:sz w:val="18"/>
          <w:szCs w:val="18"/>
          <w:lang w:eastAsia="es-MX"/>
        </w:rPr>
        <w:t> Joaquín Valente Paredes Naranjo</w:t>
      </w:r>
      <w:r w:rsidRPr="00FD4ED5">
        <w:rPr>
          <w:rFonts w:ascii="Arial" w:eastAsia="Times New Roman" w:hAnsi="Arial" w:cs="Arial"/>
          <w:color w:val="2F2F2F"/>
          <w:sz w:val="18"/>
          <w:szCs w:val="18"/>
          <w:lang w:eastAsia="es-MX"/>
        </w:rPr>
        <w:t>.- Rúbrica.- Por la Entidad: Secretario de Administración y Finanzas, C. </w:t>
      </w:r>
      <w:proofErr w:type="spellStart"/>
      <w:r w:rsidRPr="00FD4ED5">
        <w:rPr>
          <w:rFonts w:ascii="Arial" w:eastAsia="Times New Roman" w:hAnsi="Arial" w:cs="Arial"/>
          <w:b/>
          <w:bCs/>
          <w:color w:val="2F2F2F"/>
          <w:sz w:val="18"/>
          <w:szCs w:val="18"/>
          <w:lang w:eastAsia="es-MX"/>
        </w:rPr>
        <w:t>Jezrael</w:t>
      </w:r>
      <w:proofErr w:type="spellEnd"/>
      <w:r w:rsidRPr="00FD4ED5">
        <w:rPr>
          <w:rFonts w:ascii="Arial" w:eastAsia="Times New Roman" w:hAnsi="Arial" w:cs="Arial"/>
          <w:b/>
          <w:bCs/>
          <w:color w:val="2F2F2F"/>
          <w:sz w:val="18"/>
          <w:szCs w:val="18"/>
          <w:lang w:eastAsia="es-MX"/>
        </w:rPr>
        <w:t xml:space="preserve"> Isaac </w:t>
      </w:r>
      <w:proofErr w:type="spellStart"/>
      <w:r w:rsidRPr="00FD4ED5">
        <w:rPr>
          <w:rFonts w:ascii="Arial" w:eastAsia="Times New Roman" w:hAnsi="Arial" w:cs="Arial"/>
          <w:b/>
          <w:bCs/>
          <w:color w:val="2F2F2F"/>
          <w:sz w:val="18"/>
          <w:szCs w:val="18"/>
          <w:lang w:eastAsia="es-MX"/>
        </w:rPr>
        <w:t>Larracilla</w:t>
      </w:r>
      <w:proofErr w:type="spellEnd"/>
      <w:r w:rsidRPr="00FD4ED5">
        <w:rPr>
          <w:rFonts w:ascii="Arial" w:eastAsia="Times New Roman" w:hAnsi="Arial" w:cs="Arial"/>
          <w:b/>
          <w:bCs/>
          <w:color w:val="2F2F2F"/>
          <w:sz w:val="18"/>
          <w:szCs w:val="18"/>
          <w:lang w:eastAsia="es-MX"/>
        </w:rPr>
        <w:t xml:space="preserve"> Pérez</w:t>
      </w:r>
      <w:r w:rsidRPr="00FD4ED5">
        <w:rPr>
          <w:rFonts w:ascii="Arial" w:eastAsia="Times New Roman" w:hAnsi="Arial" w:cs="Arial"/>
          <w:color w:val="2F2F2F"/>
          <w:sz w:val="18"/>
          <w:szCs w:val="18"/>
          <w:lang w:eastAsia="es-MX"/>
        </w:rPr>
        <w:t>.- Rúbrica.- Secretaria de Salud y Directora General del INDESALUD, C. </w:t>
      </w:r>
      <w:r w:rsidRPr="00FD4ED5">
        <w:rPr>
          <w:rFonts w:ascii="Arial" w:eastAsia="Times New Roman" w:hAnsi="Arial" w:cs="Arial"/>
          <w:b/>
          <w:bCs/>
          <w:color w:val="2F2F2F"/>
          <w:sz w:val="18"/>
          <w:szCs w:val="18"/>
          <w:lang w:eastAsia="es-MX"/>
        </w:rPr>
        <w:t>Liliana de los Ángeles Montejo León</w:t>
      </w:r>
      <w:r w:rsidRPr="00FD4ED5">
        <w:rPr>
          <w:rFonts w:ascii="Arial" w:eastAsia="Times New Roman" w:hAnsi="Arial" w:cs="Arial"/>
          <w:color w:val="2F2F2F"/>
          <w:sz w:val="18"/>
          <w:szCs w:val="18"/>
          <w:lang w:eastAsia="es-MX"/>
        </w:rPr>
        <w:t>.- Rúbrica.</w:t>
      </w:r>
    </w:p>
    <w:p w:rsidR="00FD4ED5" w:rsidRDefault="00FD4ED5" w:rsidP="00FD4ED5">
      <w:pPr>
        <w:jc w:val="both"/>
      </w:pPr>
    </w:p>
    <w:sectPr w:rsidR="00FD4E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D5"/>
    <w:rsid w:val="007E3619"/>
    <w:rsid w:val="00FD4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17993185level1">
    <w:name w:val="liststyle_1817993185_level_1"/>
    <w:basedOn w:val="Fuentedeprrafopredeter"/>
    <w:rsid w:val="00FD4ED5"/>
  </w:style>
  <w:style w:type="character" w:customStyle="1" w:styleId="liststyle1005716084level1">
    <w:name w:val="liststyle_1005716084_level_1"/>
    <w:basedOn w:val="Fuentedeprrafopredeter"/>
    <w:rsid w:val="00FD4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817993185level1">
    <w:name w:val="liststyle_1817993185_level_1"/>
    <w:basedOn w:val="Fuentedeprrafopredeter"/>
    <w:rsid w:val="00FD4ED5"/>
  </w:style>
  <w:style w:type="character" w:customStyle="1" w:styleId="liststyle1005716084level1">
    <w:name w:val="liststyle_1005716084_level_1"/>
    <w:basedOn w:val="Fuentedeprrafopredeter"/>
    <w:rsid w:val="00FD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5552">
      <w:bodyDiv w:val="1"/>
      <w:marLeft w:val="0"/>
      <w:marRight w:val="0"/>
      <w:marTop w:val="0"/>
      <w:marBottom w:val="0"/>
      <w:divBdr>
        <w:top w:val="none" w:sz="0" w:space="0" w:color="auto"/>
        <w:left w:val="none" w:sz="0" w:space="0" w:color="auto"/>
        <w:bottom w:val="none" w:sz="0" w:space="0" w:color="auto"/>
        <w:right w:val="none" w:sz="0" w:space="0" w:color="auto"/>
      </w:divBdr>
      <w:divsChild>
        <w:div w:id="1432704005">
          <w:marLeft w:val="0"/>
          <w:marRight w:val="0"/>
          <w:marTop w:val="0"/>
          <w:marBottom w:val="101"/>
          <w:divBdr>
            <w:top w:val="none" w:sz="0" w:space="0" w:color="auto"/>
            <w:left w:val="none" w:sz="0" w:space="0" w:color="auto"/>
            <w:bottom w:val="none" w:sz="0" w:space="0" w:color="auto"/>
            <w:right w:val="none" w:sz="0" w:space="0" w:color="auto"/>
          </w:divBdr>
        </w:div>
        <w:div w:id="1874416276">
          <w:marLeft w:val="0"/>
          <w:marRight w:val="0"/>
          <w:marTop w:val="101"/>
          <w:marBottom w:val="101"/>
          <w:divBdr>
            <w:top w:val="none" w:sz="0" w:space="0" w:color="auto"/>
            <w:left w:val="none" w:sz="0" w:space="0" w:color="auto"/>
            <w:bottom w:val="none" w:sz="0" w:space="0" w:color="auto"/>
            <w:right w:val="none" w:sz="0" w:space="0" w:color="auto"/>
          </w:divBdr>
        </w:div>
        <w:div w:id="472720197">
          <w:marLeft w:val="720"/>
          <w:marRight w:val="0"/>
          <w:marTop w:val="0"/>
          <w:marBottom w:val="101"/>
          <w:divBdr>
            <w:top w:val="none" w:sz="0" w:space="0" w:color="auto"/>
            <w:left w:val="none" w:sz="0" w:space="0" w:color="auto"/>
            <w:bottom w:val="none" w:sz="0" w:space="0" w:color="auto"/>
            <w:right w:val="none" w:sz="0" w:space="0" w:color="auto"/>
          </w:divBdr>
        </w:div>
        <w:div w:id="550924351">
          <w:marLeft w:val="720"/>
          <w:marRight w:val="0"/>
          <w:marTop w:val="0"/>
          <w:marBottom w:val="101"/>
          <w:divBdr>
            <w:top w:val="none" w:sz="0" w:space="0" w:color="auto"/>
            <w:left w:val="none" w:sz="0" w:space="0" w:color="auto"/>
            <w:bottom w:val="none" w:sz="0" w:space="0" w:color="auto"/>
            <w:right w:val="none" w:sz="0" w:space="0" w:color="auto"/>
          </w:divBdr>
        </w:div>
        <w:div w:id="926963241">
          <w:marLeft w:val="720"/>
          <w:marRight w:val="0"/>
          <w:marTop w:val="0"/>
          <w:marBottom w:val="101"/>
          <w:divBdr>
            <w:top w:val="none" w:sz="0" w:space="0" w:color="auto"/>
            <w:left w:val="none" w:sz="0" w:space="0" w:color="auto"/>
            <w:bottom w:val="none" w:sz="0" w:space="0" w:color="auto"/>
            <w:right w:val="none" w:sz="0" w:space="0" w:color="auto"/>
          </w:divBdr>
        </w:div>
        <w:div w:id="267472339">
          <w:marLeft w:val="0"/>
          <w:marRight w:val="0"/>
          <w:marTop w:val="0"/>
          <w:marBottom w:val="101"/>
          <w:divBdr>
            <w:top w:val="none" w:sz="0" w:space="0" w:color="auto"/>
            <w:left w:val="none" w:sz="0" w:space="0" w:color="auto"/>
            <w:bottom w:val="none" w:sz="0" w:space="0" w:color="auto"/>
            <w:right w:val="none" w:sz="0" w:space="0" w:color="auto"/>
          </w:divBdr>
        </w:div>
        <w:div w:id="874926482">
          <w:marLeft w:val="0"/>
          <w:marRight w:val="0"/>
          <w:marTop w:val="0"/>
          <w:marBottom w:val="101"/>
          <w:divBdr>
            <w:top w:val="none" w:sz="0" w:space="0" w:color="auto"/>
            <w:left w:val="none" w:sz="0" w:space="0" w:color="auto"/>
            <w:bottom w:val="none" w:sz="0" w:space="0" w:color="auto"/>
            <w:right w:val="none" w:sz="0" w:space="0" w:color="auto"/>
          </w:divBdr>
        </w:div>
        <w:div w:id="1697267887">
          <w:marLeft w:val="720"/>
          <w:marRight w:val="0"/>
          <w:marTop w:val="0"/>
          <w:marBottom w:val="101"/>
          <w:divBdr>
            <w:top w:val="none" w:sz="0" w:space="0" w:color="auto"/>
            <w:left w:val="none" w:sz="0" w:space="0" w:color="auto"/>
            <w:bottom w:val="none" w:sz="0" w:space="0" w:color="auto"/>
            <w:right w:val="none" w:sz="0" w:space="0" w:color="auto"/>
          </w:divBdr>
        </w:div>
        <w:div w:id="668800121">
          <w:marLeft w:val="720"/>
          <w:marRight w:val="0"/>
          <w:marTop w:val="0"/>
          <w:marBottom w:val="101"/>
          <w:divBdr>
            <w:top w:val="none" w:sz="0" w:space="0" w:color="auto"/>
            <w:left w:val="none" w:sz="0" w:space="0" w:color="auto"/>
            <w:bottom w:val="none" w:sz="0" w:space="0" w:color="auto"/>
            <w:right w:val="none" w:sz="0" w:space="0" w:color="auto"/>
          </w:divBdr>
        </w:div>
        <w:div w:id="2032565349">
          <w:marLeft w:val="720"/>
          <w:marRight w:val="0"/>
          <w:marTop w:val="0"/>
          <w:marBottom w:val="101"/>
          <w:divBdr>
            <w:top w:val="none" w:sz="0" w:space="0" w:color="auto"/>
            <w:left w:val="none" w:sz="0" w:space="0" w:color="auto"/>
            <w:bottom w:val="none" w:sz="0" w:space="0" w:color="auto"/>
            <w:right w:val="none" w:sz="0" w:space="0" w:color="auto"/>
          </w:divBdr>
        </w:div>
        <w:div w:id="1434548707">
          <w:marLeft w:val="720"/>
          <w:marRight w:val="0"/>
          <w:marTop w:val="0"/>
          <w:marBottom w:val="101"/>
          <w:divBdr>
            <w:top w:val="none" w:sz="0" w:space="0" w:color="auto"/>
            <w:left w:val="none" w:sz="0" w:space="0" w:color="auto"/>
            <w:bottom w:val="none" w:sz="0" w:space="0" w:color="auto"/>
            <w:right w:val="none" w:sz="0" w:space="0" w:color="auto"/>
          </w:divBdr>
        </w:div>
        <w:div w:id="375005656">
          <w:marLeft w:val="720"/>
          <w:marRight w:val="0"/>
          <w:marTop w:val="0"/>
          <w:marBottom w:val="101"/>
          <w:divBdr>
            <w:top w:val="none" w:sz="0" w:space="0" w:color="auto"/>
            <w:left w:val="none" w:sz="0" w:space="0" w:color="auto"/>
            <w:bottom w:val="none" w:sz="0" w:space="0" w:color="auto"/>
            <w:right w:val="none" w:sz="0" w:space="0" w:color="auto"/>
          </w:divBdr>
        </w:div>
        <w:div w:id="2133667552">
          <w:marLeft w:val="720"/>
          <w:marRight w:val="0"/>
          <w:marTop w:val="0"/>
          <w:marBottom w:val="101"/>
          <w:divBdr>
            <w:top w:val="none" w:sz="0" w:space="0" w:color="auto"/>
            <w:left w:val="none" w:sz="0" w:space="0" w:color="auto"/>
            <w:bottom w:val="none" w:sz="0" w:space="0" w:color="auto"/>
            <w:right w:val="none" w:sz="0" w:space="0" w:color="auto"/>
          </w:divBdr>
        </w:div>
        <w:div w:id="1433281434">
          <w:marLeft w:val="720"/>
          <w:marRight w:val="0"/>
          <w:marTop w:val="0"/>
          <w:marBottom w:val="101"/>
          <w:divBdr>
            <w:top w:val="none" w:sz="0" w:space="0" w:color="auto"/>
            <w:left w:val="none" w:sz="0" w:space="0" w:color="auto"/>
            <w:bottom w:val="none" w:sz="0" w:space="0" w:color="auto"/>
            <w:right w:val="none" w:sz="0" w:space="0" w:color="auto"/>
          </w:divBdr>
        </w:div>
        <w:div w:id="1574850042">
          <w:marLeft w:val="720"/>
          <w:marRight w:val="0"/>
          <w:marTop w:val="0"/>
          <w:marBottom w:val="101"/>
          <w:divBdr>
            <w:top w:val="none" w:sz="0" w:space="0" w:color="auto"/>
            <w:left w:val="none" w:sz="0" w:space="0" w:color="auto"/>
            <w:bottom w:val="none" w:sz="0" w:space="0" w:color="auto"/>
            <w:right w:val="none" w:sz="0" w:space="0" w:color="auto"/>
          </w:divBdr>
        </w:div>
        <w:div w:id="331681259">
          <w:marLeft w:val="720"/>
          <w:marRight w:val="0"/>
          <w:marTop w:val="0"/>
          <w:marBottom w:val="101"/>
          <w:divBdr>
            <w:top w:val="none" w:sz="0" w:space="0" w:color="auto"/>
            <w:left w:val="none" w:sz="0" w:space="0" w:color="auto"/>
            <w:bottom w:val="none" w:sz="0" w:space="0" w:color="auto"/>
            <w:right w:val="none" w:sz="0" w:space="0" w:color="auto"/>
          </w:divBdr>
        </w:div>
        <w:div w:id="38482841">
          <w:marLeft w:val="720"/>
          <w:marRight w:val="0"/>
          <w:marTop w:val="0"/>
          <w:marBottom w:val="101"/>
          <w:divBdr>
            <w:top w:val="none" w:sz="0" w:space="0" w:color="auto"/>
            <w:left w:val="none" w:sz="0" w:space="0" w:color="auto"/>
            <w:bottom w:val="none" w:sz="0" w:space="0" w:color="auto"/>
            <w:right w:val="none" w:sz="0" w:space="0" w:color="auto"/>
          </w:divBdr>
        </w:div>
        <w:div w:id="111482728">
          <w:marLeft w:val="720"/>
          <w:marRight w:val="0"/>
          <w:marTop w:val="0"/>
          <w:marBottom w:val="101"/>
          <w:divBdr>
            <w:top w:val="none" w:sz="0" w:space="0" w:color="auto"/>
            <w:left w:val="none" w:sz="0" w:space="0" w:color="auto"/>
            <w:bottom w:val="none" w:sz="0" w:space="0" w:color="auto"/>
            <w:right w:val="none" w:sz="0" w:space="0" w:color="auto"/>
          </w:divBdr>
        </w:div>
        <w:div w:id="230386749">
          <w:marLeft w:val="720"/>
          <w:marRight w:val="0"/>
          <w:marTop w:val="0"/>
          <w:marBottom w:val="101"/>
          <w:divBdr>
            <w:top w:val="none" w:sz="0" w:space="0" w:color="auto"/>
            <w:left w:val="none" w:sz="0" w:space="0" w:color="auto"/>
            <w:bottom w:val="none" w:sz="0" w:space="0" w:color="auto"/>
            <w:right w:val="none" w:sz="0" w:space="0" w:color="auto"/>
          </w:divBdr>
        </w:div>
        <w:div w:id="294723759">
          <w:marLeft w:val="720"/>
          <w:marRight w:val="0"/>
          <w:marTop w:val="0"/>
          <w:marBottom w:val="101"/>
          <w:divBdr>
            <w:top w:val="none" w:sz="0" w:space="0" w:color="auto"/>
            <w:left w:val="none" w:sz="0" w:space="0" w:color="auto"/>
            <w:bottom w:val="none" w:sz="0" w:space="0" w:color="auto"/>
            <w:right w:val="none" w:sz="0" w:space="0" w:color="auto"/>
          </w:divBdr>
        </w:div>
        <w:div w:id="1807887686">
          <w:marLeft w:val="720"/>
          <w:marRight w:val="0"/>
          <w:marTop w:val="0"/>
          <w:marBottom w:val="101"/>
          <w:divBdr>
            <w:top w:val="none" w:sz="0" w:space="0" w:color="auto"/>
            <w:left w:val="none" w:sz="0" w:space="0" w:color="auto"/>
            <w:bottom w:val="none" w:sz="0" w:space="0" w:color="auto"/>
            <w:right w:val="none" w:sz="0" w:space="0" w:color="auto"/>
          </w:divBdr>
        </w:div>
        <w:div w:id="2080129592">
          <w:marLeft w:val="720"/>
          <w:marRight w:val="0"/>
          <w:marTop w:val="0"/>
          <w:marBottom w:val="101"/>
          <w:divBdr>
            <w:top w:val="none" w:sz="0" w:space="0" w:color="auto"/>
            <w:left w:val="none" w:sz="0" w:space="0" w:color="auto"/>
            <w:bottom w:val="none" w:sz="0" w:space="0" w:color="auto"/>
            <w:right w:val="none" w:sz="0" w:space="0" w:color="auto"/>
          </w:divBdr>
        </w:div>
        <w:div w:id="1904024445">
          <w:marLeft w:val="1080"/>
          <w:marRight w:val="0"/>
          <w:marTop w:val="0"/>
          <w:marBottom w:val="101"/>
          <w:divBdr>
            <w:top w:val="none" w:sz="0" w:space="0" w:color="auto"/>
            <w:left w:val="none" w:sz="0" w:space="0" w:color="auto"/>
            <w:bottom w:val="none" w:sz="0" w:space="0" w:color="auto"/>
            <w:right w:val="none" w:sz="0" w:space="0" w:color="auto"/>
          </w:divBdr>
        </w:div>
        <w:div w:id="632755790">
          <w:marLeft w:val="1080"/>
          <w:marRight w:val="0"/>
          <w:marTop w:val="0"/>
          <w:marBottom w:val="101"/>
          <w:divBdr>
            <w:top w:val="none" w:sz="0" w:space="0" w:color="auto"/>
            <w:left w:val="none" w:sz="0" w:space="0" w:color="auto"/>
            <w:bottom w:val="none" w:sz="0" w:space="0" w:color="auto"/>
            <w:right w:val="none" w:sz="0" w:space="0" w:color="auto"/>
          </w:divBdr>
        </w:div>
        <w:div w:id="1284969382">
          <w:marLeft w:val="1080"/>
          <w:marRight w:val="0"/>
          <w:marTop w:val="0"/>
          <w:marBottom w:val="101"/>
          <w:divBdr>
            <w:top w:val="none" w:sz="0" w:space="0" w:color="auto"/>
            <w:left w:val="none" w:sz="0" w:space="0" w:color="auto"/>
            <w:bottom w:val="none" w:sz="0" w:space="0" w:color="auto"/>
            <w:right w:val="none" w:sz="0" w:space="0" w:color="auto"/>
          </w:divBdr>
        </w:div>
        <w:div w:id="1237546133">
          <w:marLeft w:val="720"/>
          <w:marRight w:val="0"/>
          <w:marTop w:val="0"/>
          <w:marBottom w:val="101"/>
          <w:divBdr>
            <w:top w:val="none" w:sz="0" w:space="0" w:color="auto"/>
            <w:left w:val="none" w:sz="0" w:space="0" w:color="auto"/>
            <w:bottom w:val="none" w:sz="0" w:space="0" w:color="auto"/>
            <w:right w:val="none" w:sz="0" w:space="0" w:color="auto"/>
          </w:divBdr>
        </w:div>
        <w:div w:id="793791822">
          <w:marLeft w:val="720"/>
          <w:marRight w:val="0"/>
          <w:marTop w:val="0"/>
          <w:marBottom w:val="101"/>
          <w:divBdr>
            <w:top w:val="none" w:sz="0" w:space="0" w:color="auto"/>
            <w:left w:val="none" w:sz="0" w:space="0" w:color="auto"/>
            <w:bottom w:val="none" w:sz="0" w:space="0" w:color="auto"/>
            <w:right w:val="none" w:sz="0" w:space="0" w:color="auto"/>
          </w:divBdr>
        </w:div>
        <w:div w:id="958493007">
          <w:marLeft w:val="720"/>
          <w:marRight w:val="0"/>
          <w:marTop w:val="0"/>
          <w:marBottom w:val="101"/>
          <w:divBdr>
            <w:top w:val="none" w:sz="0" w:space="0" w:color="auto"/>
            <w:left w:val="none" w:sz="0" w:space="0" w:color="auto"/>
            <w:bottom w:val="none" w:sz="0" w:space="0" w:color="auto"/>
            <w:right w:val="none" w:sz="0" w:space="0" w:color="auto"/>
          </w:divBdr>
        </w:div>
        <w:div w:id="94639129">
          <w:marLeft w:val="720"/>
          <w:marRight w:val="0"/>
          <w:marTop w:val="0"/>
          <w:marBottom w:val="101"/>
          <w:divBdr>
            <w:top w:val="none" w:sz="0" w:space="0" w:color="auto"/>
            <w:left w:val="none" w:sz="0" w:space="0" w:color="auto"/>
            <w:bottom w:val="none" w:sz="0" w:space="0" w:color="auto"/>
            <w:right w:val="none" w:sz="0" w:space="0" w:color="auto"/>
          </w:divBdr>
        </w:div>
        <w:div w:id="2113552795">
          <w:marLeft w:val="720"/>
          <w:marRight w:val="0"/>
          <w:marTop w:val="0"/>
          <w:marBottom w:val="101"/>
          <w:divBdr>
            <w:top w:val="none" w:sz="0" w:space="0" w:color="auto"/>
            <w:left w:val="none" w:sz="0" w:space="0" w:color="auto"/>
            <w:bottom w:val="none" w:sz="0" w:space="0" w:color="auto"/>
            <w:right w:val="none" w:sz="0" w:space="0" w:color="auto"/>
          </w:divBdr>
        </w:div>
        <w:div w:id="60058110">
          <w:marLeft w:val="1080"/>
          <w:marRight w:val="0"/>
          <w:marTop w:val="0"/>
          <w:marBottom w:val="101"/>
          <w:divBdr>
            <w:top w:val="none" w:sz="0" w:space="0" w:color="auto"/>
            <w:left w:val="none" w:sz="0" w:space="0" w:color="auto"/>
            <w:bottom w:val="none" w:sz="0" w:space="0" w:color="auto"/>
            <w:right w:val="none" w:sz="0" w:space="0" w:color="auto"/>
          </w:divBdr>
        </w:div>
        <w:div w:id="1487698904">
          <w:marLeft w:val="1080"/>
          <w:marRight w:val="0"/>
          <w:marTop w:val="0"/>
          <w:marBottom w:val="101"/>
          <w:divBdr>
            <w:top w:val="none" w:sz="0" w:space="0" w:color="auto"/>
            <w:left w:val="none" w:sz="0" w:space="0" w:color="auto"/>
            <w:bottom w:val="none" w:sz="0" w:space="0" w:color="auto"/>
            <w:right w:val="none" w:sz="0" w:space="0" w:color="auto"/>
          </w:divBdr>
        </w:div>
        <w:div w:id="1077048884">
          <w:marLeft w:val="1080"/>
          <w:marRight w:val="0"/>
          <w:marTop w:val="0"/>
          <w:marBottom w:val="101"/>
          <w:divBdr>
            <w:top w:val="none" w:sz="0" w:space="0" w:color="auto"/>
            <w:left w:val="none" w:sz="0" w:space="0" w:color="auto"/>
            <w:bottom w:val="none" w:sz="0" w:space="0" w:color="auto"/>
            <w:right w:val="none" w:sz="0" w:space="0" w:color="auto"/>
          </w:divBdr>
        </w:div>
        <w:div w:id="1655522106">
          <w:marLeft w:val="1080"/>
          <w:marRight w:val="0"/>
          <w:marTop w:val="0"/>
          <w:marBottom w:val="101"/>
          <w:divBdr>
            <w:top w:val="none" w:sz="0" w:space="0" w:color="auto"/>
            <w:left w:val="none" w:sz="0" w:space="0" w:color="auto"/>
            <w:bottom w:val="none" w:sz="0" w:space="0" w:color="auto"/>
            <w:right w:val="none" w:sz="0" w:space="0" w:color="auto"/>
          </w:divBdr>
        </w:div>
        <w:div w:id="497383317">
          <w:marLeft w:val="1080"/>
          <w:marRight w:val="0"/>
          <w:marTop w:val="0"/>
          <w:marBottom w:val="101"/>
          <w:divBdr>
            <w:top w:val="none" w:sz="0" w:space="0" w:color="auto"/>
            <w:left w:val="none" w:sz="0" w:space="0" w:color="auto"/>
            <w:bottom w:val="none" w:sz="0" w:space="0" w:color="auto"/>
            <w:right w:val="none" w:sz="0" w:space="0" w:color="auto"/>
          </w:divBdr>
        </w:div>
        <w:div w:id="1307391302">
          <w:marLeft w:val="1080"/>
          <w:marRight w:val="0"/>
          <w:marTop w:val="0"/>
          <w:marBottom w:val="101"/>
          <w:divBdr>
            <w:top w:val="none" w:sz="0" w:space="0" w:color="auto"/>
            <w:left w:val="none" w:sz="0" w:space="0" w:color="auto"/>
            <w:bottom w:val="none" w:sz="0" w:space="0" w:color="auto"/>
            <w:right w:val="none" w:sz="0" w:space="0" w:color="auto"/>
          </w:divBdr>
        </w:div>
        <w:div w:id="1561937605">
          <w:marLeft w:val="1080"/>
          <w:marRight w:val="0"/>
          <w:marTop w:val="0"/>
          <w:marBottom w:val="101"/>
          <w:divBdr>
            <w:top w:val="none" w:sz="0" w:space="0" w:color="auto"/>
            <w:left w:val="none" w:sz="0" w:space="0" w:color="auto"/>
            <w:bottom w:val="none" w:sz="0" w:space="0" w:color="auto"/>
            <w:right w:val="none" w:sz="0" w:space="0" w:color="auto"/>
          </w:divBdr>
        </w:div>
        <w:div w:id="156967807">
          <w:marLeft w:val="1080"/>
          <w:marRight w:val="0"/>
          <w:marTop w:val="0"/>
          <w:marBottom w:val="101"/>
          <w:divBdr>
            <w:top w:val="none" w:sz="0" w:space="0" w:color="auto"/>
            <w:left w:val="none" w:sz="0" w:space="0" w:color="auto"/>
            <w:bottom w:val="none" w:sz="0" w:space="0" w:color="auto"/>
            <w:right w:val="none" w:sz="0" w:space="0" w:color="auto"/>
          </w:divBdr>
        </w:div>
        <w:div w:id="1478573502">
          <w:marLeft w:val="1080"/>
          <w:marRight w:val="0"/>
          <w:marTop w:val="0"/>
          <w:marBottom w:val="101"/>
          <w:divBdr>
            <w:top w:val="none" w:sz="0" w:space="0" w:color="auto"/>
            <w:left w:val="none" w:sz="0" w:space="0" w:color="auto"/>
            <w:bottom w:val="none" w:sz="0" w:space="0" w:color="auto"/>
            <w:right w:val="none" w:sz="0" w:space="0" w:color="auto"/>
          </w:divBdr>
        </w:div>
        <w:div w:id="1208838257">
          <w:marLeft w:val="1080"/>
          <w:marRight w:val="0"/>
          <w:marTop w:val="0"/>
          <w:marBottom w:val="101"/>
          <w:divBdr>
            <w:top w:val="none" w:sz="0" w:space="0" w:color="auto"/>
            <w:left w:val="none" w:sz="0" w:space="0" w:color="auto"/>
            <w:bottom w:val="none" w:sz="0" w:space="0" w:color="auto"/>
            <w:right w:val="none" w:sz="0" w:space="0" w:color="auto"/>
          </w:divBdr>
        </w:div>
        <w:div w:id="1803034449">
          <w:marLeft w:val="1440"/>
          <w:marRight w:val="0"/>
          <w:marTop w:val="0"/>
          <w:marBottom w:val="101"/>
          <w:divBdr>
            <w:top w:val="none" w:sz="0" w:space="0" w:color="auto"/>
            <w:left w:val="none" w:sz="0" w:space="0" w:color="auto"/>
            <w:bottom w:val="none" w:sz="0" w:space="0" w:color="auto"/>
            <w:right w:val="none" w:sz="0" w:space="0" w:color="auto"/>
          </w:divBdr>
        </w:div>
        <w:div w:id="1689212981">
          <w:marLeft w:val="1440"/>
          <w:marRight w:val="0"/>
          <w:marTop w:val="0"/>
          <w:marBottom w:val="101"/>
          <w:divBdr>
            <w:top w:val="none" w:sz="0" w:space="0" w:color="auto"/>
            <w:left w:val="none" w:sz="0" w:space="0" w:color="auto"/>
            <w:bottom w:val="none" w:sz="0" w:space="0" w:color="auto"/>
            <w:right w:val="none" w:sz="0" w:space="0" w:color="auto"/>
          </w:divBdr>
        </w:div>
        <w:div w:id="415593514">
          <w:marLeft w:val="1440"/>
          <w:marRight w:val="0"/>
          <w:marTop w:val="0"/>
          <w:marBottom w:val="101"/>
          <w:divBdr>
            <w:top w:val="none" w:sz="0" w:space="0" w:color="auto"/>
            <w:left w:val="none" w:sz="0" w:space="0" w:color="auto"/>
            <w:bottom w:val="none" w:sz="0" w:space="0" w:color="auto"/>
            <w:right w:val="none" w:sz="0" w:space="0" w:color="auto"/>
          </w:divBdr>
        </w:div>
        <w:div w:id="420101465">
          <w:marLeft w:val="1440"/>
          <w:marRight w:val="0"/>
          <w:marTop w:val="0"/>
          <w:marBottom w:val="101"/>
          <w:divBdr>
            <w:top w:val="none" w:sz="0" w:space="0" w:color="auto"/>
            <w:left w:val="none" w:sz="0" w:space="0" w:color="auto"/>
            <w:bottom w:val="none" w:sz="0" w:space="0" w:color="auto"/>
            <w:right w:val="none" w:sz="0" w:space="0" w:color="auto"/>
          </w:divBdr>
        </w:div>
        <w:div w:id="133763023">
          <w:marLeft w:val="1440"/>
          <w:marRight w:val="0"/>
          <w:marTop w:val="0"/>
          <w:marBottom w:val="101"/>
          <w:divBdr>
            <w:top w:val="none" w:sz="0" w:space="0" w:color="auto"/>
            <w:left w:val="none" w:sz="0" w:space="0" w:color="auto"/>
            <w:bottom w:val="none" w:sz="0" w:space="0" w:color="auto"/>
            <w:right w:val="none" w:sz="0" w:space="0" w:color="auto"/>
          </w:divBdr>
        </w:div>
        <w:div w:id="2126388667">
          <w:marLeft w:val="1440"/>
          <w:marRight w:val="0"/>
          <w:marTop w:val="0"/>
          <w:marBottom w:val="101"/>
          <w:divBdr>
            <w:top w:val="none" w:sz="0" w:space="0" w:color="auto"/>
            <w:left w:val="none" w:sz="0" w:space="0" w:color="auto"/>
            <w:bottom w:val="none" w:sz="0" w:space="0" w:color="auto"/>
            <w:right w:val="none" w:sz="0" w:space="0" w:color="auto"/>
          </w:divBdr>
        </w:div>
        <w:div w:id="813303417">
          <w:marLeft w:val="1440"/>
          <w:marRight w:val="0"/>
          <w:marTop w:val="0"/>
          <w:marBottom w:val="101"/>
          <w:divBdr>
            <w:top w:val="none" w:sz="0" w:space="0" w:color="auto"/>
            <w:left w:val="none" w:sz="0" w:space="0" w:color="auto"/>
            <w:bottom w:val="none" w:sz="0" w:space="0" w:color="auto"/>
            <w:right w:val="none" w:sz="0" w:space="0" w:color="auto"/>
          </w:divBdr>
        </w:div>
        <w:div w:id="1447431706">
          <w:marLeft w:val="1440"/>
          <w:marRight w:val="0"/>
          <w:marTop w:val="0"/>
          <w:marBottom w:val="101"/>
          <w:divBdr>
            <w:top w:val="none" w:sz="0" w:space="0" w:color="auto"/>
            <w:left w:val="none" w:sz="0" w:space="0" w:color="auto"/>
            <w:bottom w:val="none" w:sz="0" w:space="0" w:color="auto"/>
            <w:right w:val="none" w:sz="0" w:space="0" w:color="auto"/>
          </w:divBdr>
        </w:div>
        <w:div w:id="2005861513">
          <w:marLeft w:val="1440"/>
          <w:marRight w:val="0"/>
          <w:marTop w:val="0"/>
          <w:marBottom w:val="101"/>
          <w:divBdr>
            <w:top w:val="none" w:sz="0" w:space="0" w:color="auto"/>
            <w:left w:val="none" w:sz="0" w:space="0" w:color="auto"/>
            <w:bottom w:val="none" w:sz="0" w:space="0" w:color="auto"/>
            <w:right w:val="none" w:sz="0" w:space="0" w:color="auto"/>
          </w:divBdr>
        </w:div>
        <w:div w:id="281347919">
          <w:marLeft w:val="1440"/>
          <w:marRight w:val="0"/>
          <w:marTop w:val="0"/>
          <w:marBottom w:val="101"/>
          <w:divBdr>
            <w:top w:val="none" w:sz="0" w:space="0" w:color="auto"/>
            <w:left w:val="none" w:sz="0" w:space="0" w:color="auto"/>
            <w:bottom w:val="none" w:sz="0" w:space="0" w:color="auto"/>
            <w:right w:val="none" w:sz="0" w:space="0" w:color="auto"/>
          </w:divBdr>
        </w:div>
        <w:div w:id="1551500397">
          <w:marLeft w:val="1440"/>
          <w:marRight w:val="0"/>
          <w:marTop w:val="0"/>
          <w:marBottom w:val="101"/>
          <w:divBdr>
            <w:top w:val="none" w:sz="0" w:space="0" w:color="auto"/>
            <w:left w:val="none" w:sz="0" w:space="0" w:color="auto"/>
            <w:bottom w:val="none" w:sz="0" w:space="0" w:color="auto"/>
            <w:right w:val="none" w:sz="0" w:space="0" w:color="auto"/>
          </w:divBdr>
        </w:div>
        <w:div w:id="1141073928">
          <w:marLeft w:val="1440"/>
          <w:marRight w:val="0"/>
          <w:marTop w:val="0"/>
          <w:marBottom w:val="101"/>
          <w:divBdr>
            <w:top w:val="none" w:sz="0" w:space="0" w:color="auto"/>
            <w:left w:val="none" w:sz="0" w:space="0" w:color="auto"/>
            <w:bottom w:val="none" w:sz="0" w:space="0" w:color="auto"/>
            <w:right w:val="none" w:sz="0" w:space="0" w:color="auto"/>
          </w:divBdr>
        </w:div>
        <w:div w:id="432090109">
          <w:marLeft w:val="1440"/>
          <w:marRight w:val="0"/>
          <w:marTop w:val="0"/>
          <w:marBottom w:val="101"/>
          <w:divBdr>
            <w:top w:val="none" w:sz="0" w:space="0" w:color="auto"/>
            <w:left w:val="none" w:sz="0" w:space="0" w:color="auto"/>
            <w:bottom w:val="none" w:sz="0" w:space="0" w:color="auto"/>
            <w:right w:val="none" w:sz="0" w:space="0" w:color="auto"/>
          </w:divBdr>
        </w:div>
        <w:div w:id="270936866">
          <w:marLeft w:val="1440"/>
          <w:marRight w:val="0"/>
          <w:marTop w:val="0"/>
          <w:marBottom w:val="101"/>
          <w:divBdr>
            <w:top w:val="none" w:sz="0" w:space="0" w:color="auto"/>
            <w:left w:val="none" w:sz="0" w:space="0" w:color="auto"/>
            <w:bottom w:val="none" w:sz="0" w:space="0" w:color="auto"/>
            <w:right w:val="none" w:sz="0" w:space="0" w:color="auto"/>
          </w:divBdr>
        </w:div>
        <w:div w:id="1523205664">
          <w:marLeft w:val="1440"/>
          <w:marRight w:val="0"/>
          <w:marTop w:val="0"/>
          <w:marBottom w:val="101"/>
          <w:divBdr>
            <w:top w:val="none" w:sz="0" w:space="0" w:color="auto"/>
            <w:left w:val="none" w:sz="0" w:space="0" w:color="auto"/>
            <w:bottom w:val="none" w:sz="0" w:space="0" w:color="auto"/>
            <w:right w:val="none" w:sz="0" w:space="0" w:color="auto"/>
          </w:divBdr>
        </w:div>
        <w:div w:id="1629895910">
          <w:marLeft w:val="1440"/>
          <w:marRight w:val="0"/>
          <w:marTop w:val="0"/>
          <w:marBottom w:val="101"/>
          <w:divBdr>
            <w:top w:val="none" w:sz="0" w:space="0" w:color="auto"/>
            <w:left w:val="none" w:sz="0" w:space="0" w:color="auto"/>
            <w:bottom w:val="none" w:sz="0" w:space="0" w:color="auto"/>
            <w:right w:val="none" w:sz="0" w:space="0" w:color="auto"/>
          </w:divBdr>
        </w:div>
        <w:div w:id="1402682297">
          <w:marLeft w:val="1440"/>
          <w:marRight w:val="0"/>
          <w:marTop w:val="0"/>
          <w:marBottom w:val="101"/>
          <w:divBdr>
            <w:top w:val="none" w:sz="0" w:space="0" w:color="auto"/>
            <w:left w:val="none" w:sz="0" w:space="0" w:color="auto"/>
            <w:bottom w:val="none" w:sz="0" w:space="0" w:color="auto"/>
            <w:right w:val="none" w:sz="0" w:space="0" w:color="auto"/>
          </w:divBdr>
        </w:div>
        <w:div w:id="1395353971">
          <w:marLeft w:val="1440"/>
          <w:marRight w:val="0"/>
          <w:marTop w:val="0"/>
          <w:marBottom w:val="101"/>
          <w:divBdr>
            <w:top w:val="none" w:sz="0" w:space="0" w:color="auto"/>
            <w:left w:val="none" w:sz="0" w:space="0" w:color="auto"/>
            <w:bottom w:val="none" w:sz="0" w:space="0" w:color="auto"/>
            <w:right w:val="none" w:sz="0" w:space="0" w:color="auto"/>
          </w:divBdr>
        </w:div>
        <w:div w:id="68037529">
          <w:marLeft w:val="1440"/>
          <w:marRight w:val="0"/>
          <w:marTop w:val="0"/>
          <w:marBottom w:val="101"/>
          <w:divBdr>
            <w:top w:val="none" w:sz="0" w:space="0" w:color="auto"/>
            <w:left w:val="none" w:sz="0" w:space="0" w:color="auto"/>
            <w:bottom w:val="none" w:sz="0" w:space="0" w:color="auto"/>
            <w:right w:val="none" w:sz="0" w:space="0" w:color="auto"/>
          </w:divBdr>
        </w:div>
        <w:div w:id="832843191">
          <w:marLeft w:val="1440"/>
          <w:marRight w:val="0"/>
          <w:marTop w:val="0"/>
          <w:marBottom w:val="101"/>
          <w:divBdr>
            <w:top w:val="none" w:sz="0" w:space="0" w:color="auto"/>
            <w:left w:val="none" w:sz="0" w:space="0" w:color="auto"/>
            <w:bottom w:val="none" w:sz="0" w:space="0" w:color="auto"/>
            <w:right w:val="none" w:sz="0" w:space="0" w:color="auto"/>
          </w:divBdr>
        </w:div>
        <w:div w:id="1529026926">
          <w:marLeft w:val="1440"/>
          <w:marRight w:val="0"/>
          <w:marTop w:val="0"/>
          <w:marBottom w:val="101"/>
          <w:divBdr>
            <w:top w:val="none" w:sz="0" w:space="0" w:color="auto"/>
            <w:left w:val="none" w:sz="0" w:space="0" w:color="auto"/>
            <w:bottom w:val="none" w:sz="0" w:space="0" w:color="auto"/>
            <w:right w:val="none" w:sz="0" w:space="0" w:color="auto"/>
          </w:divBdr>
        </w:div>
        <w:div w:id="270549481">
          <w:marLeft w:val="1440"/>
          <w:marRight w:val="0"/>
          <w:marTop w:val="0"/>
          <w:marBottom w:val="101"/>
          <w:divBdr>
            <w:top w:val="none" w:sz="0" w:space="0" w:color="auto"/>
            <w:left w:val="none" w:sz="0" w:space="0" w:color="auto"/>
            <w:bottom w:val="none" w:sz="0" w:space="0" w:color="auto"/>
            <w:right w:val="none" w:sz="0" w:space="0" w:color="auto"/>
          </w:divBdr>
        </w:div>
        <w:div w:id="574389812">
          <w:marLeft w:val="1440"/>
          <w:marRight w:val="0"/>
          <w:marTop w:val="0"/>
          <w:marBottom w:val="101"/>
          <w:divBdr>
            <w:top w:val="none" w:sz="0" w:space="0" w:color="auto"/>
            <w:left w:val="none" w:sz="0" w:space="0" w:color="auto"/>
            <w:bottom w:val="none" w:sz="0" w:space="0" w:color="auto"/>
            <w:right w:val="none" w:sz="0" w:space="0" w:color="auto"/>
          </w:divBdr>
        </w:div>
        <w:div w:id="1071461438">
          <w:marLeft w:val="1440"/>
          <w:marRight w:val="0"/>
          <w:marTop w:val="0"/>
          <w:marBottom w:val="101"/>
          <w:divBdr>
            <w:top w:val="none" w:sz="0" w:space="0" w:color="auto"/>
            <w:left w:val="none" w:sz="0" w:space="0" w:color="auto"/>
            <w:bottom w:val="none" w:sz="0" w:space="0" w:color="auto"/>
            <w:right w:val="none" w:sz="0" w:space="0" w:color="auto"/>
          </w:divBdr>
        </w:div>
        <w:div w:id="887834551">
          <w:marLeft w:val="1440"/>
          <w:marRight w:val="0"/>
          <w:marTop w:val="0"/>
          <w:marBottom w:val="101"/>
          <w:divBdr>
            <w:top w:val="none" w:sz="0" w:space="0" w:color="auto"/>
            <w:left w:val="none" w:sz="0" w:space="0" w:color="auto"/>
            <w:bottom w:val="none" w:sz="0" w:space="0" w:color="auto"/>
            <w:right w:val="none" w:sz="0" w:space="0" w:color="auto"/>
          </w:divBdr>
        </w:div>
        <w:div w:id="1721172645">
          <w:marLeft w:val="1080"/>
          <w:marRight w:val="0"/>
          <w:marTop w:val="0"/>
          <w:marBottom w:val="101"/>
          <w:divBdr>
            <w:top w:val="none" w:sz="0" w:space="0" w:color="auto"/>
            <w:left w:val="none" w:sz="0" w:space="0" w:color="auto"/>
            <w:bottom w:val="none" w:sz="0" w:space="0" w:color="auto"/>
            <w:right w:val="none" w:sz="0" w:space="0" w:color="auto"/>
          </w:divBdr>
        </w:div>
        <w:div w:id="2044548092">
          <w:marLeft w:val="1080"/>
          <w:marRight w:val="0"/>
          <w:marTop w:val="0"/>
          <w:marBottom w:val="101"/>
          <w:divBdr>
            <w:top w:val="none" w:sz="0" w:space="0" w:color="auto"/>
            <w:left w:val="none" w:sz="0" w:space="0" w:color="auto"/>
            <w:bottom w:val="none" w:sz="0" w:space="0" w:color="auto"/>
            <w:right w:val="none" w:sz="0" w:space="0" w:color="auto"/>
          </w:divBdr>
        </w:div>
        <w:div w:id="63458536">
          <w:marLeft w:val="1530"/>
          <w:marRight w:val="0"/>
          <w:marTop w:val="0"/>
          <w:marBottom w:val="101"/>
          <w:divBdr>
            <w:top w:val="none" w:sz="0" w:space="0" w:color="auto"/>
            <w:left w:val="none" w:sz="0" w:space="0" w:color="auto"/>
            <w:bottom w:val="none" w:sz="0" w:space="0" w:color="auto"/>
            <w:right w:val="none" w:sz="0" w:space="0" w:color="auto"/>
          </w:divBdr>
        </w:div>
        <w:div w:id="25952532">
          <w:marLeft w:val="1530"/>
          <w:marRight w:val="0"/>
          <w:marTop w:val="0"/>
          <w:marBottom w:val="101"/>
          <w:divBdr>
            <w:top w:val="none" w:sz="0" w:space="0" w:color="auto"/>
            <w:left w:val="none" w:sz="0" w:space="0" w:color="auto"/>
            <w:bottom w:val="none" w:sz="0" w:space="0" w:color="auto"/>
            <w:right w:val="none" w:sz="0" w:space="0" w:color="auto"/>
          </w:divBdr>
        </w:div>
        <w:div w:id="1465654242">
          <w:marLeft w:val="1530"/>
          <w:marRight w:val="0"/>
          <w:marTop w:val="0"/>
          <w:marBottom w:val="101"/>
          <w:divBdr>
            <w:top w:val="none" w:sz="0" w:space="0" w:color="auto"/>
            <w:left w:val="none" w:sz="0" w:space="0" w:color="auto"/>
            <w:bottom w:val="none" w:sz="0" w:space="0" w:color="auto"/>
            <w:right w:val="none" w:sz="0" w:space="0" w:color="auto"/>
          </w:divBdr>
        </w:div>
        <w:div w:id="1047872939">
          <w:marLeft w:val="1530"/>
          <w:marRight w:val="0"/>
          <w:marTop w:val="0"/>
          <w:marBottom w:val="101"/>
          <w:divBdr>
            <w:top w:val="none" w:sz="0" w:space="0" w:color="auto"/>
            <w:left w:val="none" w:sz="0" w:space="0" w:color="auto"/>
            <w:bottom w:val="none" w:sz="0" w:space="0" w:color="auto"/>
            <w:right w:val="none" w:sz="0" w:space="0" w:color="auto"/>
          </w:divBdr>
        </w:div>
        <w:div w:id="1209302555">
          <w:marLeft w:val="1080"/>
          <w:marRight w:val="0"/>
          <w:marTop w:val="0"/>
          <w:marBottom w:val="101"/>
          <w:divBdr>
            <w:top w:val="none" w:sz="0" w:space="0" w:color="auto"/>
            <w:left w:val="none" w:sz="0" w:space="0" w:color="auto"/>
            <w:bottom w:val="none" w:sz="0" w:space="0" w:color="auto"/>
            <w:right w:val="none" w:sz="0" w:space="0" w:color="auto"/>
          </w:divBdr>
        </w:div>
        <w:div w:id="1917015008">
          <w:marLeft w:val="1080"/>
          <w:marRight w:val="0"/>
          <w:marTop w:val="0"/>
          <w:marBottom w:val="101"/>
          <w:divBdr>
            <w:top w:val="none" w:sz="0" w:space="0" w:color="auto"/>
            <w:left w:val="none" w:sz="0" w:space="0" w:color="auto"/>
            <w:bottom w:val="none" w:sz="0" w:space="0" w:color="auto"/>
            <w:right w:val="none" w:sz="0" w:space="0" w:color="auto"/>
          </w:divBdr>
        </w:div>
        <w:div w:id="1789395067">
          <w:marLeft w:val="1080"/>
          <w:marRight w:val="0"/>
          <w:marTop w:val="0"/>
          <w:marBottom w:val="101"/>
          <w:divBdr>
            <w:top w:val="none" w:sz="0" w:space="0" w:color="auto"/>
            <w:left w:val="none" w:sz="0" w:space="0" w:color="auto"/>
            <w:bottom w:val="none" w:sz="0" w:space="0" w:color="auto"/>
            <w:right w:val="none" w:sz="0" w:space="0" w:color="auto"/>
          </w:divBdr>
        </w:div>
        <w:div w:id="1777477808">
          <w:marLeft w:val="1080"/>
          <w:marRight w:val="0"/>
          <w:marTop w:val="0"/>
          <w:marBottom w:val="101"/>
          <w:divBdr>
            <w:top w:val="none" w:sz="0" w:space="0" w:color="auto"/>
            <w:left w:val="none" w:sz="0" w:space="0" w:color="auto"/>
            <w:bottom w:val="none" w:sz="0" w:space="0" w:color="auto"/>
            <w:right w:val="none" w:sz="0" w:space="0" w:color="auto"/>
          </w:divBdr>
        </w:div>
        <w:div w:id="1786077485">
          <w:marLeft w:val="1080"/>
          <w:marRight w:val="0"/>
          <w:marTop w:val="0"/>
          <w:marBottom w:val="101"/>
          <w:divBdr>
            <w:top w:val="none" w:sz="0" w:space="0" w:color="auto"/>
            <w:left w:val="none" w:sz="0" w:space="0" w:color="auto"/>
            <w:bottom w:val="none" w:sz="0" w:space="0" w:color="auto"/>
            <w:right w:val="none" w:sz="0" w:space="0" w:color="auto"/>
          </w:divBdr>
        </w:div>
        <w:div w:id="411854549">
          <w:marLeft w:val="1080"/>
          <w:marRight w:val="0"/>
          <w:marTop w:val="0"/>
          <w:marBottom w:val="101"/>
          <w:divBdr>
            <w:top w:val="none" w:sz="0" w:space="0" w:color="auto"/>
            <w:left w:val="none" w:sz="0" w:space="0" w:color="auto"/>
            <w:bottom w:val="none" w:sz="0" w:space="0" w:color="auto"/>
            <w:right w:val="none" w:sz="0" w:space="0" w:color="auto"/>
          </w:divBdr>
        </w:div>
        <w:div w:id="226383223">
          <w:marLeft w:val="1080"/>
          <w:marRight w:val="0"/>
          <w:marTop w:val="0"/>
          <w:marBottom w:val="101"/>
          <w:divBdr>
            <w:top w:val="none" w:sz="0" w:space="0" w:color="auto"/>
            <w:left w:val="none" w:sz="0" w:space="0" w:color="auto"/>
            <w:bottom w:val="none" w:sz="0" w:space="0" w:color="auto"/>
            <w:right w:val="none" w:sz="0" w:space="0" w:color="auto"/>
          </w:divBdr>
        </w:div>
        <w:div w:id="1319915818">
          <w:marLeft w:val="1080"/>
          <w:marRight w:val="0"/>
          <w:marTop w:val="0"/>
          <w:marBottom w:val="101"/>
          <w:divBdr>
            <w:top w:val="none" w:sz="0" w:space="0" w:color="auto"/>
            <w:left w:val="none" w:sz="0" w:space="0" w:color="auto"/>
            <w:bottom w:val="none" w:sz="0" w:space="0" w:color="auto"/>
            <w:right w:val="none" w:sz="0" w:space="0" w:color="auto"/>
          </w:divBdr>
        </w:div>
        <w:div w:id="1751349417">
          <w:marLeft w:val="1080"/>
          <w:marRight w:val="0"/>
          <w:marTop w:val="0"/>
          <w:marBottom w:val="101"/>
          <w:divBdr>
            <w:top w:val="none" w:sz="0" w:space="0" w:color="auto"/>
            <w:left w:val="none" w:sz="0" w:space="0" w:color="auto"/>
            <w:bottom w:val="none" w:sz="0" w:space="0" w:color="auto"/>
            <w:right w:val="none" w:sz="0" w:space="0" w:color="auto"/>
          </w:divBdr>
        </w:div>
        <w:div w:id="207035325">
          <w:marLeft w:val="1080"/>
          <w:marRight w:val="0"/>
          <w:marTop w:val="0"/>
          <w:marBottom w:val="101"/>
          <w:divBdr>
            <w:top w:val="none" w:sz="0" w:space="0" w:color="auto"/>
            <w:left w:val="none" w:sz="0" w:space="0" w:color="auto"/>
            <w:bottom w:val="none" w:sz="0" w:space="0" w:color="auto"/>
            <w:right w:val="none" w:sz="0" w:space="0" w:color="auto"/>
          </w:divBdr>
        </w:div>
        <w:div w:id="692341288">
          <w:marLeft w:val="1080"/>
          <w:marRight w:val="0"/>
          <w:marTop w:val="0"/>
          <w:marBottom w:val="101"/>
          <w:divBdr>
            <w:top w:val="none" w:sz="0" w:space="0" w:color="auto"/>
            <w:left w:val="none" w:sz="0" w:space="0" w:color="auto"/>
            <w:bottom w:val="none" w:sz="0" w:space="0" w:color="auto"/>
            <w:right w:val="none" w:sz="0" w:space="0" w:color="auto"/>
          </w:divBdr>
        </w:div>
        <w:div w:id="1815680948">
          <w:marLeft w:val="1080"/>
          <w:marRight w:val="0"/>
          <w:marTop w:val="0"/>
          <w:marBottom w:val="101"/>
          <w:divBdr>
            <w:top w:val="none" w:sz="0" w:space="0" w:color="auto"/>
            <w:left w:val="none" w:sz="0" w:space="0" w:color="auto"/>
            <w:bottom w:val="none" w:sz="0" w:space="0" w:color="auto"/>
            <w:right w:val="none" w:sz="0" w:space="0" w:color="auto"/>
          </w:divBdr>
        </w:div>
        <w:div w:id="1660112022">
          <w:marLeft w:val="1080"/>
          <w:marRight w:val="0"/>
          <w:marTop w:val="0"/>
          <w:marBottom w:val="101"/>
          <w:divBdr>
            <w:top w:val="none" w:sz="0" w:space="0" w:color="auto"/>
            <w:left w:val="none" w:sz="0" w:space="0" w:color="auto"/>
            <w:bottom w:val="none" w:sz="0" w:space="0" w:color="auto"/>
            <w:right w:val="none" w:sz="0" w:space="0" w:color="auto"/>
          </w:divBdr>
        </w:div>
        <w:div w:id="708723158">
          <w:marLeft w:val="1620"/>
          <w:marRight w:val="0"/>
          <w:marTop w:val="0"/>
          <w:marBottom w:val="101"/>
          <w:divBdr>
            <w:top w:val="none" w:sz="0" w:space="0" w:color="auto"/>
            <w:left w:val="none" w:sz="0" w:space="0" w:color="auto"/>
            <w:bottom w:val="none" w:sz="0" w:space="0" w:color="auto"/>
            <w:right w:val="none" w:sz="0" w:space="0" w:color="auto"/>
          </w:divBdr>
        </w:div>
        <w:div w:id="959074263">
          <w:marLeft w:val="1620"/>
          <w:marRight w:val="0"/>
          <w:marTop w:val="0"/>
          <w:marBottom w:val="101"/>
          <w:divBdr>
            <w:top w:val="none" w:sz="0" w:space="0" w:color="auto"/>
            <w:left w:val="none" w:sz="0" w:space="0" w:color="auto"/>
            <w:bottom w:val="none" w:sz="0" w:space="0" w:color="auto"/>
            <w:right w:val="none" w:sz="0" w:space="0" w:color="auto"/>
          </w:divBdr>
        </w:div>
        <w:div w:id="2129425319">
          <w:marLeft w:val="1620"/>
          <w:marRight w:val="0"/>
          <w:marTop w:val="0"/>
          <w:marBottom w:val="101"/>
          <w:divBdr>
            <w:top w:val="none" w:sz="0" w:space="0" w:color="auto"/>
            <w:left w:val="none" w:sz="0" w:space="0" w:color="auto"/>
            <w:bottom w:val="none" w:sz="0" w:space="0" w:color="auto"/>
            <w:right w:val="none" w:sz="0" w:space="0" w:color="auto"/>
          </w:divBdr>
        </w:div>
        <w:div w:id="2096394131">
          <w:marLeft w:val="1620"/>
          <w:marRight w:val="0"/>
          <w:marTop w:val="0"/>
          <w:marBottom w:val="101"/>
          <w:divBdr>
            <w:top w:val="none" w:sz="0" w:space="0" w:color="auto"/>
            <w:left w:val="none" w:sz="0" w:space="0" w:color="auto"/>
            <w:bottom w:val="none" w:sz="0" w:space="0" w:color="auto"/>
            <w:right w:val="none" w:sz="0" w:space="0" w:color="auto"/>
          </w:divBdr>
        </w:div>
        <w:div w:id="1933932377">
          <w:marLeft w:val="1620"/>
          <w:marRight w:val="0"/>
          <w:marTop w:val="0"/>
          <w:marBottom w:val="101"/>
          <w:divBdr>
            <w:top w:val="none" w:sz="0" w:space="0" w:color="auto"/>
            <w:left w:val="none" w:sz="0" w:space="0" w:color="auto"/>
            <w:bottom w:val="none" w:sz="0" w:space="0" w:color="auto"/>
            <w:right w:val="none" w:sz="0" w:space="0" w:color="auto"/>
          </w:divBdr>
        </w:div>
        <w:div w:id="837766472">
          <w:marLeft w:val="1627"/>
          <w:marRight w:val="0"/>
          <w:marTop w:val="0"/>
          <w:marBottom w:val="101"/>
          <w:divBdr>
            <w:top w:val="none" w:sz="0" w:space="0" w:color="auto"/>
            <w:left w:val="none" w:sz="0" w:space="0" w:color="auto"/>
            <w:bottom w:val="none" w:sz="0" w:space="0" w:color="auto"/>
            <w:right w:val="none" w:sz="0" w:space="0" w:color="auto"/>
          </w:divBdr>
        </w:div>
        <w:div w:id="1938127056">
          <w:marLeft w:val="1620"/>
          <w:marRight w:val="0"/>
          <w:marTop w:val="0"/>
          <w:marBottom w:val="101"/>
          <w:divBdr>
            <w:top w:val="none" w:sz="0" w:space="0" w:color="auto"/>
            <w:left w:val="none" w:sz="0" w:space="0" w:color="auto"/>
            <w:bottom w:val="none" w:sz="0" w:space="0" w:color="auto"/>
            <w:right w:val="none" w:sz="0" w:space="0" w:color="auto"/>
          </w:divBdr>
        </w:div>
        <w:div w:id="1836803437">
          <w:marLeft w:val="1627"/>
          <w:marRight w:val="0"/>
          <w:marTop w:val="0"/>
          <w:marBottom w:val="101"/>
          <w:divBdr>
            <w:top w:val="none" w:sz="0" w:space="0" w:color="auto"/>
            <w:left w:val="none" w:sz="0" w:space="0" w:color="auto"/>
            <w:bottom w:val="none" w:sz="0" w:space="0" w:color="auto"/>
            <w:right w:val="none" w:sz="0" w:space="0" w:color="auto"/>
          </w:divBdr>
        </w:div>
        <w:div w:id="1030689847">
          <w:marLeft w:val="1980"/>
          <w:marRight w:val="0"/>
          <w:marTop w:val="0"/>
          <w:marBottom w:val="101"/>
          <w:divBdr>
            <w:top w:val="none" w:sz="0" w:space="0" w:color="auto"/>
            <w:left w:val="none" w:sz="0" w:space="0" w:color="auto"/>
            <w:bottom w:val="none" w:sz="0" w:space="0" w:color="auto"/>
            <w:right w:val="none" w:sz="0" w:space="0" w:color="auto"/>
          </w:divBdr>
        </w:div>
        <w:div w:id="355691396">
          <w:marLeft w:val="1980"/>
          <w:marRight w:val="0"/>
          <w:marTop w:val="0"/>
          <w:marBottom w:val="101"/>
          <w:divBdr>
            <w:top w:val="none" w:sz="0" w:space="0" w:color="auto"/>
            <w:left w:val="none" w:sz="0" w:space="0" w:color="auto"/>
            <w:bottom w:val="none" w:sz="0" w:space="0" w:color="auto"/>
            <w:right w:val="none" w:sz="0" w:space="0" w:color="auto"/>
          </w:divBdr>
        </w:div>
        <w:div w:id="1584412335">
          <w:marLeft w:val="1980"/>
          <w:marRight w:val="0"/>
          <w:marTop w:val="0"/>
          <w:marBottom w:val="101"/>
          <w:divBdr>
            <w:top w:val="none" w:sz="0" w:space="0" w:color="auto"/>
            <w:left w:val="none" w:sz="0" w:space="0" w:color="auto"/>
            <w:bottom w:val="none" w:sz="0" w:space="0" w:color="auto"/>
            <w:right w:val="none" w:sz="0" w:space="0" w:color="auto"/>
          </w:divBdr>
        </w:div>
        <w:div w:id="1807963198">
          <w:marLeft w:val="1980"/>
          <w:marRight w:val="0"/>
          <w:marTop w:val="0"/>
          <w:marBottom w:val="101"/>
          <w:divBdr>
            <w:top w:val="none" w:sz="0" w:space="0" w:color="auto"/>
            <w:left w:val="none" w:sz="0" w:space="0" w:color="auto"/>
            <w:bottom w:val="none" w:sz="0" w:space="0" w:color="auto"/>
            <w:right w:val="none" w:sz="0" w:space="0" w:color="auto"/>
          </w:divBdr>
        </w:div>
        <w:div w:id="2132279513">
          <w:marLeft w:val="1980"/>
          <w:marRight w:val="0"/>
          <w:marTop w:val="0"/>
          <w:marBottom w:val="101"/>
          <w:divBdr>
            <w:top w:val="none" w:sz="0" w:space="0" w:color="auto"/>
            <w:left w:val="none" w:sz="0" w:space="0" w:color="auto"/>
            <w:bottom w:val="none" w:sz="0" w:space="0" w:color="auto"/>
            <w:right w:val="none" w:sz="0" w:space="0" w:color="auto"/>
          </w:divBdr>
        </w:div>
        <w:div w:id="349261883">
          <w:marLeft w:val="1620"/>
          <w:marRight w:val="0"/>
          <w:marTop w:val="0"/>
          <w:marBottom w:val="101"/>
          <w:divBdr>
            <w:top w:val="none" w:sz="0" w:space="0" w:color="auto"/>
            <w:left w:val="none" w:sz="0" w:space="0" w:color="auto"/>
            <w:bottom w:val="none" w:sz="0" w:space="0" w:color="auto"/>
            <w:right w:val="none" w:sz="0" w:space="0" w:color="auto"/>
          </w:divBdr>
        </w:div>
        <w:div w:id="10422483">
          <w:marLeft w:val="1080"/>
          <w:marRight w:val="0"/>
          <w:marTop w:val="0"/>
          <w:marBottom w:val="101"/>
          <w:divBdr>
            <w:top w:val="none" w:sz="0" w:space="0" w:color="auto"/>
            <w:left w:val="none" w:sz="0" w:space="0" w:color="auto"/>
            <w:bottom w:val="none" w:sz="0" w:space="0" w:color="auto"/>
            <w:right w:val="none" w:sz="0" w:space="0" w:color="auto"/>
          </w:divBdr>
        </w:div>
        <w:div w:id="439953390">
          <w:marLeft w:val="1080"/>
          <w:marRight w:val="0"/>
          <w:marTop w:val="0"/>
          <w:marBottom w:val="101"/>
          <w:divBdr>
            <w:top w:val="none" w:sz="0" w:space="0" w:color="auto"/>
            <w:left w:val="none" w:sz="0" w:space="0" w:color="auto"/>
            <w:bottom w:val="none" w:sz="0" w:space="0" w:color="auto"/>
            <w:right w:val="none" w:sz="0" w:space="0" w:color="auto"/>
          </w:divBdr>
        </w:div>
        <w:div w:id="2023509957">
          <w:marLeft w:val="1080"/>
          <w:marRight w:val="0"/>
          <w:marTop w:val="0"/>
          <w:marBottom w:val="101"/>
          <w:divBdr>
            <w:top w:val="none" w:sz="0" w:space="0" w:color="auto"/>
            <w:left w:val="none" w:sz="0" w:space="0" w:color="auto"/>
            <w:bottom w:val="none" w:sz="0" w:space="0" w:color="auto"/>
            <w:right w:val="none" w:sz="0" w:space="0" w:color="auto"/>
          </w:divBdr>
        </w:div>
        <w:div w:id="1232620509">
          <w:marLeft w:val="1080"/>
          <w:marRight w:val="0"/>
          <w:marTop w:val="0"/>
          <w:marBottom w:val="101"/>
          <w:divBdr>
            <w:top w:val="none" w:sz="0" w:space="0" w:color="auto"/>
            <w:left w:val="none" w:sz="0" w:space="0" w:color="auto"/>
            <w:bottom w:val="none" w:sz="0" w:space="0" w:color="auto"/>
            <w:right w:val="none" w:sz="0" w:space="0" w:color="auto"/>
          </w:divBdr>
        </w:div>
        <w:div w:id="2069843973">
          <w:marLeft w:val="1080"/>
          <w:marRight w:val="0"/>
          <w:marTop w:val="0"/>
          <w:marBottom w:val="101"/>
          <w:divBdr>
            <w:top w:val="none" w:sz="0" w:space="0" w:color="auto"/>
            <w:left w:val="none" w:sz="0" w:space="0" w:color="auto"/>
            <w:bottom w:val="none" w:sz="0" w:space="0" w:color="auto"/>
            <w:right w:val="none" w:sz="0" w:space="0" w:color="auto"/>
          </w:divBdr>
        </w:div>
        <w:div w:id="2088647865">
          <w:marLeft w:val="0"/>
          <w:marRight w:val="0"/>
          <w:marTop w:val="0"/>
          <w:marBottom w:val="101"/>
          <w:divBdr>
            <w:top w:val="none" w:sz="0" w:space="0" w:color="auto"/>
            <w:left w:val="none" w:sz="0" w:space="0" w:color="auto"/>
            <w:bottom w:val="none" w:sz="0" w:space="0" w:color="auto"/>
            <w:right w:val="none" w:sz="0" w:space="0" w:color="auto"/>
          </w:divBdr>
        </w:div>
        <w:div w:id="275448422">
          <w:marLeft w:val="720"/>
          <w:marRight w:val="0"/>
          <w:marTop w:val="0"/>
          <w:marBottom w:val="101"/>
          <w:divBdr>
            <w:top w:val="none" w:sz="0" w:space="0" w:color="auto"/>
            <w:left w:val="none" w:sz="0" w:space="0" w:color="auto"/>
            <w:bottom w:val="none" w:sz="0" w:space="0" w:color="auto"/>
            <w:right w:val="none" w:sz="0" w:space="0" w:color="auto"/>
          </w:divBdr>
        </w:div>
        <w:div w:id="101340032">
          <w:marLeft w:val="0"/>
          <w:marRight w:val="0"/>
          <w:marTop w:val="0"/>
          <w:marBottom w:val="101"/>
          <w:divBdr>
            <w:top w:val="none" w:sz="0" w:space="0" w:color="auto"/>
            <w:left w:val="none" w:sz="0" w:space="0" w:color="auto"/>
            <w:bottom w:val="none" w:sz="0" w:space="0" w:color="auto"/>
            <w:right w:val="none" w:sz="0" w:space="0" w:color="auto"/>
          </w:divBdr>
        </w:div>
        <w:div w:id="2038391000">
          <w:marLeft w:val="720"/>
          <w:marRight w:val="0"/>
          <w:marTop w:val="0"/>
          <w:marBottom w:val="101"/>
          <w:divBdr>
            <w:top w:val="none" w:sz="0" w:space="0" w:color="auto"/>
            <w:left w:val="none" w:sz="0" w:space="0" w:color="auto"/>
            <w:bottom w:val="none" w:sz="0" w:space="0" w:color="auto"/>
            <w:right w:val="none" w:sz="0" w:space="0" w:color="auto"/>
          </w:divBdr>
        </w:div>
        <w:div w:id="1553497281">
          <w:marLeft w:val="720"/>
          <w:marRight w:val="0"/>
          <w:marTop w:val="0"/>
          <w:marBottom w:val="101"/>
          <w:divBdr>
            <w:top w:val="none" w:sz="0" w:space="0" w:color="auto"/>
            <w:left w:val="none" w:sz="0" w:space="0" w:color="auto"/>
            <w:bottom w:val="none" w:sz="0" w:space="0" w:color="auto"/>
            <w:right w:val="none" w:sz="0" w:space="0" w:color="auto"/>
          </w:divBdr>
        </w:div>
        <w:div w:id="909120371">
          <w:marLeft w:val="720"/>
          <w:marRight w:val="0"/>
          <w:marTop w:val="0"/>
          <w:marBottom w:val="101"/>
          <w:divBdr>
            <w:top w:val="none" w:sz="0" w:space="0" w:color="auto"/>
            <w:left w:val="none" w:sz="0" w:space="0" w:color="auto"/>
            <w:bottom w:val="none" w:sz="0" w:space="0" w:color="auto"/>
            <w:right w:val="none" w:sz="0" w:space="0" w:color="auto"/>
          </w:divBdr>
        </w:div>
        <w:div w:id="1034886543">
          <w:marLeft w:val="720"/>
          <w:marRight w:val="0"/>
          <w:marTop w:val="0"/>
          <w:marBottom w:val="101"/>
          <w:divBdr>
            <w:top w:val="none" w:sz="0" w:space="0" w:color="auto"/>
            <w:left w:val="none" w:sz="0" w:space="0" w:color="auto"/>
            <w:bottom w:val="none" w:sz="0" w:space="0" w:color="auto"/>
            <w:right w:val="none" w:sz="0" w:space="0" w:color="auto"/>
          </w:divBdr>
        </w:div>
        <w:div w:id="85082719">
          <w:marLeft w:val="720"/>
          <w:marRight w:val="0"/>
          <w:marTop w:val="0"/>
          <w:marBottom w:val="101"/>
          <w:divBdr>
            <w:top w:val="none" w:sz="0" w:space="0" w:color="auto"/>
            <w:left w:val="none" w:sz="0" w:space="0" w:color="auto"/>
            <w:bottom w:val="none" w:sz="0" w:space="0" w:color="auto"/>
            <w:right w:val="none" w:sz="0" w:space="0" w:color="auto"/>
          </w:divBdr>
        </w:div>
        <w:div w:id="1640261592">
          <w:marLeft w:val="720"/>
          <w:marRight w:val="0"/>
          <w:marTop w:val="0"/>
          <w:marBottom w:val="101"/>
          <w:divBdr>
            <w:top w:val="none" w:sz="0" w:space="0" w:color="auto"/>
            <w:left w:val="none" w:sz="0" w:space="0" w:color="auto"/>
            <w:bottom w:val="none" w:sz="0" w:space="0" w:color="auto"/>
            <w:right w:val="none" w:sz="0" w:space="0" w:color="auto"/>
          </w:divBdr>
        </w:div>
        <w:div w:id="1765683386">
          <w:marLeft w:val="720"/>
          <w:marRight w:val="0"/>
          <w:marTop w:val="0"/>
          <w:marBottom w:val="101"/>
          <w:divBdr>
            <w:top w:val="none" w:sz="0" w:space="0" w:color="auto"/>
            <w:left w:val="none" w:sz="0" w:space="0" w:color="auto"/>
            <w:bottom w:val="none" w:sz="0" w:space="0" w:color="auto"/>
            <w:right w:val="none" w:sz="0" w:space="0" w:color="auto"/>
          </w:divBdr>
        </w:div>
        <w:div w:id="1816414873">
          <w:marLeft w:val="0"/>
          <w:marRight w:val="0"/>
          <w:marTop w:val="0"/>
          <w:marBottom w:val="101"/>
          <w:divBdr>
            <w:top w:val="none" w:sz="0" w:space="0" w:color="auto"/>
            <w:left w:val="none" w:sz="0" w:space="0" w:color="auto"/>
            <w:bottom w:val="none" w:sz="0" w:space="0" w:color="auto"/>
            <w:right w:val="none" w:sz="0" w:space="0" w:color="auto"/>
          </w:divBdr>
        </w:div>
        <w:div w:id="1522889479">
          <w:marLeft w:val="720"/>
          <w:marRight w:val="0"/>
          <w:marTop w:val="0"/>
          <w:marBottom w:val="101"/>
          <w:divBdr>
            <w:top w:val="none" w:sz="0" w:space="0" w:color="auto"/>
            <w:left w:val="none" w:sz="0" w:space="0" w:color="auto"/>
            <w:bottom w:val="none" w:sz="0" w:space="0" w:color="auto"/>
            <w:right w:val="none" w:sz="0" w:space="0" w:color="auto"/>
          </w:divBdr>
        </w:div>
        <w:div w:id="140198582">
          <w:marLeft w:val="720"/>
          <w:marRight w:val="0"/>
          <w:marTop w:val="0"/>
          <w:marBottom w:val="101"/>
          <w:divBdr>
            <w:top w:val="none" w:sz="0" w:space="0" w:color="auto"/>
            <w:left w:val="none" w:sz="0" w:space="0" w:color="auto"/>
            <w:bottom w:val="none" w:sz="0" w:space="0" w:color="auto"/>
            <w:right w:val="none" w:sz="0" w:space="0" w:color="auto"/>
          </w:divBdr>
        </w:div>
        <w:div w:id="1778677756">
          <w:marLeft w:val="720"/>
          <w:marRight w:val="0"/>
          <w:marTop w:val="0"/>
          <w:marBottom w:val="101"/>
          <w:divBdr>
            <w:top w:val="none" w:sz="0" w:space="0" w:color="auto"/>
            <w:left w:val="none" w:sz="0" w:space="0" w:color="auto"/>
            <w:bottom w:val="none" w:sz="0" w:space="0" w:color="auto"/>
            <w:right w:val="none" w:sz="0" w:space="0" w:color="auto"/>
          </w:divBdr>
        </w:div>
        <w:div w:id="611978006">
          <w:marLeft w:val="0"/>
          <w:marRight w:val="0"/>
          <w:marTop w:val="0"/>
          <w:marBottom w:val="101"/>
          <w:divBdr>
            <w:top w:val="none" w:sz="0" w:space="0" w:color="auto"/>
            <w:left w:val="none" w:sz="0" w:space="0" w:color="auto"/>
            <w:bottom w:val="none" w:sz="0" w:space="0" w:color="auto"/>
            <w:right w:val="none" w:sz="0" w:space="0" w:color="auto"/>
          </w:divBdr>
        </w:div>
        <w:div w:id="1521430007">
          <w:marLeft w:val="720"/>
          <w:marRight w:val="0"/>
          <w:marTop w:val="0"/>
          <w:marBottom w:val="101"/>
          <w:divBdr>
            <w:top w:val="none" w:sz="0" w:space="0" w:color="auto"/>
            <w:left w:val="none" w:sz="0" w:space="0" w:color="auto"/>
            <w:bottom w:val="none" w:sz="0" w:space="0" w:color="auto"/>
            <w:right w:val="none" w:sz="0" w:space="0" w:color="auto"/>
          </w:divBdr>
        </w:div>
        <w:div w:id="1792242484">
          <w:marLeft w:val="720"/>
          <w:marRight w:val="0"/>
          <w:marTop w:val="0"/>
          <w:marBottom w:val="101"/>
          <w:divBdr>
            <w:top w:val="none" w:sz="0" w:space="0" w:color="auto"/>
            <w:left w:val="none" w:sz="0" w:space="0" w:color="auto"/>
            <w:bottom w:val="none" w:sz="0" w:space="0" w:color="auto"/>
            <w:right w:val="none" w:sz="0" w:space="0" w:color="auto"/>
          </w:divBdr>
        </w:div>
        <w:div w:id="1151215333">
          <w:marLeft w:val="720"/>
          <w:marRight w:val="0"/>
          <w:marTop w:val="0"/>
          <w:marBottom w:val="101"/>
          <w:divBdr>
            <w:top w:val="none" w:sz="0" w:space="0" w:color="auto"/>
            <w:left w:val="none" w:sz="0" w:space="0" w:color="auto"/>
            <w:bottom w:val="none" w:sz="0" w:space="0" w:color="auto"/>
            <w:right w:val="none" w:sz="0" w:space="0" w:color="auto"/>
          </w:divBdr>
        </w:div>
        <w:div w:id="620570741">
          <w:marLeft w:val="720"/>
          <w:marRight w:val="0"/>
          <w:marTop w:val="0"/>
          <w:marBottom w:val="101"/>
          <w:divBdr>
            <w:top w:val="none" w:sz="0" w:space="0" w:color="auto"/>
            <w:left w:val="none" w:sz="0" w:space="0" w:color="auto"/>
            <w:bottom w:val="none" w:sz="0" w:space="0" w:color="auto"/>
            <w:right w:val="none" w:sz="0" w:space="0" w:color="auto"/>
          </w:divBdr>
        </w:div>
        <w:div w:id="847326751">
          <w:marLeft w:val="0"/>
          <w:marRight w:val="0"/>
          <w:marTop w:val="0"/>
          <w:marBottom w:val="101"/>
          <w:divBdr>
            <w:top w:val="none" w:sz="0" w:space="0" w:color="auto"/>
            <w:left w:val="none" w:sz="0" w:space="0" w:color="auto"/>
            <w:bottom w:val="none" w:sz="0" w:space="0" w:color="auto"/>
            <w:right w:val="none" w:sz="0" w:space="0" w:color="auto"/>
          </w:divBdr>
        </w:div>
        <w:div w:id="2006198653">
          <w:marLeft w:val="0"/>
          <w:marRight w:val="0"/>
          <w:marTop w:val="0"/>
          <w:marBottom w:val="101"/>
          <w:divBdr>
            <w:top w:val="none" w:sz="0" w:space="0" w:color="auto"/>
            <w:left w:val="none" w:sz="0" w:space="0" w:color="auto"/>
            <w:bottom w:val="none" w:sz="0" w:space="0" w:color="auto"/>
            <w:right w:val="none" w:sz="0" w:space="0" w:color="auto"/>
          </w:divBdr>
        </w:div>
        <w:div w:id="1203789338">
          <w:marLeft w:val="0"/>
          <w:marRight w:val="0"/>
          <w:marTop w:val="0"/>
          <w:marBottom w:val="101"/>
          <w:divBdr>
            <w:top w:val="none" w:sz="0" w:space="0" w:color="auto"/>
            <w:left w:val="none" w:sz="0" w:space="0" w:color="auto"/>
            <w:bottom w:val="none" w:sz="0" w:space="0" w:color="auto"/>
            <w:right w:val="none" w:sz="0" w:space="0" w:color="auto"/>
          </w:divBdr>
        </w:div>
        <w:div w:id="1043866438">
          <w:marLeft w:val="0"/>
          <w:marRight w:val="0"/>
          <w:marTop w:val="0"/>
          <w:marBottom w:val="101"/>
          <w:divBdr>
            <w:top w:val="none" w:sz="0" w:space="0" w:color="auto"/>
            <w:left w:val="none" w:sz="0" w:space="0" w:color="auto"/>
            <w:bottom w:val="none" w:sz="0" w:space="0" w:color="auto"/>
            <w:right w:val="none" w:sz="0" w:space="0" w:color="auto"/>
          </w:divBdr>
        </w:div>
        <w:div w:id="882332195">
          <w:marLeft w:val="0"/>
          <w:marRight w:val="0"/>
          <w:marTop w:val="0"/>
          <w:marBottom w:val="101"/>
          <w:divBdr>
            <w:top w:val="none" w:sz="0" w:space="0" w:color="auto"/>
            <w:left w:val="none" w:sz="0" w:space="0" w:color="auto"/>
            <w:bottom w:val="none" w:sz="0" w:space="0" w:color="auto"/>
            <w:right w:val="none" w:sz="0" w:space="0" w:color="auto"/>
          </w:divBdr>
        </w:div>
        <w:div w:id="506557019">
          <w:marLeft w:val="0"/>
          <w:marRight w:val="0"/>
          <w:marTop w:val="0"/>
          <w:marBottom w:val="101"/>
          <w:divBdr>
            <w:top w:val="none" w:sz="0" w:space="0" w:color="auto"/>
            <w:left w:val="none" w:sz="0" w:space="0" w:color="auto"/>
            <w:bottom w:val="none" w:sz="0" w:space="0" w:color="auto"/>
            <w:right w:val="none" w:sz="0" w:space="0" w:color="auto"/>
          </w:divBdr>
        </w:div>
        <w:div w:id="647633665">
          <w:marLeft w:val="0"/>
          <w:marRight w:val="0"/>
          <w:marTop w:val="0"/>
          <w:marBottom w:val="101"/>
          <w:divBdr>
            <w:top w:val="none" w:sz="0" w:space="0" w:color="auto"/>
            <w:left w:val="none" w:sz="0" w:space="0" w:color="auto"/>
            <w:bottom w:val="none" w:sz="0" w:space="0" w:color="auto"/>
            <w:right w:val="none" w:sz="0" w:space="0" w:color="auto"/>
          </w:divBdr>
        </w:div>
        <w:div w:id="112752348">
          <w:marLeft w:val="0"/>
          <w:marRight w:val="0"/>
          <w:marTop w:val="0"/>
          <w:marBottom w:val="101"/>
          <w:divBdr>
            <w:top w:val="none" w:sz="0" w:space="0" w:color="auto"/>
            <w:left w:val="none" w:sz="0" w:space="0" w:color="auto"/>
            <w:bottom w:val="none" w:sz="0" w:space="0" w:color="auto"/>
            <w:right w:val="none" w:sz="0" w:space="0" w:color="auto"/>
          </w:divBdr>
        </w:div>
        <w:div w:id="195194626">
          <w:marLeft w:val="0"/>
          <w:marRight w:val="0"/>
          <w:marTop w:val="0"/>
          <w:marBottom w:val="101"/>
          <w:divBdr>
            <w:top w:val="none" w:sz="0" w:space="0" w:color="auto"/>
            <w:left w:val="none" w:sz="0" w:space="0" w:color="auto"/>
            <w:bottom w:val="none" w:sz="0" w:space="0" w:color="auto"/>
            <w:right w:val="none" w:sz="0" w:space="0" w:color="auto"/>
          </w:divBdr>
        </w:div>
        <w:div w:id="1105686965">
          <w:marLeft w:val="0"/>
          <w:marRight w:val="0"/>
          <w:marTop w:val="0"/>
          <w:marBottom w:val="101"/>
          <w:divBdr>
            <w:top w:val="none" w:sz="0" w:space="0" w:color="auto"/>
            <w:left w:val="none" w:sz="0" w:space="0" w:color="auto"/>
            <w:bottom w:val="none" w:sz="0" w:space="0" w:color="auto"/>
            <w:right w:val="none" w:sz="0" w:space="0" w:color="auto"/>
          </w:divBdr>
        </w:div>
        <w:div w:id="1703362553">
          <w:marLeft w:val="0"/>
          <w:marRight w:val="0"/>
          <w:marTop w:val="0"/>
          <w:marBottom w:val="101"/>
          <w:divBdr>
            <w:top w:val="none" w:sz="0" w:space="0" w:color="auto"/>
            <w:left w:val="none" w:sz="0" w:space="0" w:color="auto"/>
            <w:bottom w:val="none" w:sz="0" w:space="0" w:color="auto"/>
            <w:right w:val="none" w:sz="0" w:space="0" w:color="auto"/>
          </w:divBdr>
        </w:div>
        <w:div w:id="1369259837">
          <w:marLeft w:val="0"/>
          <w:marRight w:val="0"/>
          <w:marTop w:val="0"/>
          <w:marBottom w:val="101"/>
          <w:divBdr>
            <w:top w:val="none" w:sz="0" w:space="0" w:color="auto"/>
            <w:left w:val="none" w:sz="0" w:space="0" w:color="auto"/>
            <w:bottom w:val="none" w:sz="0" w:space="0" w:color="auto"/>
            <w:right w:val="none" w:sz="0" w:space="0" w:color="auto"/>
          </w:divBdr>
        </w:div>
        <w:div w:id="512888690">
          <w:marLeft w:val="0"/>
          <w:marRight w:val="0"/>
          <w:marTop w:val="0"/>
          <w:marBottom w:val="101"/>
          <w:divBdr>
            <w:top w:val="none" w:sz="0" w:space="0" w:color="auto"/>
            <w:left w:val="none" w:sz="0" w:space="0" w:color="auto"/>
            <w:bottom w:val="none" w:sz="0" w:space="0" w:color="auto"/>
            <w:right w:val="none" w:sz="0" w:space="0" w:color="auto"/>
          </w:divBdr>
        </w:div>
        <w:div w:id="321467142">
          <w:marLeft w:val="0"/>
          <w:marRight w:val="0"/>
          <w:marTop w:val="0"/>
          <w:marBottom w:val="101"/>
          <w:divBdr>
            <w:top w:val="none" w:sz="0" w:space="0" w:color="auto"/>
            <w:left w:val="none" w:sz="0" w:space="0" w:color="auto"/>
            <w:bottom w:val="none" w:sz="0" w:space="0" w:color="auto"/>
            <w:right w:val="none" w:sz="0" w:space="0" w:color="auto"/>
          </w:divBdr>
        </w:div>
        <w:div w:id="1963068730">
          <w:marLeft w:val="0"/>
          <w:marRight w:val="0"/>
          <w:marTop w:val="0"/>
          <w:marBottom w:val="101"/>
          <w:divBdr>
            <w:top w:val="none" w:sz="0" w:space="0" w:color="auto"/>
            <w:left w:val="none" w:sz="0" w:space="0" w:color="auto"/>
            <w:bottom w:val="none" w:sz="0" w:space="0" w:color="auto"/>
            <w:right w:val="none" w:sz="0" w:space="0" w:color="auto"/>
          </w:divBdr>
        </w:div>
        <w:div w:id="1892882992">
          <w:marLeft w:val="0"/>
          <w:marRight w:val="0"/>
          <w:marTop w:val="0"/>
          <w:marBottom w:val="101"/>
          <w:divBdr>
            <w:top w:val="none" w:sz="0" w:space="0" w:color="auto"/>
            <w:left w:val="none" w:sz="0" w:space="0" w:color="auto"/>
            <w:bottom w:val="none" w:sz="0" w:space="0" w:color="auto"/>
            <w:right w:val="none" w:sz="0" w:space="0" w:color="auto"/>
          </w:divBdr>
        </w:div>
        <w:div w:id="1179082756">
          <w:marLeft w:val="0"/>
          <w:marRight w:val="0"/>
          <w:marTop w:val="0"/>
          <w:marBottom w:val="101"/>
          <w:divBdr>
            <w:top w:val="none" w:sz="0" w:space="0" w:color="auto"/>
            <w:left w:val="none" w:sz="0" w:space="0" w:color="auto"/>
            <w:bottom w:val="none" w:sz="0" w:space="0" w:color="auto"/>
            <w:right w:val="none" w:sz="0" w:space="0" w:color="auto"/>
          </w:divBdr>
        </w:div>
        <w:div w:id="778985843">
          <w:marLeft w:val="0"/>
          <w:marRight w:val="0"/>
          <w:marTop w:val="0"/>
          <w:marBottom w:val="101"/>
          <w:divBdr>
            <w:top w:val="none" w:sz="0" w:space="0" w:color="auto"/>
            <w:left w:val="none" w:sz="0" w:space="0" w:color="auto"/>
            <w:bottom w:val="none" w:sz="0" w:space="0" w:color="auto"/>
            <w:right w:val="none" w:sz="0" w:space="0" w:color="auto"/>
          </w:divBdr>
        </w:div>
        <w:div w:id="340665556">
          <w:marLeft w:val="0"/>
          <w:marRight w:val="0"/>
          <w:marTop w:val="0"/>
          <w:marBottom w:val="101"/>
          <w:divBdr>
            <w:top w:val="none" w:sz="0" w:space="0" w:color="auto"/>
            <w:left w:val="none" w:sz="0" w:space="0" w:color="auto"/>
            <w:bottom w:val="none" w:sz="0" w:space="0" w:color="auto"/>
            <w:right w:val="none" w:sz="0" w:space="0" w:color="auto"/>
          </w:divBdr>
        </w:div>
        <w:div w:id="1674842072">
          <w:marLeft w:val="0"/>
          <w:marRight w:val="0"/>
          <w:marTop w:val="0"/>
          <w:marBottom w:val="101"/>
          <w:divBdr>
            <w:top w:val="none" w:sz="0" w:space="0" w:color="auto"/>
            <w:left w:val="none" w:sz="0" w:space="0" w:color="auto"/>
            <w:bottom w:val="none" w:sz="0" w:space="0" w:color="auto"/>
            <w:right w:val="none" w:sz="0" w:space="0" w:color="auto"/>
          </w:divBdr>
        </w:div>
        <w:div w:id="1351418404">
          <w:marLeft w:val="0"/>
          <w:marRight w:val="0"/>
          <w:marTop w:val="0"/>
          <w:marBottom w:val="101"/>
          <w:divBdr>
            <w:top w:val="none" w:sz="0" w:space="0" w:color="auto"/>
            <w:left w:val="none" w:sz="0" w:space="0" w:color="auto"/>
            <w:bottom w:val="none" w:sz="0" w:space="0" w:color="auto"/>
            <w:right w:val="none" w:sz="0" w:space="0" w:color="auto"/>
          </w:divBdr>
        </w:div>
        <w:div w:id="534929493">
          <w:marLeft w:val="0"/>
          <w:marRight w:val="0"/>
          <w:marTop w:val="0"/>
          <w:marBottom w:val="101"/>
          <w:divBdr>
            <w:top w:val="none" w:sz="0" w:space="0" w:color="auto"/>
            <w:left w:val="none" w:sz="0" w:space="0" w:color="auto"/>
            <w:bottom w:val="none" w:sz="0" w:space="0" w:color="auto"/>
            <w:right w:val="none" w:sz="0" w:space="0" w:color="auto"/>
          </w:divBdr>
        </w:div>
        <w:div w:id="1387290634">
          <w:marLeft w:val="0"/>
          <w:marRight w:val="0"/>
          <w:marTop w:val="0"/>
          <w:marBottom w:val="101"/>
          <w:divBdr>
            <w:top w:val="none" w:sz="0" w:space="0" w:color="auto"/>
            <w:left w:val="none" w:sz="0" w:space="0" w:color="auto"/>
            <w:bottom w:val="none" w:sz="0" w:space="0" w:color="auto"/>
            <w:right w:val="none" w:sz="0" w:space="0" w:color="auto"/>
          </w:divBdr>
        </w:div>
        <w:div w:id="202253763">
          <w:marLeft w:val="0"/>
          <w:marRight w:val="0"/>
          <w:marTop w:val="0"/>
          <w:marBottom w:val="101"/>
          <w:divBdr>
            <w:top w:val="none" w:sz="0" w:space="0" w:color="auto"/>
            <w:left w:val="none" w:sz="0" w:space="0" w:color="auto"/>
            <w:bottom w:val="none" w:sz="0" w:space="0" w:color="auto"/>
            <w:right w:val="none" w:sz="0" w:space="0" w:color="auto"/>
          </w:divBdr>
        </w:div>
        <w:div w:id="1164592972">
          <w:marLeft w:val="0"/>
          <w:marRight w:val="0"/>
          <w:marTop w:val="0"/>
          <w:marBottom w:val="101"/>
          <w:divBdr>
            <w:top w:val="none" w:sz="0" w:space="0" w:color="auto"/>
            <w:left w:val="none" w:sz="0" w:space="0" w:color="auto"/>
            <w:bottom w:val="none" w:sz="0" w:space="0" w:color="auto"/>
            <w:right w:val="none" w:sz="0" w:space="0" w:color="auto"/>
          </w:divBdr>
        </w:div>
        <w:div w:id="1494300961">
          <w:marLeft w:val="0"/>
          <w:marRight w:val="0"/>
          <w:marTop w:val="0"/>
          <w:marBottom w:val="101"/>
          <w:divBdr>
            <w:top w:val="none" w:sz="0" w:space="0" w:color="auto"/>
            <w:left w:val="none" w:sz="0" w:space="0" w:color="auto"/>
            <w:bottom w:val="none" w:sz="0" w:space="0" w:color="auto"/>
            <w:right w:val="none" w:sz="0" w:space="0" w:color="auto"/>
          </w:divBdr>
        </w:div>
        <w:div w:id="1057900350">
          <w:marLeft w:val="0"/>
          <w:marRight w:val="0"/>
          <w:marTop w:val="0"/>
          <w:marBottom w:val="101"/>
          <w:divBdr>
            <w:top w:val="none" w:sz="0" w:space="0" w:color="auto"/>
            <w:left w:val="none" w:sz="0" w:space="0" w:color="auto"/>
            <w:bottom w:val="none" w:sz="0" w:space="0" w:color="auto"/>
            <w:right w:val="none" w:sz="0" w:space="0" w:color="auto"/>
          </w:divBdr>
        </w:div>
        <w:div w:id="965503648">
          <w:marLeft w:val="0"/>
          <w:marRight w:val="0"/>
          <w:marTop w:val="0"/>
          <w:marBottom w:val="101"/>
          <w:divBdr>
            <w:top w:val="none" w:sz="0" w:space="0" w:color="auto"/>
            <w:left w:val="none" w:sz="0" w:space="0" w:color="auto"/>
            <w:bottom w:val="none" w:sz="0" w:space="0" w:color="auto"/>
            <w:right w:val="none" w:sz="0" w:space="0" w:color="auto"/>
          </w:divBdr>
        </w:div>
        <w:div w:id="678234904">
          <w:marLeft w:val="0"/>
          <w:marRight w:val="0"/>
          <w:marTop w:val="0"/>
          <w:marBottom w:val="101"/>
          <w:divBdr>
            <w:top w:val="none" w:sz="0" w:space="0" w:color="auto"/>
            <w:left w:val="none" w:sz="0" w:space="0" w:color="auto"/>
            <w:bottom w:val="none" w:sz="0" w:space="0" w:color="auto"/>
            <w:right w:val="none" w:sz="0" w:space="0" w:color="auto"/>
          </w:divBdr>
        </w:div>
        <w:div w:id="473832004">
          <w:marLeft w:val="0"/>
          <w:marRight w:val="0"/>
          <w:marTop w:val="0"/>
          <w:marBottom w:val="101"/>
          <w:divBdr>
            <w:top w:val="none" w:sz="0" w:space="0" w:color="auto"/>
            <w:left w:val="none" w:sz="0" w:space="0" w:color="auto"/>
            <w:bottom w:val="none" w:sz="0" w:space="0" w:color="auto"/>
            <w:right w:val="none" w:sz="0" w:space="0" w:color="auto"/>
          </w:divBdr>
        </w:div>
        <w:div w:id="901714309">
          <w:marLeft w:val="0"/>
          <w:marRight w:val="0"/>
          <w:marTop w:val="0"/>
          <w:marBottom w:val="101"/>
          <w:divBdr>
            <w:top w:val="none" w:sz="0" w:space="0" w:color="auto"/>
            <w:left w:val="none" w:sz="0" w:space="0" w:color="auto"/>
            <w:bottom w:val="none" w:sz="0" w:space="0" w:color="auto"/>
            <w:right w:val="none" w:sz="0" w:space="0" w:color="auto"/>
          </w:divBdr>
        </w:div>
        <w:div w:id="878707837">
          <w:marLeft w:val="720"/>
          <w:marRight w:val="0"/>
          <w:marTop w:val="0"/>
          <w:marBottom w:val="101"/>
          <w:divBdr>
            <w:top w:val="none" w:sz="0" w:space="0" w:color="auto"/>
            <w:left w:val="none" w:sz="0" w:space="0" w:color="auto"/>
            <w:bottom w:val="none" w:sz="0" w:space="0" w:color="auto"/>
            <w:right w:val="none" w:sz="0" w:space="0" w:color="auto"/>
          </w:divBdr>
        </w:div>
        <w:div w:id="728303019">
          <w:marLeft w:val="720"/>
          <w:marRight w:val="0"/>
          <w:marTop w:val="0"/>
          <w:marBottom w:val="101"/>
          <w:divBdr>
            <w:top w:val="none" w:sz="0" w:space="0" w:color="auto"/>
            <w:left w:val="none" w:sz="0" w:space="0" w:color="auto"/>
            <w:bottom w:val="none" w:sz="0" w:space="0" w:color="auto"/>
            <w:right w:val="none" w:sz="0" w:space="0" w:color="auto"/>
          </w:divBdr>
        </w:div>
        <w:div w:id="2016033667">
          <w:marLeft w:val="1080"/>
          <w:marRight w:val="0"/>
          <w:marTop w:val="0"/>
          <w:marBottom w:val="101"/>
          <w:divBdr>
            <w:top w:val="none" w:sz="0" w:space="0" w:color="auto"/>
            <w:left w:val="none" w:sz="0" w:space="0" w:color="auto"/>
            <w:bottom w:val="none" w:sz="0" w:space="0" w:color="auto"/>
            <w:right w:val="none" w:sz="0" w:space="0" w:color="auto"/>
          </w:divBdr>
        </w:div>
        <w:div w:id="592084922">
          <w:marLeft w:val="1080"/>
          <w:marRight w:val="0"/>
          <w:marTop w:val="0"/>
          <w:marBottom w:val="101"/>
          <w:divBdr>
            <w:top w:val="none" w:sz="0" w:space="0" w:color="auto"/>
            <w:left w:val="none" w:sz="0" w:space="0" w:color="auto"/>
            <w:bottom w:val="none" w:sz="0" w:space="0" w:color="auto"/>
            <w:right w:val="none" w:sz="0" w:space="0" w:color="auto"/>
          </w:divBdr>
        </w:div>
        <w:div w:id="989478923">
          <w:marLeft w:val="720"/>
          <w:marRight w:val="0"/>
          <w:marTop w:val="0"/>
          <w:marBottom w:val="101"/>
          <w:divBdr>
            <w:top w:val="none" w:sz="0" w:space="0" w:color="auto"/>
            <w:left w:val="none" w:sz="0" w:space="0" w:color="auto"/>
            <w:bottom w:val="none" w:sz="0" w:space="0" w:color="auto"/>
            <w:right w:val="none" w:sz="0" w:space="0" w:color="auto"/>
          </w:divBdr>
        </w:div>
        <w:div w:id="172573542">
          <w:marLeft w:val="720"/>
          <w:marRight w:val="0"/>
          <w:marTop w:val="0"/>
          <w:marBottom w:val="101"/>
          <w:divBdr>
            <w:top w:val="none" w:sz="0" w:space="0" w:color="auto"/>
            <w:left w:val="none" w:sz="0" w:space="0" w:color="auto"/>
            <w:bottom w:val="none" w:sz="0" w:space="0" w:color="auto"/>
            <w:right w:val="none" w:sz="0" w:space="0" w:color="auto"/>
          </w:divBdr>
        </w:div>
        <w:div w:id="687173587">
          <w:marLeft w:val="720"/>
          <w:marRight w:val="0"/>
          <w:marTop w:val="0"/>
          <w:marBottom w:val="101"/>
          <w:divBdr>
            <w:top w:val="none" w:sz="0" w:space="0" w:color="auto"/>
            <w:left w:val="none" w:sz="0" w:space="0" w:color="auto"/>
            <w:bottom w:val="none" w:sz="0" w:space="0" w:color="auto"/>
            <w:right w:val="none" w:sz="0" w:space="0" w:color="auto"/>
          </w:divBdr>
        </w:div>
        <w:div w:id="3628308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5286</Words>
  <Characters>29079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2022-09-19T13:38:00Z</dcterms:created>
  <dcterms:modified xsi:type="dcterms:W3CDTF">2022-09-19T13:39:00Z</dcterms:modified>
</cp:coreProperties>
</file>