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suspenden las labores de la Procuraduría Federal del Consumidor en los días que se indican, para el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Procuraduría Federal del Consumidor.- Oficina del C. Procurador.</w:t>
      </w:r>
    </w:p>
    <w:p w:rsidR="00000000" w:rsidDel="00000000" w:rsidP="00000000" w:rsidRDefault="00000000" w:rsidRPr="00000000" w14:paraId="00000005">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SUSPENDEN LAS LABORES DE LA PROCURADURÍA FEDERAL DEL CONSUMIDOR EN LOS DÍAS QUE SE INDICAN, PARA EL 2021.</w:t>
      </w:r>
    </w:p>
    <w:p w:rsidR="00000000" w:rsidDel="00000000" w:rsidP="00000000" w:rsidRDefault="00000000" w:rsidRPr="00000000" w14:paraId="0000000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FRANCISCO RICARDO SHEFFIELD PADILLA,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Procurador Federal del Consumidor, con fundamento en lo dispuesto en los artículos 1 y 27 fracciones I, IX y XI de la Ley Federal de Protección al Consumidor; 1, 2, 4 y 28 de la Ley Federal de Procedimiento Administrativo; 9 fracción III del Reglamento de la Procuraduría Federal del Consumidor, y</w:t>
      </w:r>
    </w:p>
    <w:p w:rsidR="00000000" w:rsidDel="00000000" w:rsidP="00000000" w:rsidRDefault="00000000" w:rsidRPr="00000000" w14:paraId="00000007">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de la Ley Federal de Procedimiento Administrativo establece que las actuaciones y diligencias administrativas se practicarán en días y horas hábiles, determinando los días que no se considerarán hábiles, entre otros, los sábados, los domingos, los días en que tengan vacaciones generales las autoridades competentes o aquellos en que se suspendan las labores.</w:t>
      </w:r>
    </w:p>
    <w:p w:rsidR="00000000" w:rsidDel="00000000" w:rsidP="00000000" w:rsidRDefault="00000000" w:rsidRPr="00000000" w14:paraId="00000009">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Decreto por el que se establece el Calendario Oficial, publicado en el Diario Oficial de la Federación el 6 de octubre de 1993 y modificado el 27 de enero de 2006, determina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1o. de diciembre de cada seis años, con motivo de la transmisión del Poder Ejecutivo Federal, y 25 de diciembre.</w:t>
      </w:r>
    </w:p>
    <w:p w:rsidR="00000000" w:rsidDel="00000000" w:rsidP="00000000" w:rsidRDefault="00000000" w:rsidRPr="00000000" w14:paraId="0000000A">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por el referido ordenamiento, los titulares de las dependencias y organismos descentralizados emitirán un acuerdo que deberá publicarse en el Diario Oficial de la Federación, a través del cual hagan del conocimiento público los días en que se suspenderán las labores. Por lo anterior, he tenido a bien expedir el siguiente:</w:t>
      </w:r>
    </w:p>
    <w:p w:rsidR="00000000" w:rsidDel="00000000" w:rsidP="00000000" w:rsidRDefault="00000000" w:rsidRPr="00000000" w14:paraId="0000000B">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SUSPENDEN LAS LABORES DE LA PROCURADURÍA FEDERAL DEL</w:t>
      </w:r>
    </w:p>
    <w:p w:rsidR="00000000" w:rsidDel="00000000" w:rsidP="00000000" w:rsidRDefault="00000000" w:rsidRPr="00000000" w14:paraId="0000000C">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CONSUMIDOR EN LOS DÍAS QUE SE INDICAN, PARA EL 2021</w:t>
      </w:r>
    </w:p>
    <w:p w:rsidR="00000000" w:rsidDel="00000000" w:rsidP="00000000" w:rsidRDefault="00000000" w:rsidRPr="00000000" w14:paraId="0000000D">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En el 2021, se suspenderán las labores en la Procuraduría Federal del Consumidor, y en consecuencia no correrán plazos y términos en los días que a continuación se señalan:</w:t>
      </w:r>
    </w:p>
    <w:p w:rsidR="00000000" w:rsidDel="00000000" w:rsidP="00000000" w:rsidRDefault="00000000" w:rsidRPr="00000000" w14:paraId="0000000E">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1 de enero;</w:t>
      </w:r>
    </w:p>
    <w:p w:rsidR="00000000" w:rsidDel="00000000" w:rsidP="00000000" w:rsidRDefault="00000000" w:rsidRPr="00000000" w14:paraId="0000000F">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Lunes 1 de febrero, en conmemoración del 5 de febrero;</w:t>
      </w:r>
    </w:p>
    <w:p w:rsidR="00000000" w:rsidDel="00000000" w:rsidP="00000000" w:rsidRDefault="00000000" w:rsidRPr="00000000" w14:paraId="00000010">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Lunes 15 de marzo, en conmemoración del 21 de marzo;</w:t>
      </w:r>
    </w:p>
    <w:p w:rsidR="00000000" w:rsidDel="00000000" w:rsidP="00000000" w:rsidRDefault="00000000" w:rsidRPr="00000000" w14:paraId="00000011">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1 de abril;</w:t>
      </w:r>
    </w:p>
    <w:p w:rsidR="00000000" w:rsidDel="00000000" w:rsidP="00000000" w:rsidRDefault="00000000" w:rsidRPr="00000000" w14:paraId="00000012">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2 de abril;</w:t>
      </w:r>
    </w:p>
    <w:p w:rsidR="00000000" w:rsidDel="00000000" w:rsidP="00000000" w:rsidRDefault="00000000" w:rsidRPr="00000000" w14:paraId="00000013">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1 de mayo;</w:t>
      </w:r>
    </w:p>
    <w:p w:rsidR="00000000" w:rsidDel="00000000" w:rsidP="00000000" w:rsidRDefault="00000000" w:rsidRPr="00000000" w14:paraId="00000014">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5 de mayo;</w:t>
      </w:r>
    </w:p>
    <w:p w:rsidR="00000000" w:rsidDel="00000000" w:rsidP="00000000" w:rsidRDefault="00000000" w:rsidRPr="00000000" w14:paraId="00000015">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16 de septiembre;</w:t>
      </w:r>
    </w:p>
    <w:p w:rsidR="00000000" w:rsidDel="00000000" w:rsidP="00000000" w:rsidRDefault="00000000" w:rsidRPr="00000000" w14:paraId="00000016">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2 de noviembre;</w:t>
      </w:r>
    </w:p>
    <w:p w:rsidR="00000000" w:rsidDel="00000000" w:rsidP="00000000" w:rsidRDefault="00000000" w:rsidRPr="00000000" w14:paraId="00000017">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Lunes 15 de noviembre, en conmemoración del 20 de noviembre, y</w:t>
      </w:r>
    </w:p>
    <w:p w:rsidR="00000000" w:rsidDel="00000000" w:rsidP="00000000" w:rsidRDefault="00000000" w:rsidRPr="00000000" w14:paraId="00000018">
      <w:pPr>
        <w:shd w:fill="ffffff" w:val="clear"/>
        <w:spacing w:after="20" w:before="20" w:lineRule="auto"/>
        <w:ind w:left="100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25 de diciembre.</w:t>
      </w:r>
    </w:p>
    <w:p w:rsidR="00000000" w:rsidDel="00000000" w:rsidP="00000000" w:rsidRDefault="00000000" w:rsidRPr="00000000" w14:paraId="00000019">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sin perjuicio de que, en términos del artículo 28 de la Ley Federal de Procedimiento Administrativo, la autoridad podrá habilitar días inhábiles, para el caso de órdenes, ejecución y conclusión de las visitas de verificación a cargo de las unidades administrativas competentes de la Procuraduría, así como en lo referente a la recepción de las quejas en el procedimiento de conciliación por parte de las unidades correspondientes.</w:t>
      </w:r>
    </w:p>
    <w:p w:rsidR="00000000" w:rsidDel="00000000" w:rsidP="00000000" w:rsidRDefault="00000000" w:rsidRPr="00000000" w14:paraId="0000001A">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El periodo vacacional correspondiente al segundo semestre de 2021, se dará a conocer, mediante Acuerdo que se publicará en el Diario Oficial de la Federación, una vez que la Secretaría de Educación Pública determine el calendario escolar para el ciclo lectivo 2021-2022. Lo anterior, de conformidad con el criterio establecido en el numeral 76 fracción I, del </w:t>
      </w:r>
      <w:r w:rsidDel="00000000" w:rsidR="00000000" w:rsidRPr="00000000">
        <w:rPr>
          <w:rFonts w:ascii="Verdana" w:cs="Verdana" w:eastAsia="Verdana" w:hAnsi="Verdana"/>
          <w:i w:val="1"/>
          <w:color w:val="2f2f2f"/>
          <w:sz w:val="20"/>
          <w:szCs w:val="20"/>
          <w:rtl w:val="0"/>
        </w:rPr>
        <w:t xml:space="preserve">"Acuerdo por el que se emiten las Disposiciones en materia de Planeación, Organización y Administración de los Recursos Humanos, y se expide el Manual Administrativo de Aplicación General en dicha materia"</w:t>
      </w:r>
      <w:r w:rsidDel="00000000" w:rsidR="00000000" w:rsidRPr="00000000">
        <w:rPr>
          <w:rFonts w:ascii="Verdana" w:cs="Verdana" w:eastAsia="Verdana" w:hAnsi="Verdana"/>
          <w:color w:val="2f2f2f"/>
          <w:sz w:val="20"/>
          <w:szCs w:val="20"/>
          <w:rtl w:val="0"/>
        </w:rPr>
        <w:t xml:space="preserve">, publicado en el Diario Oficial de la Federación el 12 de julio de 2010.</w:t>
      </w:r>
    </w:p>
    <w:p w:rsidR="00000000" w:rsidDel="00000000" w:rsidP="00000000" w:rsidRDefault="00000000" w:rsidRPr="00000000" w14:paraId="0000001B">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C">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siguiente de su publicación en el Diario Oficial de la Federación.</w:t>
      </w:r>
    </w:p>
    <w:p w:rsidR="00000000" w:rsidDel="00000000" w:rsidP="00000000" w:rsidRDefault="00000000" w:rsidRPr="00000000" w14:paraId="0000001D">
      <w:pPr>
        <w:shd w:fill="ffffff" w:val="clear"/>
        <w:spacing w:after="20" w:before="2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a 26 de octubre de 2020.- El Procurador Federal del Consumidor, </w:t>
      </w:r>
      <w:r w:rsidDel="00000000" w:rsidR="00000000" w:rsidRPr="00000000">
        <w:rPr>
          <w:rFonts w:ascii="Verdana" w:cs="Verdana" w:eastAsia="Verdana" w:hAnsi="Verdana"/>
          <w:b w:val="1"/>
          <w:color w:val="2f2f2f"/>
          <w:sz w:val="20"/>
          <w:szCs w:val="20"/>
          <w:rtl w:val="0"/>
        </w:rPr>
        <w:t xml:space="preserve">Francisco Ricardo</w:t>
      </w:r>
    </w:p>
    <w:p w:rsidR="00000000" w:rsidDel="00000000" w:rsidP="00000000" w:rsidRDefault="00000000" w:rsidRPr="00000000" w14:paraId="0000001E">
      <w:pPr>
        <w:shd w:fill="ffffff" w:val="clea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