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D9" w:rsidRPr="00841D9A" w:rsidRDefault="00F527D9" w:rsidP="00F527D9">
      <w:pPr>
        <w:jc w:val="center"/>
        <w:rPr>
          <w:rFonts w:ascii="Verdana" w:eastAsia="Verdana" w:hAnsi="Verdana" w:cs="Verdana"/>
          <w:b/>
          <w:color w:val="0000FF"/>
          <w:sz w:val="24"/>
          <w:szCs w:val="24"/>
        </w:rPr>
      </w:pPr>
      <w:r w:rsidRPr="00F527D9">
        <w:rPr>
          <w:rFonts w:ascii="Verdana" w:eastAsia="Verdana" w:hAnsi="Verdana" w:cs="Verdana"/>
          <w:b/>
          <w:color w:val="0000FF"/>
          <w:sz w:val="24"/>
          <w:szCs w:val="24"/>
        </w:rPr>
        <w:t>AVISO mediante el cual se hace del conocimiento público que se publicará en el Diario Oficial de la Federación y en el portal de Internet de la Suprema Corte de Justicia de la Nación, la relación de expedientes judiciales susceptibles de destrucción, a efecto de que los interesados debidamente acreditados, de así constar en autos, puedan solicitar la devolución de los documentos originales que obren en ellos dentro del término señalado en el presente aviso.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marzo de 2023</w:t>
      </w:r>
      <w:r w:rsidRPr="0099730F">
        <w:rPr>
          <w:rFonts w:ascii="Verdana" w:eastAsia="Verdana" w:hAnsi="Verdana" w:cs="Verdana"/>
          <w:b/>
          <w:color w:val="0000FF"/>
          <w:sz w:val="24"/>
          <w:szCs w:val="24"/>
        </w:rPr>
        <w:t>)</w:t>
      </w:r>
      <w:bookmarkEnd w:id="0"/>
    </w:p>
    <w:p w:rsidR="00A42A1E" w:rsidRDefault="00F527D9" w:rsidP="00F527D9">
      <w:pPr>
        <w:jc w:val="both"/>
        <w:rPr>
          <w:rFonts w:ascii="Arial" w:hAnsi="Arial" w:cs="Arial"/>
          <w:b/>
          <w:color w:val="2F2F2F"/>
          <w:sz w:val="18"/>
          <w:szCs w:val="18"/>
          <w:shd w:val="clear" w:color="auto" w:fill="FFFFFF"/>
        </w:rPr>
      </w:pPr>
      <w:r w:rsidRPr="00F527D9">
        <w:rPr>
          <w:rFonts w:ascii="Arial" w:hAnsi="Arial" w:cs="Arial"/>
          <w:b/>
          <w:color w:val="2F2F2F"/>
          <w:sz w:val="18"/>
          <w:szCs w:val="18"/>
          <w:shd w:val="clear" w:color="auto" w:fill="FFFFFF"/>
        </w:rPr>
        <w:t>Al margen un sello con el Escudo Nacional, que dice: Estados Unidos Mexicanos.- Suprema Corte de Justicia de la Nación.</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t>AVISO mediante el cual se hace del conocimiento público que se publicará en el Diario Oficial de la Federación y en el portal de Internet de la Suprema Corte de Justicia de la Nación, la relación de expedientes judiciales susceptibles de destrucción, a efecto de que los interesados debidamente acreditados, de así constar en autos, puedan solicitar la devolución de los documentos originales que obren en ellos dentro del término señalado en el presente aviso.</w:t>
      </w:r>
    </w:p>
    <w:p w:rsidR="00F527D9" w:rsidRPr="00F527D9" w:rsidRDefault="00F527D9" w:rsidP="00F527D9">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F527D9">
        <w:rPr>
          <w:rFonts w:ascii="Times" w:eastAsia="Times New Roman" w:hAnsi="Times" w:cs="Times New Roman"/>
          <w:b/>
          <w:bCs/>
          <w:color w:val="2F2F2F"/>
          <w:sz w:val="18"/>
          <w:szCs w:val="18"/>
          <w:lang w:eastAsia="es-MX"/>
        </w:rPr>
        <w:t>Aviso 1-2023</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t>Con fundamento en el Artículo 27 del ACUERDO GENERAL número 8/2019, de ocho de julio de dos mil diecinueve, del Pleno de la Suprema Corte de Justicia de la Nación, relativo a la organización, conservación, administración y preservación de expedientes judiciales bajo resguardo de este Alto Tribunal, publicado en el Diario Oficial de la Federación el quince de julio de dos mil diecinueve, se hace del conocimiento público que se publicará en ese órgano de difusión, y por treinta días naturales en el portal de Internet de la Suprema Corte de Justicia de la Nación, la relación de expedientes judiciales susceptibles de destrucción de conformidad con dicha normativa. Los interesados debidamente acreditados, de así constar en autos, podrán solicitar la devolución de los documentos originales que obren en aquéllos; en el entendido de que transcurridos treinta días naturales contados a partir de la publicación de los inventarios en el Diario Oficial de la Federación sin que se inicie el trámite descrito en el presente aviso para solicitar su devolución, dichos documentos serán destruidos.</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t>Los expedientes susceptibles de destrucción comprenden un total de </w:t>
      </w:r>
      <w:r w:rsidRPr="00F527D9">
        <w:rPr>
          <w:rFonts w:ascii="Arial" w:eastAsia="Times New Roman" w:hAnsi="Arial" w:cs="Arial"/>
          <w:b/>
          <w:bCs/>
          <w:color w:val="2F2F2F"/>
          <w:sz w:val="18"/>
          <w:szCs w:val="18"/>
          <w:lang w:eastAsia="es-MX"/>
        </w:rPr>
        <w:t>23,887</w:t>
      </w:r>
      <w:r w:rsidRPr="00F527D9">
        <w:rPr>
          <w:rFonts w:ascii="Arial" w:eastAsia="Times New Roman" w:hAnsi="Arial" w:cs="Arial"/>
          <w:color w:val="2F2F2F"/>
          <w:sz w:val="18"/>
          <w:szCs w:val="18"/>
          <w:lang w:eastAsia="es-MX"/>
        </w:rPr>
        <w:t> y corresponden a la </w:t>
      </w:r>
      <w:r w:rsidRPr="00F527D9">
        <w:rPr>
          <w:rFonts w:ascii="Arial" w:eastAsia="Times New Roman" w:hAnsi="Arial" w:cs="Arial"/>
          <w:b/>
          <w:bCs/>
          <w:color w:val="2F2F2F"/>
          <w:sz w:val="18"/>
          <w:szCs w:val="18"/>
          <w:lang w:eastAsia="es-MX"/>
        </w:rPr>
        <w:t>serie Amparo</w:t>
      </w:r>
      <w:r w:rsidRPr="00F527D9">
        <w:rPr>
          <w:rFonts w:ascii="Arial" w:eastAsia="Times New Roman" w:hAnsi="Arial" w:cs="Arial"/>
          <w:color w:val="2F2F2F"/>
          <w:sz w:val="18"/>
          <w:szCs w:val="18"/>
          <w:lang w:eastAsia="es-MX"/>
        </w:rPr>
        <w:t> de los años </w:t>
      </w:r>
      <w:r w:rsidRPr="00F527D9">
        <w:rPr>
          <w:rFonts w:ascii="Arial" w:eastAsia="Times New Roman" w:hAnsi="Arial" w:cs="Arial"/>
          <w:b/>
          <w:bCs/>
          <w:color w:val="2F2F2F"/>
          <w:sz w:val="18"/>
          <w:szCs w:val="18"/>
          <w:lang w:eastAsia="es-MX"/>
        </w:rPr>
        <w:t>1974 a 1979</w:t>
      </w:r>
      <w:r w:rsidRPr="00F527D9">
        <w:rPr>
          <w:rFonts w:ascii="Arial" w:eastAsia="Times New Roman" w:hAnsi="Arial" w:cs="Arial"/>
          <w:color w:val="2F2F2F"/>
          <w:sz w:val="18"/>
          <w:szCs w:val="18"/>
          <w:lang w:eastAsia="es-MX"/>
        </w:rPr>
        <w:t>. La relación completa (inventario) estará publicada durante 30 días naturales en la página web de la Suprema Corte de Justicia de la Nación en la dirección </w:t>
      </w:r>
      <w:r w:rsidRPr="00F527D9">
        <w:rPr>
          <w:rFonts w:ascii="Arial" w:eastAsia="Times New Roman" w:hAnsi="Arial" w:cs="Arial"/>
          <w:b/>
          <w:bCs/>
          <w:color w:val="2F2F2F"/>
          <w:sz w:val="18"/>
          <w:szCs w:val="18"/>
          <w:lang w:eastAsia="es-MX"/>
        </w:rPr>
        <w:t>https</w:t>
      </w:r>
      <w:proofErr w:type="gramStart"/>
      <w:r w:rsidRPr="00F527D9">
        <w:rPr>
          <w:rFonts w:ascii="Arial" w:eastAsia="Times New Roman" w:hAnsi="Arial" w:cs="Arial"/>
          <w:b/>
          <w:bCs/>
          <w:color w:val="2F2F2F"/>
          <w:sz w:val="18"/>
          <w:szCs w:val="18"/>
          <w:lang w:eastAsia="es-MX"/>
        </w:rPr>
        <w:t>:/</w:t>
      </w:r>
      <w:proofErr w:type="gramEnd"/>
      <w:r w:rsidRPr="00F527D9">
        <w:rPr>
          <w:rFonts w:ascii="Arial" w:eastAsia="Times New Roman" w:hAnsi="Arial" w:cs="Arial"/>
          <w:b/>
          <w:bCs/>
          <w:color w:val="2F2F2F"/>
          <w:sz w:val="18"/>
          <w:szCs w:val="18"/>
          <w:lang w:eastAsia="es-MX"/>
        </w:rPr>
        <w:t>/www.scjn.gob.mx/baja-documental-de-expedientes-judiciales</w:t>
      </w:r>
      <w:r w:rsidRPr="00F527D9">
        <w:rPr>
          <w:rFonts w:ascii="Arial" w:eastAsia="Times New Roman" w:hAnsi="Arial" w:cs="Arial"/>
          <w:color w:val="2F2F2F"/>
          <w:sz w:val="18"/>
          <w:szCs w:val="18"/>
          <w:lang w:eastAsia="es-MX"/>
        </w:rPr>
        <w:t>, y el día de la fecha del presente aviso en una liga habilitada para ese propósito en el Diario Oficial de la Federación (</w:t>
      </w:r>
      <w:bookmarkStart w:id="1" w:name="_Hlt130566266"/>
      <w:bookmarkStart w:id="2" w:name="_Hlt130566267"/>
      <w:bookmarkEnd w:id="1"/>
      <w:bookmarkEnd w:id="2"/>
      <w:r w:rsidRPr="00F527D9">
        <w:rPr>
          <w:rFonts w:ascii="Arial" w:eastAsia="Times New Roman" w:hAnsi="Arial" w:cs="Arial"/>
          <w:b/>
          <w:bCs/>
          <w:color w:val="2F2F2F"/>
          <w:sz w:val="18"/>
          <w:szCs w:val="18"/>
          <w:lang w:eastAsia="es-MX"/>
        </w:rPr>
        <w:t>www.dof.gob.mx/2023/SCJN/Inventario_Baja_Documental_1-2023.pdf</w:t>
      </w:r>
      <w:r w:rsidRPr="00F527D9">
        <w:rPr>
          <w:rFonts w:ascii="Arial" w:eastAsia="Times New Roman" w:hAnsi="Arial" w:cs="Arial"/>
          <w:color w:val="2F2F2F"/>
          <w:sz w:val="18"/>
          <w:szCs w:val="18"/>
          <w:lang w:eastAsia="es-MX"/>
        </w:rPr>
        <w:t>).</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t>Los interesados en solicitar la devolución de documentos originales que obren en los expedientes judiciales relacionados en el inventario publicado deberán:</w:t>
      </w:r>
    </w:p>
    <w:p w:rsidR="00F527D9" w:rsidRPr="00F527D9" w:rsidRDefault="00F527D9" w:rsidP="00F527D9">
      <w:pPr>
        <w:shd w:val="clear" w:color="auto" w:fill="FFFFFF"/>
        <w:spacing w:after="40" w:line="240" w:lineRule="auto"/>
        <w:ind w:hanging="432"/>
        <w:jc w:val="both"/>
        <w:rPr>
          <w:rFonts w:ascii="Arial" w:eastAsia="Times New Roman" w:hAnsi="Arial" w:cs="Arial"/>
          <w:color w:val="2F2F2F"/>
          <w:sz w:val="18"/>
          <w:szCs w:val="18"/>
          <w:lang w:eastAsia="es-MX"/>
        </w:rPr>
      </w:pPr>
      <w:r w:rsidRPr="00F527D9">
        <w:rPr>
          <w:rFonts w:ascii="Symbol" w:eastAsia="Times New Roman" w:hAnsi="Symbol" w:cs="Arial"/>
          <w:color w:val="2F2F2F"/>
          <w:sz w:val="20"/>
          <w:szCs w:val="20"/>
          <w:lang w:eastAsia="es-MX"/>
        </w:rPr>
        <w:t></w:t>
      </w:r>
      <w:r w:rsidRPr="00F527D9">
        <w:rPr>
          <w:rFonts w:ascii="Arial" w:eastAsia="Times New Roman" w:hAnsi="Arial" w:cs="Arial"/>
          <w:color w:val="2F2F2F"/>
          <w:sz w:val="20"/>
          <w:szCs w:val="20"/>
          <w:lang w:eastAsia="es-MX"/>
        </w:rPr>
        <w:t>   </w:t>
      </w:r>
      <w:r w:rsidRPr="00F527D9">
        <w:rPr>
          <w:rFonts w:ascii="Arial" w:eastAsia="Times New Roman" w:hAnsi="Arial" w:cs="Arial"/>
          <w:color w:val="2F2F2F"/>
          <w:sz w:val="18"/>
          <w:szCs w:val="18"/>
          <w:lang w:eastAsia="es-MX"/>
        </w:rPr>
        <w:t>Acudir a las instalaciones del Archivo Central del Alto Tribunal, sito en José María Pino Suárez número 2, Centro Histórico de la Ciudad de México, Alcaldía Cuauhtémoc, Ciudad de México, de lunes a viernes, entre las 9:00 y las 14:00 horas, donde se les indicará el órgano jurisdiccional competente de la Suprema Corte de Justicia de la Nación al que deberán dirigir su solicitud, la cual deberá ser registrada y canalizada por la Oficina de Certificación Judicial y Correspondencia a la instancia correspondiente.</w:t>
      </w:r>
    </w:p>
    <w:p w:rsidR="00F527D9" w:rsidRPr="00F527D9" w:rsidRDefault="00F527D9" w:rsidP="00F527D9">
      <w:pPr>
        <w:shd w:val="clear" w:color="auto" w:fill="FFFFFF"/>
        <w:spacing w:after="40" w:line="240" w:lineRule="auto"/>
        <w:ind w:hanging="432"/>
        <w:jc w:val="both"/>
        <w:rPr>
          <w:rFonts w:ascii="Arial" w:eastAsia="Times New Roman" w:hAnsi="Arial" w:cs="Arial"/>
          <w:color w:val="2F2F2F"/>
          <w:sz w:val="18"/>
          <w:szCs w:val="18"/>
          <w:lang w:eastAsia="es-MX"/>
        </w:rPr>
      </w:pPr>
      <w:r w:rsidRPr="00F527D9">
        <w:rPr>
          <w:rFonts w:ascii="Symbol" w:eastAsia="Times New Roman" w:hAnsi="Symbol" w:cs="Arial"/>
          <w:color w:val="2F2F2F"/>
          <w:sz w:val="20"/>
          <w:szCs w:val="20"/>
          <w:lang w:eastAsia="es-MX"/>
        </w:rPr>
        <w:t></w:t>
      </w:r>
      <w:r w:rsidRPr="00F527D9">
        <w:rPr>
          <w:rFonts w:ascii="Arial" w:eastAsia="Times New Roman" w:hAnsi="Arial" w:cs="Arial"/>
          <w:color w:val="2F2F2F"/>
          <w:sz w:val="20"/>
          <w:szCs w:val="20"/>
          <w:lang w:eastAsia="es-MX"/>
        </w:rPr>
        <w:t>   </w:t>
      </w:r>
      <w:r w:rsidRPr="00F527D9">
        <w:rPr>
          <w:rFonts w:ascii="Arial" w:eastAsia="Times New Roman" w:hAnsi="Arial" w:cs="Arial"/>
          <w:color w:val="2F2F2F"/>
          <w:sz w:val="18"/>
          <w:szCs w:val="18"/>
          <w:lang w:eastAsia="es-MX"/>
        </w:rPr>
        <w:t>O bien, enviar un correo electrónico a la dirección </w:t>
      </w:r>
      <w:r w:rsidRPr="00F527D9">
        <w:rPr>
          <w:rFonts w:ascii="Arial" w:eastAsia="Times New Roman" w:hAnsi="Arial" w:cs="Arial"/>
          <w:b/>
          <w:bCs/>
          <w:color w:val="2F2F2F"/>
          <w:sz w:val="18"/>
          <w:szCs w:val="18"/>
          <w:lang w:eastAsia="es-MX"/>
        </w:rPr>
        <w:t>moduloarchivo@mail.scjn.gob.mx</w:t>
      </w:r>
      <w:r w:rsidRPr="00F527D9">
        <w:rPr>
          <w:rFonts w:ascii="Arial" w:eastAsia="Times New Roman" w:hAnsi="Arial" w:cs="Arial"/>
          <w:color w:val="2F2F2F"/>
          <w:sz w:val="18"/>
          <w:szCs w:val="18"/>
          <w:lang w:eastAsia="es-MX"/>
        </w:rPr>
        <w:t>, en el que se indiquen los datos de identificación del expediente que se relacionan en el inventario publicado. El Archivo Central responderá al remitente del correo por la misma vía, en un periodo no mayor a tres días hábiles contados a partir del día siguiente al de la recepción del mismo, con la información sobre el órgano jurisdiccional competente de la Suprema Corte de Justicia de la Nación al que deberá dirigir su solicitud, la cual deberá ser registrada y canalizada por la Oficina de Certificación Judicial y Correspondencia a la instancia correspondiente.</w:t>
      </w:r>
    </w:p>
    <w:p w:rsidR="00F527D9" w:rsidRPr="00F527D9" w:rsidRDefault="00F527D9" w:rsidP="00F527D9">
      <w:pPr>
        <w:shd w:val="clear" w:color="auto" w:fill="FFFFFF"/>
        <w:spacing w:after="40" w:line="240" w:lineRule="auto"/>
        <w:ind w:hanging="432"/>
        <w:jc w:val="both"/>
        <w:rPr>
          <w:rFonts w:ascii="Arial" w:eastAsia="Times New Roman" w:hAnsi="Arial" w:cs="Arial"/>
          <w:color w:val="2F2F2F"/>
          <w:sz w:val="18"/>
          <w:szCs w:val="18"/>
          <w:lang w:eastAsia="es-MX"/>
        </w:rPr>
      </w:pPr>
      <w:r w:rsidRPr="00F527D9">
        <w:rPr>
          <w:rFonts w:ascii="Symbol" w:eastAsia="Times New Roman" w:hAnsi="Symbol" w:cs="Arial"/>
          <w:color w:val="2F2F2F"/>
          <w:sz w:val="20"/>
          <w:szCs w:val="20"/>
          <w:lang w:eastAsia="es-MX"/>
        </w:rPr>
        <w:t></w:t>
      </w:r>
      <w:r w:rsidRPr="00F527D9">
        <w:rPr>
          <w:rFonts w:ascii="Arial" w:eastAsia="Times New Roman" w:hAnsi="Arial" w:cs="Arial"/>
          <w:color w:val="2F2F2F"/>
          <w:sz w:val="20"/>
          <w:szCs w:val="20"/>
          <w:lang w:eastAsia="es-MX"/>
        </w:rPr>
        <w:t>   </w:t>
      </w:r>
      <w:r w:rsidRPr="00F527D9">
        <w:rPr>
          <w:rFonts w:ascii="Arial" w:eastAsia="Times New Roman" w:hAnsi="Arial" w:cs="Arial"/>
          <w:color w:val="2F2F2F"/>
          <w:sz w:val="18"/>
          <w:szCs w:val="18"/>
          <w:lang w:eastAsia="es-MX"/>
        </w:rPr>
        <w:t>Los interesados deberán acudir o enviar correo electrónico al Archivo Central dentro del término de treinta días naturales contados a partir de la publicación del inventario de expedientes en el Diario Oficial de la Federación.</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lastRenderedPageBreak/>
        <w:t>Una vez que el Archivo Central refirió a los interesados a la instancia correspondiente de la Suprema Corte de Justicia de la Nación a la que las partes debidamente acreditadas deberán dirigir su escrito de devolución de documentos originales, se les apercibe de que, de no presentar su promoción ante la Oficina de Certificación Judicial y Correspondencia del Alto Tribunal dentro del término de sesenta días naturales contados a partir de la publicación de los inventarios en el Diario Oficial de la Federación, las constancias que integran el expediente serán destruidas.</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t>Para acreditar su personalidad, los interesados deberán presentar identificación oficial vigente con fotografía.</w:t>
      </w:r>
    </w:p>
    <w:p w:rsidR="00F527D9" w:rsidRPr="00F527D9" w:rsidRDefault="00F527D9" w:rsidP="00F527D9">
      <w:pPr>
        <w:shd w:val="clear" w:color="auto" w:fill="FFFFFF"/>
        <w:spacing w:after="40" w:line="240" w:lineRule="auto"/>
        <w:ind w:firstLine="288"/>
        <w:jc w:val="both"/>
        <w:rPr>
          <w:rFonts w:ascii="Arial" w:eastAsia="Times New Roman" w:hAnsi="Arial" w:cs="Arial"/>
          <w:color w:val="2F2F2F"/>
          <w:sz w:val="18"/>
          <w:szCs w:val="18"/>
          <w:lang w:eastAsia="es-MX"/>
        </w:rPr>
      </w:pPr>
      <w:r w:rsidRPr="00F527D9">
        <w:rPr>
          <w:rFonts w:ascii="Arial" w:eastAsia="Times New Roman" w:hAnsi="Arial" w:cs="Arial"/>
          <w:color w:val="2F2F2F"/>
          <w:sz w:val="18"/>
          <w:szCs w:val="18"/>
          <w:lang w:eastAsia="es-MX"/>
        </w:rPr>
        <w:t>Ciudad de México, a 29 de marzo de 2023.- Directora General del Centro de Documentación y Análisis, Archivos y Compilación de Leyes, Mtra. </w:t>
      </w:r>
      <w:r w:rsidRPr="00F527D9">
        <w:rPr>
          <w:rFonts w:ascii="Arial" w:eastAsia="Times New Roman" w:hAnsi="Arial" w:cs="Arial"/>
          <w:b/>
          <w:bCs/>
          <w:color w:val="2F2F2F"/>
          <w:sz w:val="18"/>
          <w:szCs w:val="18"/>
          <w:lang w:eastAsia="es-MX"/>
        </w:rPr>
        <w:t xml:space="preserve">María Adriana </w:t>
      </w:r>
      <w:proofErr w:type="spellStart"/>
      <w:r w:rsidRPr="00F527D9">
        <w:rPr>
          <w:rFonts w:ascii="Arial" w:eastAsia="Times New Roman" w:hAnsi="Arial" w:cs="Arial"/>
          <w:b/>
          <w:bCs/>
          <w:color w:val="2F2F2F"/>
          <w:sz w:val="18"/>
          <w:szCs w:val="18"/>
          <w:lang w:eastAsia="es-MX"/>
        </w:rPr>
        <w:t>Campollo</w:t>
      </w:r>
      <w:proofErr w:type="spellEnd"/>
      <w:r w:rsidRPr="00F527D9">
        <w:rPr>
          <w:rFonts w:ascii="Arial" w:eastAsia="Times New Roman" w:hAnsi="Arial" w:cs="Arial"/>
          <w:b/>
          <w:bCs/>
          <w:color w:val="2F2F2F"/>
          <w:sz w:val="18"/>
          <w:szCs w:val="18"/>
          <w:lang w:eastAsia="es-MX"/>
        </w:rPr>
        <w:t xml:space="preserve"> </w:t>
      </w:r>
      <w:proofErr w:type="spellStart"/>
      <w:r w:rsidRPr="00F527D9">
        <w:rPr>
          <w:rFonts w:ascii="Arial" w:eastAsia="Times New Roman" w:hAnsi="Arial" w:cs="Arial"/>
          <w:b/>
          <w:bCs/>
          <w:color w:val="2F2F2F"/>
          <w:sz w:val="18"/>
          <w:szCs w:val="18"/>
          <w:lang w:eastAsia="es-MX"/>
        </w:rPr>
        <w:t>Lagunes</w:t>
      </w:r>
      <w:proofErr w:type="spellEnd"/>
      <w:r w:rsidRPr="00F527D9">
        <w:rPr>
          <w:rFonts w:ascii="Arial" w:eastAsia="Times New Roman" w:hAnsi="Arial" w:cs="Arial"/>
          <w:color w:val="2F2F2F"/>
          <w:sz w:val="18"/>
          <w:szCs w:val="18"/>
          <w:lang w:eastAsia="es-MX"/>
        </w:rPr>
        <w:t>.- Rúbrica.</w:t>
      </w:r>
    </w:p>
    <w:p w:rsidR="00F527D9" w:rsidRDefault="00F527D9" w:rsidP="00F527D9">
      <w:pPr>
        <w:jc w:val="both"/>
      </w:pPr>
    </w:p>
    <w:sectPr w:rsidR="00F52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D9"/>
    <w:rsid w:val="00A42A1E"/>
    <w:rsid w:val="00F52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04669561level1">
    <w:name w:val="liststyle_1004669561_level_1"/>
    <w:basedOn w:val="Fuentedeprrafopredeter"/>
    <w:rsid w:val="00F5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04669561level1">
    <w:name w:val="liststyle_1004669561_level_1"/>
    <w:basedOn w:val="Fuentedeprrafopredeter"/>
    <w:rsid w:val="00F5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89563">
      <w:bodyDiv w:val="1"/>
      <w:marLeft w:val="0"/>
      <w:marRight w:val="0"/>
      <w:marTop w:val="0"/>
      <w:marBottom w:val="0"/>
      <w:divBdr>
        <w:top w:val="none" w:sz="0" w:space="0" w:color="auto"/>
        <w:left w:val="none" w:sz="0" w:space="0" w:color="auto"/>
        <w:bottom w:val="none" w:sz="0" w:space="0" w:color="auto"/>
        <w:right w:val="none" w:sz="0" w:space="0" w:color="auto"/>
      </w:divBdr>
      <w:divsChild>
        <w:div w:id="1163618669">
          <w:marLeft w:val="0"/>
          <w:marRight w:val="0"/>
          <w:marTop w:val="0"/>
          <w:marBottom w:val="40"/>
          <w:divBdr>
            <w:top w:val="none" w:sz="0" w:space="0" w:color="auto"/>
            <w:left w:val="none" w:sz="0" w:space="0" w:color="auto"/>
            <w:bottom w:val="none" w:sz="0" w:space="0" w:color="auto"/>
            <w:right w:val="none" w:sz="0" w:space="0" w:color="auto"/>
          </w:divBdr>
        </w:div>
        <w:div w:id="285936726">
          <w:marLeft w:val="0"/>
          <w:marRight w:val="0"/>
          <w:marTop w:val="0"/>
          <w:marBottom w:val="40"/>
          <w:divBdr>
            <w:top w:val="none" w:sz="0" w:space="0" w:color="auto"/>
            <w:left w:val="none" w:sz="0" w:space="0" w:color="auto"/>
            <w:bottom w:val="none" w:sz="0" w:space="0" w:color="auto"/>
            <w:right w:val="none" w:sz="0" w:space="0" w:color="auto"/>
          </w:divBdr>
        </w:div>
        <w:div w:id="1401292950">
          <w:marLeft w:val="0"/>
          <w:marRight w:val="0"/>
          <w:marTop w:val="0"/>
          <w:marBottom w:val="40"/>
          <w:divBdr>
            <w:top w:val="none" w:sz="0" w:space="0" w:color="auto"/>
            <w:left w:val="none" w:sz="0" w:space="0" w:color="auto"/>
            <w:bottom w:val="none" w:sz="0" w:space="0" w:color="auto"/>
            <w:right w:val="none" w:sz="0" w:space="0" w:color="auto"/>
          </w:divBdr>
        </w:div>
        <w:div w:id="2038461666">
          <w:marLeft w:val="0"/>
          <w:marRight w:val="0"/>
          <w:marTop w:val="0"/>
          <w:marBottom w:val="40"/>
          <w:divBdr>
            <w:top w:val="none" w:sz="0" w:space="0" w:color="auto"/>
            <w:left w:val="none" w:sz="0" w:space="0" w:color="auto"/>
            <w:bottom w:val="none" w:sz="0" w:space="0" w:color="auto"/>
            <w:right w:val="none" w:sz="0" w:space="0" w:color="auto"/>
          </w:divBdr>
        </w:div>
        <w:div w:id="938637369">
          <w:marLeft w:val="0"/>
          <w:marRight w:val="0"/>
          <w:marTop w:val="0"/>
          <w:marBottom w:val="40"/>
          <w:divBdr>
            <w:top w:val="none" w:sz="0" w:space="0" w:color="auto"/>
            <w:left w:val="none" w:sz="0" w:space="0" w:color="auto"/>
            <w:bottom w:val="none" w:sz="0" w:space="0" w:color="auto"/>
            <w:right w:val="none" w:sz="0" w:space="0" w:color="auto"/>
          </w:divBdr>
        </w:div>
        <w:div w:id="1293511333">
          <w:marLeft w:val="720"/>
          <w:marRight w:val="0"/>
          <w:marTop w:val="0"/>
          <w:marBottom w:val="40"/>
          <w:divBdr>
            <w:top w:val="none" w:sz="0" w:space="0" w:color="auto"/>
            <w:left w:val="none" w:sz="0" w:space="0" w:color="auto"/>
            <w:bottom w:val="none" w:sz="0" w:space="0" w:color="auto"/>
            <w:right w:val="none" w:sz="0" w:space="0" w:color="auto"/>
          </w:divBdr>
        </w:div>
        <w:div w:id="1746756835">
          <w:marLeft w:val="720"/>
          <w:marRight w:val="0"/>
          <w:marTop w:val="0"/>
          <w:marBottom w:val="40"/>
          <w:divBdr>
            <w:top w:val="none" w:sz="0" w:space="0" w:color="auto"/>
            <w:left w:val="none" w:sz="0" w:space="0" w:color="auto"/>
            <w:bottom w:val="none" w:sz="0" w:space="0" w:color="auto"/>
            <w:right w:val="none" w:sz="0" w:space="0" w:color="auto"/>
          </w:divBdr>
        </w:div>
        <w:div w:id="10767931">
          <w:marLeft w:val="720"/>
          <w:marRight w:val="0"/>
          <w:marTop w:val="0"/>
          <w:marBottom w:val="40"/>
          <w:divBdr>
            <w:top w:val="none" w:sz="0" w:space="0" w:color="auto"/>
            <w:left w:val="none" w:sz="0" w:space="0" w:color="auto"/>
            <w:bottom w:val="none" w:sz="0" w:space="0" w:color="auto"/>
            <w:right w:val="none" w:sz="0" w:space="0" w:color="auto"/>
          </w:divBdr>
        </w:div>
        <w:div w:id="1358777278">
          <w:marLeft w:val="0"/>
          <w:marRight w:val="0"/>
          <w:marTop w:val="0"/>
          <w:marBottom w:val="40"/>
          <w:divBdr>
            <w:top w:val="none" w:sz="0" w:space="0" w:color="auto"/>
            <w:left w:val="none" w:sz="0" w:space="0" w:color="auto"/>
            <w:bottom w:val="none" w:sz="0" w:space="0" w:color="auto"/>
            <w:right w:val="none" w:sz="0" w:space="0" w:color="auto"/>
          </w:divBdr>
        </w:div>
        <w:div w:id="1281910502">
          <w:marLeft w:val="0"/>
          <w:marRight w:val="0"/>
          <w:marTop w:val="0"/>
          <w:marBottom w:val="40"/>
          <w:divBdr>
            <w:top w:val="none" w:sz="0" w:space="0" w:color="auto"/>
            <w:left w:val="none" w:sz="0" w:space="0" w:color="auto"/>
            <w:bottom w:val="none" w:sz="0" w:space="0" w:color="auto"/>
            <w:right w:val="none" w:sz="0" w:space="0" w:color="auto"/>
          </w:divBdr>
        </w:div>
        <w:div w:id="523908309">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2023-03-29T14:28:00Z</dcterms:created>
  <dcterms:modified xsi:type="dcterms:W3CDTF">2023-03-29T14:30:00Z</dcterms:modified>
</cp:coreProperties>
</file>