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Campeche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ESTADO LIBRE Y SOBERANO DE CAMPECHE, EN ADELANTE "EL ESTADO", REPRESENTADO EN ESTE ACTO POR EL LIC. CARLOS MIGUEL AYSA GONZÁLEZ, GOBERNADOR DEL ESTADO, ASISTIDO POR LA DRA. LAURA LUNA GARCÍA, SECRETARIA DE TRABAJO Y PREVISIÓN SOCIAL; LA C.P. GUADALUPE ESTHER CÁRDENAS GUERRERO, SECRETARIA DE FINANZAS; EL ING. GUSTAVO MANUEL ORTIZ GONZÁLEZ, SECRETARIO DE ADMINISTRACIÓN E INNOVACIÓN GUBERNAMENTAL Y LA MAP. LIDIA CARRILLO DÍAZ, SECRETARIA DE LA CONTRALORÍA TODOS DE LA ADMINISTRACIÓN PÚBLICA DEL ESTADO DE CAMPECHE; A QUIENES SE LES DENOMINARÁ CONJUNTAMENTE COMO "LAS PARTES", DE CONFORMIDAD CON LOS ANTECEDENTES, DECLARACIONES Y CLÁUSULAS SIGUIENTES: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PAE,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w:t>
      </w:r>
      <w:r w:rsidDel="00000000" w:rsidR="00000000" w:rsidRPr="00000000">
        <w:rPr>
          <w:i w:val="1"/>
          <w:color w:val="2f2f2f"/>
          <w:sz w:val="18"/>
          <w:szCs w:val="18"/>
          <w:rtl w:val="0"/>
        </w:rPr>
        <w:t xml:space="preserve">Convenios de Coordinación</w:t>
      </w:r>
      <w:r w:rsidDel="00000000" w:rsidR="00000000" w:rsidRPr="00000000">
        <w:rPr>
          <w:color w:val="2f2f2f"/>
          <w:sz w:val="18"/>
          <w:szCs w:val="18"/>
          <w:rtl w:val="0"/>
        </w:rPr>
        <w:t xml:space="preserve">, en los cuales se establecen los compromisos que asumen "LAS PARTES" para su operación.</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párrafo diecisiete,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2">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empleadores con base a su formación y aptitudes.</w:t>
      </w:r>
    </w:p>
    <w:p w:rsidR="00000000" w:rsidDel="00000000" w:rsidP="00000000" w:rsidRDefault="00000000" w:rsidRPr="00000000" w14:paraId="0000001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B">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ESTADO" declara que:</w:t>
      </w:r>
    </w:p>
    <w:p w:rsidR="00000000" w:rsidDel="00000000" w:rsidP="00000000" w:rsidRDefault="00000000" w:rsidRPr="00000000" w14:paraId="0000001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una entidad libre y soberana en todo lo concerniente a su régimen interior, que forma parte integrante de la Federación denominada Estados Unidos Mexicanos, y que tiene la calidad de persona moral oficial facultada para ejercer todos los derechos necesarios para realizar el objeto por el que se instituyó, de conformidad con lo establecido en los artículos 40, 42 fracción I y 43, de la Constitución Política de los Estados Unidos Mexicanos; 1º y 23 de la Constitución Política del Estado de Campeche; 25, fracción I, y 26 del Código Civil Federal; 29, fracción I y 30 del Código Civil del Estado de Campeche.</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Carlos Miguel Aysa González, en su carácter de Gobernador Constitucional del Estado, cuenta con las facultades para celebrar el presente Convenio, en términos de los artículos 59, 71 fracción XV, inciso a), de la Constitución Política del Estado de Campeche; 3 y 4 de la Ley Orgánica de la Administración Pública del Estado de Campeche.</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Dra. Laura Luna García, en su carácter de Secretaria de Trabajo y Previsión Social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XVII y 37, fracciones IV y V, de la Ley Orgánica de la Administración Pública del Estado de Campeche.</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C.P. Guadalupe Esther Cárdenas Guerrero en su carácter de Secretaria de Finanzas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II y 22 de la Ley Orgánica de la Administración Pública del Estado de Campeche.</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Ing. Gustavo Manuel Ortiz González, en su carácter de Secretario de Administración e Innovación Gubernamental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III, y 23, fracciones I, X, y XI, de la Ley Orgánica de la Administración Pública del Estado de Campeche.</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MAP. Lidia Carrillo Díaz, en su carácter de Secretaria de la Contraloría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IV y 24, fracciones, I, II, VIII, XI y XIII, de la Ley Orgánica de la Administración Pública del Estado de Campeche.</w:t>
      </w:r>
    </w:p>
    <w:p w:rsidR="00000000" w:rsidDel="00000000" w:rsidP="00000000" w:rsidRDefault="00000000" w:rsidRPr="00000000" w14:paraId="0000002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establecido en el artículo 37 fracciones IV, V, IX y XVI, de la Ley Orgánica de la Administración Pública del Estado de Campeche, la Secretaría de Trabajo y Previsión Social de la Administración Pública Estatal, tiene a su cargo formular y ejecutar el Programa Estatal de Empleo; así como organizar y operar el Servicio Nacional de Empleo en el Estado, actividades que desarrolla por conducto de la Dirección del Servicio Nacional de Empleo de Campeche.</w:t>
      </w:r>
    </w:p>
    <w:p w:rsidR="00000000" w:rsidDel="00000000" w:rsidP="00000000" w:rsidRDefault="00000000" w:rsidRPr="00000000" w14:paraId="0000002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 Estatal de Desarrollo 2019-2021, establece en su Eje 2 denominado "Crecimiento Económico Inclusivo", cuyo objetivo específico 2.1 "Desarrollo económico" establece la búsqueda del crecimiento económico sostenible de Campeche, basado los objetivos de reactivación económica, recuperación del crecimiento y generación de empleo, que lleven a establecer una política económica donde el desarrollo productivo y comercial de cada uno de los sectores del estado permita fortalecer el mercado interno; y en sus líneas de acción 2.1.1.7 Contribuir al fortalecimiento y desarrollo de la actividad artesanal, fomentando el auto-empleo y el mejoramiento de la condición productiva del sector; 2.1.3.1. Incentivar la innovación de las y los emprendedores del estado; y 2.1.4.1 Incentivar la reactivación económica de sectores estratégicos que permitan incentivar las actividades económicas del estado, impulsando la inversión pública y la generación de empleo de calidad.</w:t>
      </w:r>
    </w:p>
    <w:p w:rsidR="00000000" w:rsidDel="00000000" w:rsidP="00000000" w:rsidRDefault="00000000" w:rsidRPr="00000000" w14:paraId="0000002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Tiene como Registro Federal de Contribuyentes: GEC-950401659.</w:t>
      </w:r>
    </w:p>
    <w:p w:rsidR="00000000" w:rsidDel="00000000" w:rsidP="00000000" w:rsidRDefault="00000000" w:rsidRPr="00000000" w14:paraId="0000002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Convenio de Coordinación, señala como su domicilio legal el ubicado en la calle 8 número 149, entre 61 y 63, colonia Centro, C. P. 24000, en la ciudad de San Francisco de Campeche, Campeche.</w:t>
      </w:r>
    </w:p>
    <w:p w:rsidR="00000000" w:rsidDel="00000000" w:rsidP="00000000" w:rsidRDefault="00000000" w:rsidRPr="00000000" w14:paraId="00000027">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8">
      <w:pPr>
        <w:shd w:fill="ffffff" w:val="clear"/>
        <w:spacing w:after="100" w:lineRule="auto"/>
        <w:ind w:left="1300" w:hanging="50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Campeche.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OBLIGACIONES DE "LAS PARTES".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PAE.</w:t>
      </w:r>
    </w:p>
    <w:p w:rsidR="00000000" w:rsidDel="00000000" w:rsidP="00000000" w:rsidRDefault="00000000" w:rsidRPr="00000000" w14:paraId="0000003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w:t>
      </w:r>
    </w:p>
    <w:p w:rsidR="00000000" w:rsidDel="00000000" w:rsidP="00000000" w:rsidRDefault="00000000" w:rsidRPr="00000000" w14:paraId="00000032">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los que tenga la obligación de participar.</w:t>
      </w:r>
    </w:p>
    <w:p w:rsidR="00000000" w:rsidDel="00000000" w:rsidP="00000000" w:rsidRDefault="00000000" w:rsidRPr="00000000" w14:paraId="0000003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PAE.</w:t>
      </w:r>
    </w:p>
    <w:p w:rsidR="00000000" w:rsidDel="00000000" w:rsidP="00000000" w:rsidRDefault="00000000" w:rsidRPr="00000000" w14:paraId="0000003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PAE con la finalidad de acercar alternativas de empleo para los buscadores de trabajo y empleadores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PAE, se organicen.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PAE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PAE.</w:t>
      </w:r>
    </w:p>
    <w:p w:rsidR="00000000" w:rsidDel="00000000" w:rsidP="00000000" w:rsidRDefault="00000000" w:rsidRPr="00000000" w14:paraId="0000003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PAE, conforme a la Normatividad federal aplicable, con el propósito de llevar a cabo su aplicación.</w:t>
      </w:r>
    </w:p>
    <w:p w:rsidR="00000000" w:rsidDel="00000000" w:rsidP="00000000" w:rsidRDefault="00000000" w:rsidRPr="00000000" w14:paraId="0000003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PAE.</w:t>
      </w:r>
    </w:p>
    <w:p w:rsidR="00000000" w:rsidDel="00000000" w:rsidP="00000000" w:rsidRDefault="00000000" w:rsidRPr="00000000" w14:paraId="0000003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PAE, para mejorar sus conocimientos, habilidades y destrezas laborales.</w:t>
      </w:r>
    </w:p>
    <w:p w:rsidR="00000000" w:rsidDel="00000000" w:rsidP="00000000" w:rsidRDefault="00000000" w:rsidRPr="00000000" w14:paraId="0000004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PAE, para verificar su estricto apego a la Normatividad aplicable y el cumplimiento de sus objetivos y metas.</w:t>
      </w:r>
    </w:p>
    <w:p w:rsidR="00000000" w:rsidDel="00000000" w:rsidP="00000000" w:rsidRDefault="00000000" w:rsidRPr="00000000" w14:paraId="0000004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PAE.</w:t>
      </w:r>
    </w:p>
    <w:p w:rsidR="00000000" w:rsidDel="00000000" w:rsidP="00000000" w:rsidRDefault="00000000" w:rsidRPr="00000000" w14:paraId="0000004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PAE.</w:t>
      </w:r>
    </w:p>
    <w:p w:rsidR="00000000" w:rsidDel="00000000" w:rsidP="00000000" w:rsidRDefault="00000000" w:rsidRPr="00000000" w14:paraId="0000004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PAE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 OBLIGACIONES DE "EL ESTADO".</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ESTADO" se obliga a:</w:t>
      </w:r>
    </w:p>
    <w:p w:rsidR="00000000" w:rsidDel="00000000" w:rsidP="00000000" w:rsidRDefault="00000000" w:rsidRPr="00000000" w14:paraId="0000004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w:t>
      </w:r>
      <w:r w:rsidDel="00000000" w:rsidR="00000000" w:rsidRPr="00000000">
        <w:rPr>
          <w:i w:val="1"/>
          <w:color w:val="2f2f2f"/>
          <w:sz w:val="18"/>
          <w:szCs w:val="18"/>
          <w:rtl w:val="0"/>
        </w:rPr>
        <w:t xml:space="preserve">Entidad</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federativa</w:t>
      </w:r>
      <w:r w:rsidDel="00000000" w:rsidR="00000000" w:rsidRPr="00000000">
        <w:rPr>
          <w:color w:val="2f2f2f"/>
          <w:sz w:val="18"/>
          <w:szCs w:val="18"/>
          <w:rtl w:val="0"/>
        </w:rPr>
        <w:t xml:space="preserve"> el PAE, para ello deberá:</w:t>
      </w:r>
    </w:p>
    <w:p w:rsidR="00000000" w:rsidDel="00000000" w:rsidP="00000000" w:rsidRDefault="00000000" w:rsidRPr="00000000" w14:paraId="0000004A">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C">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Adoptar la denominación oficial de "Servicio Nacional de Empleo de Campeche"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D">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buscadores de trabajo,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PAE.</w:t>
      </w:r>
    </w:p>
    <w:p w:rsidR="00000000" w:rsidDel="00000000" w:rsidP="00000000" w:rsidRDefault="00000000" w:rsidRPr="00000000" w14:paraId="0000004E">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F">
      <w:pPr>
        <w:shd w:fill="ffffff" w:val="clear"/>
        <w:spacing w:after="80" w:lineRule="auto"/>
        <w:ind w:left="1300" w:hanging="50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50">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Designar de manera oficial, a través del Titular de la Secretaría de Trabajo y Previsión Social,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w:t>
      </w:r>
      <w:r w:rsidDel="00000000" w:rsidR="00000000" w:rsidRPr="00000000">
        <w:rPr>
          <w:i w:val="1"/>
          <w:color w:val="2f2f2f"/>
          <w:sz w:val="18"/>
          <w:szCs w:val="18"/>
          <w:rtl w:val="0"/>
        </w:rPr>
        <w:t xml:space="preserve">del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Entidad</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federativa</w:t>
      </w:r>
      <w:r w:rsidDel="00000000" w:rsidR="00000000" w:rsidRPr="00000000">
        <w:rPr>
          <w:color w:val="2f2f2f"/>
          <w:sz w:val="18"/>
          <w:szCs w:val="18"/>
          <w:rtl w:val="0"/>
        </w:rPr>
        <w:t xml:space="preserve">, de acuerdo a lo establecido en la Normatividad.</w:t>
      </w:r>
    </w:p>
    <w:p w:rsidR="00000000" w:rsidDel="00000000" w:rsidP="00000000" w:rsidRDefault="00000000" w:rsidRPr="00000000" w14:paraId="00000051">
      <w:pPr>
        <w:shd w:fill="ffffff" w:val="clear"/>
        <w:spacing w:after="80" w:lineRule="auto"/>
        <w:ind w:left="1300" w:hanging="50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52">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buscadores de trabajo y realizar acciones de concertación empresarial con los Empleadores, que permitan identificar, perfilar y promover sus puestos vacantes para cubrirlos; incluidas las de carácter técnico, operativo y administrativo que complementen lo anterior. Las contrataciones de Consejeros Laborales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ESTADO" y las obligaciones que se deriven de esta relación serán responsabilidad de éste;</w:t>
      </w:r>
    </w:p>
    <w:p w:rsidR="00000000" w:rsidDel="00000000" w:rsidP="00000000" w:rsidRDefault="00000000" w:rsidRPr="00000000" w14:paraId="00000053">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4">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5">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entidad federativa</w:t>
      </w:r>
      <w:r w:rsidDel="00000000" w:rsidR="00000000" w:rsidRPr="00000000">
        <w:rPr>
          <w:color w:val="2f2f2f"/>
          <w:sz w:val="18"/>
          <w:szCs w:val="18"/>
          <w:rtl w:val="0"/>
        </w:rPr>
        <w:t xml:space="preserve">,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6">
      <w:pPr>
        <w:shd w:fill="ffffff" w:val="clear"/>
        <w:spacing w:after="8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Supervisar y dar seguimiento a la operación </w:t>
      </w:r>
      <w:r w:rsidDel="00000000" w:rsidR="00000000" w:rsidRPr="00000000">
        <w:rPr>
          <w:i w:val="1"/>
          <w:color w:val="2f2f2f"/>
          <w:sz w:val="18"/>
          <w:szCs w:val="18"/>
          <w:rtl w:val="0"/>
        </w:rPr>
        <w:t xml:space="preserve">del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entidad federativa,</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Asignar recursos destinados para la realización de Ferias de Empleo, así como acciones para favorecer la empleabilidad y/u ocupación productiva de los buscadores de trabajo en la entidad federativa.</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w:t>
      </w:r>
    </w:p>
    <w:p w:rsidR="00000000" w:rsidDel="00000000" w:rsidP="00000000" w:rsidRDefault="00000000" w:rsidRPr="00000000" w14:paraId="0000005A">
      <w:pPr>
        <w:shd w:fill="ffffff" w:val="clear"/>
        <w:spacing w:after="80" w:lineRule="auto"/>
        <w:jc w:val="both"/>
        <w:rPr>
          <w:color w:val="2f2f2f"/>
          <w:sz w:val="18"/>
          <w:szCs w:val="18"/>
        </w:rPr>
      </w:pPr>
      <w:r w:rsidDel="00000000" w:rsidR="00000000" w:rsidRPr="00000000">
        <w:rPr>
          <w:color w:val="2f2f2f"/>
          <w:sz w:val="18"/>
          <w:szCs w:val="18"/>
          <w:rtl w:val="0"/>
        </w:rPr>
        <w:t xml:space="preserve">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w:t>
      </w:r>
      <w:r w:rsidDel="00000000" w:rsidR="00000000" w:rsidRPr="00000000">
        <w:rPr>
          <w:i w:val="1"/>
          <w:color w:val="2f2f2f"/>
          <w:sz w:val="18"/>
          <w:szCs w:val="18"/>
          <w:rtl w:val="0"/>
        </w:rPr>
        <w:t xml:space="preserve">del PAE </w:t>
      </w:r>
      <w:r w:rsidDel="00000000" w:rsidR="00000000" w:rsidRPr="00000000">
        <w:rPr>
          <w:color w:val="2f2f2f"/>
          <w:sz w:val="18"/>
          <w:szCs w:val="18"/>
          <w:rtl w:val="0"/>
        </w:rPr>
        <w:t xml:space="preserve">.</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este caso, "EL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E">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PAE de conformidad con la Normatividad aplicable</w:t>
      </w:r>
    </w:p>
    <w:p w:rsidR="00000000" w:rsidDel="00000000" w:rsidP="00000000" w:rsidRDefault="00000000" w:rsidRPr="00000000" w14:paraId="0000005F">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PAE, con estricto apego a la Normatividad.</w:t>
      </w:r>
    </w:p>
    <w:p w:rsidR="00000000" w:rsidDel="00000000" w:rsidP="00000000" w:rsidRDefault="00000000" w:rsidRPr="00000000" w14:paraId="00000060">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PAE, conforme a la Normatividad, así como atender las acciones de fiscalización que lleven a cabo las instancias facultadas para ello.</w:t>
      </w:r>
    </w:p>
    <w:p w:rsidR="00000000" w:rsidDel="00000000" w:rsidP="00000000" w:rsidRDefault="00000000" w:rsidRPr="00000000" w14:paraId="00000061">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w:t>
      </w:r>
      <w:r w:rsidDel="00000000" w:rsidR="00000000" w:rsidRPr="00000000">
        <w:rPr>
          <w:i w:val="1"/>
          <w:color w:val="2f2f2f"/>
          <w:sz w:val="18"/>
          <w:szCs w:val="18"/>
          <w:rtl w:val="0"/>
        </w:rPr>
        <w:t xml:space="preserve">Sistema</w:t>
      </w:r>
      <w:r w:rsidDel="00000000" w:rsidR="00000000" w:rsidRPr="00000000">
        <w:rPr>
          <w:color w:val="2f2f2f"/>
          <w:sz w:val="18"/>
          <w:szCs w:val="18"/>
          <w:rtl w:val="0"/>
        </w:rPr>
        <w:t xml:space="preserve">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2">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3">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4">
      <w:pPr>
        <w:shd w:fill="ffffff" w:val="clear"/>
        <w:spacing w:after="80" w:lineRule="auto"/>
        <w:ind w:left="1300" w:hanging="50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w:t>
      </w:r>
      <w:r w:rsidDel="00000000" w:rsidR="00000000" w:rsidRPr="00000000">
        <w:rPr>
          <w:i w:val="1"/>
          <w:color w:val="2f2f2f"/>
          <w:sz w:val="18"/>
          <w:szCs w:val="18"/>
          <w:rtl w:val="0"/>
        </w:rPr>
        <w:t xml:space="preserve">del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5">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6">
      <w:pPr>
        <w:shd w:fill="ffffff" w:val="clear"/>
        <w:spacing w:after="80" w:lineRule="auto"/>
        <w:ind w:left="1300" w:hanging="50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7">
      <w:pPr>
        <w:shd w:fill="ffffff" w:val="clear"/>
        <w:spacing w:after="80" w:lineRule="auto"/>
        <w:ind w:left="1300" w:hanging="50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8">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w:t>
      </w:r>
      <w:r w:rsidDel="00000000" w:rsidR="00000000" w:rsidRPr="00000000">
        <w:rPr>
          <w:i w:val="1"/>
          <w:color w:val="2f2f2f"/>
          <w:sz w:val="18"/>
          <w:szCs w:val="18"/>
          <w:rtl w:val="0"/>
        </w:rPr>
        <w:t xml:space="preserve">Entidad federativa,</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9">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A">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B">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E">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datos personales.</w:t>
      </w:r>
    </w:p>
    <w:p w:rsidR="00000000" w:rsidDel="00000000" w:rsidP="00000000" w:rsidRDefault="00000000" w:rsidRPr="00000000" w14:paraId="0000006F">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w:t>
      </w:r>
      <w:r w:rsidDel="00000000" w:rsidR="00000000" w:rsidRPr="00000000">
        <w:rPr>
          <w:i w:val="1"/>
          <w:color w:val="2f2f2f"/>
          <w:sz w:val="18"/>
          <w:szCs w:val="18"/>
          <w:rtl w:val="0"/>
        </w:rPr>
        <w:t xml:space="preserve">del PAE </w:t>
      </w:r>
      <w:r w:rsidDel="00000000" w:rsidR="00000000" w:rsidRPr="00000000">
        <w:rPr>
          <w:color w:val="2f2f2f"/>
          <w:sz w:val="18"/>
          <w:szCs w:val="18"/>
          <w:rtl w:val="0"/>
        </w:rPr>
        <w:t xml:space="preserve">en la entidad federativa, la "SECRETARÍA" destina la cantidad de $4,651,150.00 (CUATRO MILLONES SEISCIENTOS CINCUENTA Y</w:t>
      </w:r>
    </w:p>
    <w:p w:rsidR="00000000" w:rsidDel="00000000" w:rsidP="00000000" w:rsidRDefault="00000000" w:rsidRPr="00000000" w14:paraId="00000071">
      <w:pPr>
        <w:shd w:fill="ffffff" w:val="clear"/>
        <w:spacing w:after="80" w:lineRule="auto"/>
        <w:jc w:val="both"/>
        <w:rPr>
          <w:color w:val="2f2f2f"/>
          <w:sz w:val="18"/>
          <w:szCs w:val="18"/>
        </w:rPr>
      </w:pPr>
      <w:r w:rsidDel="00000000" w:rsidR="00000000" w:rsidRPr="00000000">
        <w:rPr>
          <w:color w:val="2f2f2f"/>
          <w:sz w:val="18"/>
          <w:szCs w:val="18"/>
          <w:rtl w:val="0"/>
        </w:rPr>
        <w:t xml:space="preserve">UN MIL CIENTO CINCUENTA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rubro "subsidios de apoyo", concepto "consejeros laborales".</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5">
      <w:pPr>
        <w:shd w:fill="ffffff" w:val="clear"/>
        <w:spacing w:after="8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"Lineamientos para Administrar el Presupuesto de los Programas del Servicio Nacional de Empleo".</w:t>
      </w:r>
    </w:p>
    <w:p w:rsidR="00000000" w:rsidDel="00000000" w:rsidP="00000000" w:rsidRDefault="00000000" w:rsidRPr="00000000" w14:paraId="00000077">
      <w:pPr>
        <w:shd w:fill="ffffff" w:val="clear"/>
        <w:spacing w:after="80" w:lineRule="auto"/>
        <w:ind w:left="1300" w:hanging="500"/>
        <w:jc w:val="both"/>
        <w:rPr>
          <w:b w:val="1"/>
          <w:color w:val="2f2f2f"/>
          <w:sz w:val="18"/>
          <w:szCs w:val="18"/>
        </w:rPr>
      </w:pPr>
      <w:r w:rsidDel="00000000" w:rsidR="00000000" w:rsidRPr="00000000">
        <w:rPr>
          <w:b w:val="1"/>
          <w:color w:val="2f2f2f"/>
          <w:sz w:val="18"/>
          <w:szCs w:val="18"/>
          <w:rtl w:val="0"/>
        </w:rPr>
        <w:t xml:space="preserve">A) CALENDARIZACIÓN DE RECURSOS</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9">
      <w:pPr>
        <w:shd w:fill="ffffff" w:val="clear"/>
        <w:spacing w:after="80" w:lineRule="auto"/>
        <w:ind w:left="1300" w:hanging="500"/>
        <w:jc w:val="both"/>
        <w:rPr>
          <w:b w:val="1"/>
          <w:color w:val="2f2f2f"/>
          <w:sz w:val="18"/>
          <w:szCs w:val="18"/>
        </w:rPr>
      </w:pPr>
      <w:r w:rsidDel="00000000" w:rsidR="00000000" w:rsidRPr="00000000">
        <w:rPr>
          <w:b w:val="1"/>
          <w:color w:val="2f2f2f"/>
          <w:sz w:val="18"/>
          <w:szCs w:val="18"/>
          <w:rtl w:val="0"/>
        </w:rPr>
        <w:t xml:space="preserve">B) AJUSTES DURANTE EL EJERCICIO PRESUPUESTARIO</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 "EL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 "EL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 APORTACIONES DE "EL ESTADO". Para garantizar la ejecución de las Estrategias del SNE y el incremento de su cobertura, "EL ESTADO" se compromete a aportar los recursos que a continuación se indican:</w:t>
      </w:r>
    </w:p>
    <w:p w:rsidR="00000000" w:rsidDel="00000000" w:rsidP="00000000" w:rsidRDefault="00000000" w:rsidRPr="00000000" w14:paraId="0000007D">
      <w:pPr>
        <w:shd w:fill="ffffff" w:val="clear"/>
        <w:spacing w:after="80" w:lineRule="auto"/>
        <w:ind w:left="1300" w:hanging="500"/>
        <w:jc w:val="both"/>
        <w:rPr>
          <w:i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$2'125,947.00 (DOS MILLONES CIENTO VEINTICINCO MIL NOVECIENTOS CUARENTA Y SIETE PESOS 00/100 M.N.), para el funcionamiento y administración de la OSNE, monto que deberá aplicarse para dar cumplimiento a lo establecido en la cláusula CUARTA, del presente instrumento, y</w:t>
      </w:r>
      <w:r w:rsidDel="00000000" w:rsidR="00000000" w:rsidRPr="00000000">
        <w:rPr>
          <w:i w:val="1"/>
          <w:color w:val="2f2f2f"/>
          <w:sz w:val="18"/>
          <w:szCs w:val="18"/>
          <w:rtl w:val="0"/>
        </w:rPr>
        <w:t xml:space="preserve">;</w:t>
      </w:r>
    </w:p>
    <w:p w:rsidR="00000000" w:rsidDel="00000000" w:rsidP="00000000" w:rsidRDefault="00000000" w:rsidRPr="00000000" w14:paraId="0000007E">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$2'800,000.00 (DOS MILLONES OCHOCIENTOS MIL PESOS 00/100 M.N.), para su aplicación en acciones de:</w:t>
      </w:r>
    </w:p>
    <w:p w:rsidR="00000000" w:rsidDel="00000000" w:rsidP="00000000" w:rsidRDefault="00000000" w:rsidRPr="00000000" w14:paraId="0000007F">
      <w:pPr>
        <w:shd w:fill="ffffff" w:val="clear"/>
        <w:spacing w:after="8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ESTADO" en favor de la población buscadora de empleo y</w:t>
      </w:r>
    </w:p>
    <w:p w:rsidR="00000000" w:rsidDel="00000000" w:rsidP="00000000" w:rsidRDefault="00000000" w:rsidRPr="00000000" w14:paraId="00000080">
      <w:pPr>
        <w:shd w:fill="ffffff" w:val="clear"/>
        <w:spacing w:after="8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PAE en su atención a los </w:t>
      </w:r>
      <w:r w:rsidDel="00000000" w:rsidR="00000000" w:rsidRPr="00000000">
        <w:rPr>
          <w:i w:val="1"/>
          <w:color w:val="2f2f2f"/>
          <w:sz w:val="18"/>
          <w:szCs w:val="18"/>
          <w:rtl w:val="0"/>
        </w:rPr>
        <w:t xml:space="preserve">buscadores de trabajo y empleadores</w:t>
      </w:r>
      <w:r w:rsidDel="00000000" w:rsidR="00000000" w:rsidRPr="00000000">
        <w:rPr>
          <w:color w:val="2f2f2f"/>
          <w:sz w:val="18"/>
          <w:szCs w:val="18"/>
          <w:rtl w:val="0"/>
        </w:rPr>
        <w:t xml:space="preserve">.</w:t>
      </w:r>
    </w:p>
    <w:p w:rsidR="00000000" w:rsidDel="00000000" w:rsidP="00000000" w:rsidRDefault="00000000" w:rsidRPr="00000000" w14:paraId="000000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USNE con "EL ESTADO" a través del Titular de la OSNE, a partir de la propuesta que formule éste último.</w:t>
      </w:r>
    </w:p>
    <w:p w:rsidR="00000000" w:rsidDel="00000000" w:rsidP="00000000" w:rsidRDefault="00000000" w:rsidRPr="00000000" w14:paraId="0000008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CALENDARIZACIÓN DE LOS RECURSOS</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COMPROBACIÓN DE EROGACIONES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ESTADO" realice por conducto de la OSNE en los conceptos señalados en la presente cláusula, serán reconocidos por la "SECRETARÍA", contra los documentos y/o formatos remitidos por vía electrónica a la USNE, que amparen las erogaciones realizadas.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"Lineamientos para Administrar el Presupuesto de los Programas del Servicio Nacional de Empleo".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 GRATUIDAD DEL PAE.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servicios del PAE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"EL ESTADO" no deberán cobrar cantidad alguna ya sea en dinero o en especie, ni imponer a los buscadores de trabajo y Empleadores alguna obligación o la realización de servicios personales, así como tampoco condiciones de carácter electoral o político.</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9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w:t>
      </w:r>
      <w:r w:rsidDel="00000000" w:rsidR="00000000" w:rsidRPr="00000000">
        <w:rPr>
          <w:i w:val="1"/>
          <w:color w:val="2f2f2f"/>
          <w:sz w:val="18"/>
          <w:szCs w:val="18"/>
          <w:rtl w:val="0"/>
        </w:rPr>
        <w:t xml:space="preserve">del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 "EL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9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 TRANSPARENCIA Y PUBLICIDAD. La "SECRETARÍA", conforme a lo dispuesto en los artículos 27, del Presupuesto de Egresos de la Federación para el Ejercicio Fiscal 2021; y,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ESTADO" por su parte, se obliga a difundir al interior de la </w:t>
      </w:r>
      <w:r w:rsidDel="00000000" w:rsidR="00000000" w:rsidRPr="00000000">
        <w:rPr>
          <w:i w:val="1"/>
          <w:color w:val="2f2f2f"/>
          <w:sz w:val="18"/>
          <w:szCs w:val="18"/>
          <w:rtl w:val="0"/>
        </w:rPr>
        <w:t xml:space="preserve">Entidad</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federativa</w:t>
      </w:r>
      <w:r w:rsidDel="00000000" w:rsidR="00000000" w:rsidRPr="00000000">
        <w:rPr>
          <w:color w:val="2f2f2f"/>
          <w:sz w:val="18"/>
          <w:szCs w:val="18"/>
          <w:rtl w:val="0"/>
        </w:rPr>
        <w:t xml:space="preserve"> dicha información en los términos de lo dispuesto por la Ley de Transparencia y Acceso a la Información Pública del Estado de Campeche.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Datos personales,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w:t>
      </w:r>
      <w:r w:rsidDel="00000000" w:rsidR="00000000" w:rsidRPr="00000000">
        <w:rPr>
          <w:i w:val="1"/>
          <w:color w:val="2f2f2f"/>
          <w:sz w:val="18"/>
          <w:szCs w:val="18"/>
          <w:rtl w:val="0"/>
        </w:rPr>
        <w:t xml:space="preserve">del PAE</w:t>
      </w:r>
      <w:r w:rsidDel="00000000" w:rsidR="00000000" w:rsidRPr="00000000">
        <w:rPr>
          <w:color w:val="2f2f2f"/>
          <w:sz w:val="18"/>
          <w:szCs w:val="18"/>
          <w:rtl w:val="0"/>
        </w:rPr>
        <w:t xml:space="preserve">, respectivamente.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w:t>
      </w:r>
      <w:r w:rsidDel="00000000" w:rsidR="00000000" w:rsidRPr="00000000">
        <w:rPr>
          <w:i w:val="1"/>
          <w:color w:val="2f2f2f"/>
          <w:sz w:val="18"/>
          <w:szCs w:val="18"/>
          <w:rtl w:val="0"/>
        </w:rPr>
        <w:t xml:space="preserve">del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30 de enero de 2020, y que fue publicado en el Diario Oficial de la Federación el 20 de marzo del mismo año.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de la "SECRETARÍA" por conducto del Encargado de Despacho de la Unidad del Servicio Nacional de Empleo, o por "EL ESTADO", por conducto del Titular de la Secretaría de Trabajo y Previsión Social de la Administración Pública Estatal,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ministrados.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w:t>
      </w:r>
      <w:r w:rsidDel="00000000" w:rsidR="00000000" w:rsidRPr="00000000">
        <w:rPr>
          <w:i w:val="1"/>
          <w:color w:val="2f2f2f"/>
          <w:sz w:val="18"/>
          <w:szCs w:val="18"/>
          <w:rtl w:val="0"/>
        </w:rPr>
        <w:t xml:space="preserve">del PAE </w:t>
      </w:r>
      <w:r w:rsidDel="00000000" w:rsidR="00000000" w:rsidRPr="00000000">
        <w:rPr>
          <w:color w:val="2f2f2f"/>
          <w:sz w:val="18"/>
          <w:szCs w:val="18"/>
          <w:rtl w:val="0"/>
        </w:rPr>
        <w:t xml:space="preserve">.</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 PUBLICACIÓN. Con fundamento en lo dispuesto en los artículos 36, de la Ley de Planeación, y 82 de la Ley Federal de Presupuesto y Responsabilidad Hacendaria, el presente documento deberá ser publicado en el Diario Oficial de la Federación; por su parte, de acuerdo con el artículo 12, fracción IX, de la Ley del Periódico Oficial del Estado de Campeche, también deberá ser publicado en el Periódico Oficial de "EL ESTADO".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el día 2 de marzo de 2021.- Por la Secretaría: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El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Estado: el Gobernador del Estado, Lic. </w:t>
      </w:r>
      <w:r w:rsidDel="00000000" w:rsidR="00000000" w:rsidRPr="00000000">
        <w:rPr>
          <w:b w:val="1"/>
          <w:color w:val="2f2f2f"/>
          <w:sz w:val="18"/>
          <w:szCs w:val="18"/>
          <w:rtl w:val="0"/>
        </w:rPr>
        <w:t xml:space="preserve">Carlos Miguel Aysa González</w:t>
      </w:r>
      <w:r w:rsidDel="00000000" w:rsidR="00000000" w:rsidRPr="00000000">
        <w:rPr>
          <w:color w:val="2f2f2f"/>
          <w:sz w:val="18"/>
          <w:szCs w:val="18"/>
          <w:rtl w:val="0"/>
        </w:rPr>
        <w:t xml:space="preserve">.- Rúbrica.- La Secretaria de Trabajo y Previsión Social, Dra. </w:t>
      </w:r>
      <w:r w:rsidDel="00000000" w:rsidR="00000000" w:rsidRPr="00000000">
        <w:rPr>
          <w:b w:val="1"/>
          <w:color w:val="2f2f2f"/>
          <w:sz w:val="18"/>
          <w:szCs w:val="18"/>
          <w:rtl w:val="0"/>
        </w:rPr>
        <w:t xml:space="preserve">Laura Luna García</w:t>
      </w:r>
      <w:r w:rsidDel="00000000" w:rsidR="00000000" w:rsidRPr="00000000">
        <w:rPr>
          <w:color w:val="2f2f2f"/>
          <w:sz w:val="18"/>
          <w:szCs w:val="18"/>
          <w:rtl w:val="0"/>
        </w:rPr>
        <w:t xml:space="preserve">.- Rúbrica.- La Secretaria de Finanzas, C.P. </w:t>
      </w:r>
      <w:r w:rsidDel="00000000" w:rsidR="00000000" w:rsidRPr="00000000">
        <w:rPr>
          <w:b w:val="1"/>
          <w:color w:val="2f2f2f"/>
          <w:sz w:val="18"/>
          <w:szCs w:val="18"/>
          <w:rtl w:val="0"/>
        </w:rPr>
        <w:t xml:space="preserve">Guadalupe Esther Cárdenas Guerrero</w:t>
      </w:r>
      <w:r w:rsidDel="00000000" w:rsidR="00000000" w:rsidRPr="00000000">
        <w:rPr>
          <w:color w:val="2f2f2f"/>
          <w:sz w:val="18"/>
          <w:szCs w:val="18"/>
          <w:rtl w:val="0"/>
        </w:rPr>
        <w:t xml:space="preserve">.- Rúbrica.- El Secretario de Administración e Innovación Gubernamental, Ing. </w:t>
      </w:r>
      <w:r w:rsidDel="00000000" w:rsidR="00000000" w:rsidRPr="00000000">
        <w:rPr>
          <w:b w:val="1"/>
          <w:color w:val="2f2f2f"/>
          <w:sz w:val="18"/>
          <w:szCs w:val="18"/>
          <w:rtl w:val="0"/>
        </w:rPr>
        <w:t xml:space="preserve">Gustavo Manuel Ortiz González</w:t>
      </w:r>
      <w:r w:rsidDel="00000000" w:rsidR="00000000" w:rsidRPr="00000000">
        <w:rPr>
          <w:color w:val="2f2f2f"/>
          <w:sz w:val="18"/>
          <w:szCs w:val="18"/>
          <w:rtl w:val="0"/>
        </w:rPr>
        <w:t xml:space="preserve">.- Rúbrica.- La Secretaria de la Contraloría, Map. </w:t>
      </w:r>
      <w:r w:rsidDel="00000000" w:rsidR="00000000" w:rsidRPr="00000000">
        <w:rPr>
          <w:b w:val="1"/>
          <w:color w:val="2f2f2f"/>
          <w:sz w:val="18"/>
          <w:szCs w:val="18"/>
          <w:rtl w:val="0"/>
        </w:rPr>
        <w:t xml:space="preserve">Lidia Carrillo Díaz</w:t>
      </w:r>
      <w:r w:rsidDel="00000000" w:rsidR="00000000" w:rsidRPr="00000000">
        <w:rPr>
          <w:color w:val="2f2f2f"/>
          <w:sz w:val="18"/>
          <w:szCs w:val="18"/>
          <w:rtl w:val="0"/>
        </w:rPr>
        <w:t xml:space="preserve">.- Rúbrica.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