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72/2021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22 al 28 de mayo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Calakmul y Candelaria del Estado de Campeche</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1.880</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Balancán y Tenosique del Estado de Tabasco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Ocosingo y Palenque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1.836</w:t>
            </w:r>
          </w:p>
        </w:tc>
      </w:tr>
    </w:tbl>
    <w:p w:rsidR="00000000" w:rsidDel="00000000" w:rsidP="00000000" w:rsidRDefault="00000000" w:rsidRPr="00000000" w14:paraId="00000035">
      <w:pPr>
        <w:rPr>
          <w:color w:val="2f2f2f"/>
          <w:sz w:val="18"/>
          <w:szCs w:val="18"/>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1.904</w:t>
            </w:r>
          </w:p>
        </w:tc>
      </w:tr>
    </w:tbl>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20 de mayo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56">
      <w:pPr>
        <w:rPr>
          <w:color w:val="2f2f2f"/>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