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34" w:rsidRDefault="00957B34" w:rsidP="00957B34">
      <w:pPr>
        <w:pStyle w:val="titulo1"/>
        <w:jc w:val="center"/>
        <w:rPr>
          <w:rFonts w:ascii="Verdana" w:hAnsi="Verdana"/>
          <w:b/>
          <w:color w:val="4F81BD" w:themeColor="accent1"/>
          <w:sz w:val="22"/>
          <w:szCs w:val="20"/>
        </w:rPr>
      </w:pPr>
      <w:r w:rsidRPr="00957B34">
        <w:rPr>
          <w:rFonts w:ascii="Verdana" w:hAnsi="Verdana"/>
          <w:b/>
          <w:color w:val="4F81BD" w:themeColor="accent1"/>
          <w:sz w:val="22"/>
          <w:szCs w:val="20"/>
        </w:rPr>
        <w:t>Anexos</w:t>
      </w:r>
      <w:r w:rsidRPr="00957B34">
        <w:rPr>
          <w:rFonts w:ascii="Verdana" w:hAnsi="Verdana"/>
          <w:b/>
          <w:color w:val="4F81BD" w:themeColor="accent1"/>
          <w:sz w:val="22"/>
          <w:szCs w:val="20"/>
        </w:rPr>
        <w:t xml:space="preserve"> 3, 7, 9 y 11 de la Re</w:t>
      </w:r>
      <w:bookmarkStart w:id="0" w:name="_GoBack"/>
      <w:bookmarkEnd w:id="0"/>
      <w:r w:rsidRPr="00957B34">
        <w:rPr>
          <w:rFonts w:ascii="Verdana" w:hAnsi="Verdana"/>
          <w:b/>
          <w:color w:val="4F81BD" w:themeColor="accent1"/>
          <w:sz w:val="22"/>
          <w:szCs w:val="20"/>
        </w:rPr>
        <w:t>solución Miscelánea Fiscal para</w:t>
      </w:r>
      <w:r w:rsidRPr="00957B34">
        <w:rPr>
          <w:rFonts w:ascii="Verdana" w:hAnsi="Verdana"/>
          <w:b/>
          <w:color w:val="4F81BD" w:themeColor="accent1"/>
          <w:sz w:val="22"/>
          <w:szCs w:val="20"/>
        </w:rPr>
        <w:t xml:space="preserve"> 2019, publicada el 29 de abril</w:t>
      </w:r>
    </w:p>
    <w:p w:rsidR="00957B34" w:rsidRPr="00957B34" w:rsidRDefault="00957B34" w:rsidP="00957B34">
      <w:pPr>
        <w:pStyle w:val="titulo1"/>
        <w:jc w:val="center"/>
        <w:rPr>
          <w:rFonts w:ascii="Verdana" w:hAnsi="Verdana"/>
          <w:b/>
          <w:color w:val="4F81BD" w:themeColor="accent1"/>
          <w:sz w:val="22"/>
          <w:szCs w:val="20"/>
        </w:rPr>
      </w:pPr>
      <w:r>
        <w:rPr>
          <w:rFonts w:ascii="Verdana" w:hAnsi="Verdana"/>
          <w:b/>
          <w:color w:val="4F81BD" w:themeColor="accent1"/>
          <w:sz w:val="22"/>
          <w:szCs w:val="20"/>
        </w:rPr>
        <w:t>(DOF 30 de abril de 2019)</w:t>
      </w:r>
    </w:p>
    <w:p w:rsidR="00957B34" w:rsidRPr="00957B34" w:rsidRDefault="00957B34" w:rsidP="00957B34">
      <w:pPr>
        <w:pStyle w:val="titulo2"/>
        <w:rPr>
          <w:rFonts w:ascii="Verdana" w:hAnsi="Verdana"/>
          <w:sz w:val="20"/>
          <w:szCs w:val="20"/>
        </w:rPr>
      </w:pPr>
      <w:r w:rsidRPr="00957B34">
        <w:rPr>
          <w:rFonts w:ascii="Verdana" w:hAnsi="Verdana"/>
          <w:sz w:val="20"/>
          <w:szCs w:val="20"/>
        </w:rPr>
        <w:t>Al margen un sello con el Escudo Nacional, que dice: Estados Unidos Mexicanos.- SHCP.- Secretaría de Hacienda y Crédito Público.- Servicio de Administración Tributaria.</w:t>
      </w:r>
    </w:p>
    <w:p w:rsidR="00957B34" w:rsidRPr="00957B34" w:rsidRDefault="00957B34" w:rsidP="00957B34">
      <w:pPr>
        <w:pStyle w:val="anotacion"/>
        <w:spacing w:afterAutospacing="0" w:line="240" w:lineRule="exact"/>
        <w:rPr>
          <w:rFonts w:ascii="Verdana" w:hAnsi="Verdana"/>
          <w:sz w:val="20"/>
          <w:szCs w:val="20"/>
        </w:rPr>
      </w:pPr>
      <w:r w:rsidRPr="00957B34">
        <w:rPr>
          <w:rFonts w:ascii="Verdana" w:hAnsi="Verdana"/>
          <w:sz w:val="20"/>
          <w:szCs w:val="20"/>
          <w:lang w:val="es-ES_tradnl"/>
        </w:rPr>
        <w:t>Anexo 3 de la Resolución Miscelánea Fiscal para 2019</w:t>
      </w:r>
    </w:p>
    <w:p w:rsidR="00957B34" w:rsidRPr="00957B34" w:rsidRDefault="00957B34" w:rsidP="00957B34">
      <w:pPr>
        <w:pStyle w:val="texto"/>
        <w:spacing w:afterAutospacing="0" w:line="240" w:lineRule="exact"/>
        <w:jc w:val="center"/>
        <w:rPr>
          <w:rFonts w:ascii="Verdana" w:hAnsi="Verdana"/>
          <w:sz w:val="20"/>
          <w:szCs w:val="20"/>
        </w:rPr>
      </w:pPr>
      <w:r w:rsidRPr="00957B34">
        <w:rPr>
          <w:rFonts w:ascii="Verdana" w:hAnsi="Verdana"/>
          <w:b/>
          <w:sz w:val="20"/>
          <w:szCs w:val="20"/>
          <w:lang w:val="es-ES"/>
        </w:rPr>
        <w:t>CRITERIOS NO VINCULATIVOS DE LAS DISPOSICIONES FISCALES</w:t>
      </w:r>
    </w:p>
    <w:p w:rsidR="00957B34" w:rsidRPr="00957B34" w:rsidRDefault="00957B34" w:rsidP="00957B34">
      <w:pPr>
        <w:pStyle w:val="texto"/>
        <w:spacing w:afterAutospacing="0" w:line="236" w:lineRule="exact"/>
        <w:rPr>
          <w:rFonts w:ascii="Verdana" w:hAnsi="Verdana"/>
          <w:sz w:val="20"/>
          <w:szCs w:val="20"/>
        </w:rPr>
      </w:pPr>
      <w:r w:rsidRPr="00957B34">
        <w:rPr>
          <w:rFonts w:ascii="Verdana" w:hAnsi="Verdana"/>
          <w:b/>
          <w:sz w:val="20"/>
          <w:szCs w:val="20"/>
          <w:lang w:val="es-ES"/>
        </w:rPr>
        <w:t xml:space="preserve">PRIMERO. </w:t>
      </w:r>
      <w:r w:rsidRPr="00957B34">
        <w:rPr>
          <w:rFonts w:ascii="Verdana" w:hAnsi="Verdana"/>
          <w:sz w:val="20"/>
          <w:szCs w:val="20"/>
          <w:lang w:val="es-ES"/>
        </w:rPr>
        <w:t>De conformidad con el artículo 33, fracción I, inciso h) del CFF, en relación con la regla 1.9., fracción IV de la RMF 2019, se dan a conocer los criterios no vinculativos de las disposiciones fiscales conforme a lo siguiente:</w:t>
      </w:r>
    </w:p>
    <w:p w:rsidR="00957B34" w:rsidRPr="00957B34" w:rsidRDefault="00957B34" w:rsidP="00957B34">
      <w:pPr>
        <w:pStyle w:val="texto"/>
        <w:shd w:val="pct12" w:color="auto" w:fill="auto"/>
        <w:spacing w:afterAutospacing="0" w:line="236" w:lineRule="exact"/>
        <w:jc w:val="center"/>
        <w:rPr>
          <w:rFonts w:ascii="Verdana" w:hAnsi="Verdana"/>
          <w:sz w:val="20"/>
          <w:szCs w:val="20"/>
        </w:rPr>
      </w:pPr>
      <w:r w:rsidRPr="00957B34">
        <w:rPr>
          <w:rFonts w:ascii="Verdana" w:hAnsi="Verdana"/>
          <w:b/>
          <w:noProof/>
          <w:sz w:val="20"/>
          <w:szCs w:val="20"/>
          <w:lang w:val="es-ES"/>
        </w:rPr>
        <w:t>Contenido</w:t>
      </w:r>
    </w:p>
    <w:p w:rsidR="00957B34" w:rsidRPr="00957B34" w:rsidRDefault="00957B34" w:rsidP="00957B34">
      <w:pPr>
        <w:pStyle w:val="texto"/>
        <w:spacing w:afterAutospacing="0" w:line="236" w:lineRule="exact"/>
        <w:rPr>
          <w:rFonts w:ascii="Verdana" w:hAnsi="Verdana"/>
          <w:sz w:val="20"/>
          <w:szCs w:val="20"/>
        </w:rPr>
      </w:pPr>
      <w:r w:rsidRPr="00957B34">
        <w:rPr>
          <w:rFonts w:ascii="Verdana" w:hAnsi="Verdana"/>
          <w:b/>
          <w:sz w:val="20"/>
          <w:szCs w:val="20"/>
          <w:lang w:val="es-ES"/>
        </w:rPr>
        <w:t>APARTADOS:</w:t>
      </w:r>
    </w:p>
    <w:p w:rsidR="00957B34" w:rsidRPr="00957B34" w:rsidRDefault="00957B34" w:rsidP="00957B34">
      <w:pPr>
        <w:pStyle w:val="texto"/>
        <w:spacing w:afterAutospacing="0" w:line="236" w:lineRule="exact"/>
        <w:jc w:val="center"/>
        <w:rPr>
          <w:rFonts w:ascii="Verdana" w:hAnsi="Verdana"/>
          <w:sz w:val="20"/>
          <w:szCs w:val="20"/>
        </w:rPr>
      </w:pPr>
      <w:r w:rsidRPr="00957B34">
        <w:rPr>
          <w:rFonts w:ascii="Verdana" w:hAnsi="Verdana"/>
          <w:b/>
          <w:sz w:val="20"/>
          <w:szCs w:val="20"/>
          <w:lang w:val="es-ES"/>
        </w:rPr>
        <w:t>A. Criterios del CFF</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1/CFF/NV</w:t>
      </w:r>
      <w:r w:rsidRPr="00957B34">
        <w:rPr>
          <w:rFonts w:ascii="Verdana" w:eastAsia="Times New Roman" w:hAnsi="Verdana" w:cs="Times New Roman"/>
          <w:sz w:val="20"/>
          <w:szCs w:val="20"/>
          <w:lang w:val="es-ES" w:eastAsia="es-MX"/>
        </w:rPr>
        <w:tab/>
        <w:t>Entrega o puesta a disposición del CFDI. No se cumple con la obligación cuando el emisor únicamente remite a una página de Internet.</w:t>
      </w:r>
    </w:p>
    <w:p w:rsidR="00957B34" w:rsidRPr="00957B34" w:rsidRDefault="00957B34" w:rsidP="00957B34">
      <w:pPr>
        <w:spacing w:before="100" w:beforeAutospacing="1" w:after="100" w:line="236"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B. Criterios de la Ley del ISR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Establecimiento permanente.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Enajenación de bienes de activo fijo.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3/ISR/NV</w:t>
      </w:r>
      <w:r w:rsidRPr="00957B34">
        <w:rPr>
          <w:rFonts w:ascii="Verdana" w:eastAsia="Times New Roman" w:hAnsi="Verdana" w:cs="Times New Roman"/>
          <w:sz w:val="20"/>
          <w:szCs w:val="20"/>
          <w:lang w:val="es-ES" w:eastAsia="es-MX"/>
        </w:rPr>
        <w:tab/>
        <w:t>Reservas para fondos de pensiones o jubilaciones. No son deducibles los intereses derivados de la inversión o reinversión de los fondos.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Regalías por activos intangibles originados en México, pagadas a partes relacionadas residentes en el extranjero.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Instituciones de fianzas. Pagos por reclamaciones.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Gastos a favor de tercero. No son deducibles aquellos que se realicen a favor de personas con las cuales no se tenga una relación laboral ni presten servicios profesionales.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7/ISR/NV</w:t>
      </w:r>
      <w:r w:rsidRPr="00957B34">
        <w:rPr>
          <w:rFonts w:ascii="Verdana" w:eastAsia="Times New Roman" w:hAnsi="Verdana" w:cs="Times New Roman"/>
          <w:sz w:val="20"/>
          <w:szCs w:val="20"/>
          <w:lang w:val="es-ES" w:eastAsia="es-MX"/>
        </w:rPr>
        <w:tab/>
        <w:t>Deducción de Inversiones tratándose de activos fijos.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8/ISR/NV</w:t>
      </w:r>
      <w:r w:rsidRPr="00957B34">
        <w:rPr>
          <w:rFonts w:ascii="Verdana" w:eastAsia="Times New Roman" w:hAnsi="Verdana" w:cs="Times New Roman"/>
          <w:sz w:val="20"/>
          <w:szCs w:val="20"/>
          <w:lang w:val="es-ES" w:eastAsia="es-MX"/>
        </w:rPr>
        <w:tab/>
        <w:t>Instituciones del sistema financiero. Retención del ISR por intereses.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9/ISR/NV</w:t>
      </w:r>
      <w:r w:rsidRPr="00957B34">
        <w:rPr>
          <w:rFonts w:ascii="Verdana" w:eastAsia="Times New Roman" w:hAnsi="Verdana" w:cs="Times New Roman"/>
          <w:sz w:val="20"/>
          <w:szCs w:val="20"/>
          <w:lang w:val="es-ES" w:eastAsia="es-MX"/>
        </w:rPr>
        <w:tab/>
        <w:t>Desincorporación de sociedades controladas.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10/ISR/NV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Inversiones realizadas por organizaciones civiles y fideicomisos autorizados para recibir donativos deducibles. </w:t>
      </w:r>
      <w:r w:rsidRPr="00957B34">
        <w:rPr>
          <w:rFonts w:ascii="Verdana" w:eastAsia="Times New Roman" w:hAnsi="Verdana" w:cs="Times New Roman"/>
          <w:b/>
          <w:sz w:val="20"/>
          <w:szCs w:val="20"/>
          <w:lang w:val="es-ES" w:eastAsia="es-MX"/>
        </w:rPr>
        <w:t>(Se deroga)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11/ISR/NV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Rendimientos de bienes entregados en fideicomiso, que únicamente se destinen a financiar la educación.</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12/ISR/NV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Indemnizaciones por riesgos de trabajo o enfermedades.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13/ISR/NV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Enajenación de certificados inmobiliarios.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14/ISR/NV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Sociedades civiles universales. Ingresos en concepto de alimentos.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15/ISR/NV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Aplicación de los artículos de los tratados para evitar la doble tributación que México tiene en vigor, relativos a la imposición sobre sucursales.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16/ISR/NV </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Sociedades cooperativas. Salarios y previsión social.</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17/ISR/NV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Indebida deducción de pérdidas por la enajenación de la nuda propiedad de bienes otorgados en usufructo.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18/ISR/NV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Ganancias obtenidas por residentes en el extranjero en la enajenación de acciones inmobiliarias.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19/ISR/NV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Deducción de inventarios congelados. </w:t>
      </w:r>
      <w:r w:rsidRPr="00957B34">
        <w:rPr>
          <w:rFonts w:ascii="Verdana" w:eastAsia="Times New Roman" w:hAnsi="Verdana" w:cs="Times New Roman"/>
          <w:b/>
          <w:sz w:val="20"/>
          <w:szCs w:val="20"/>
          <w:lang w:val="es-ES" w:eastAsia="es-MX"/>
        </w:rPr>
        <w:t>(Se deroga)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20/ISR/NV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Inventarios Negativos.</w:t>
      </w:r>
      <w:r w:rsidRPr="00957B34">
        <w:rPr>
          <w:rFonts w:ascii="Verdana" w:eastAsia="Times New Roman" w:hAnsi="Verdana" w:cs="Times New Roman"/>
          <w:b/>
          <w:sz w:val="20"/>
          <w:szCs w:val="20"/>
          <w:lang w:val="es-ES" w:eastAsia="es-MX"/>
        </w:rPr>
        <w:t xml:space="preserve"> (Se deroga)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21/ISR/NV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Prestación gratuita de un servicio a organizaciones civiles y fideicomisos autorizados para recibir donativos deducibles.</w:t>
      </w:r>
      <w:r w:rsidRPr="00957B34">
        <w:rPr>
          <w:rFonts w:ascii="Verdana" w:eastAsia="Times New Roman" w:hAnsi="Verdana" w:cs="Times New Roman"/>
          <w:b/>
          <w:sz w:val="20"/>
          <w:szCs w:val="20"/>
          <w:lang w:val="es-ES" w:eastAsia="es-MX"/>
        </w:rPr>
        <w:t xml:space="preserve"> (Se deroga)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22/ISR/NV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Subcontratación. Retención de salarios.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23/ISR/NV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Simulación de constancias.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24/ISR/NV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Deducción de pagos a sindicatos.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25/ISR/NV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pt-BR" w:eastAsia="es-MX"/>
        </w:rPr>
        <w:t xml:space="preserve">Gastos realizados por actividades comerciales contratadas a un Sindicato. </w:t>
      </w:r>
      <w:r w:rsidRPr="00957B34">
        <w:rPr>
          <w:rFonts w:ascii="Verdana" w:eastAsia="Times New Roman" w:hAnsi="Verdana" w:cs="Times New Roman"/>
          <w:b/>
          <w:sz w:val="20"/>
          <w:szCs w:val="20"/>
          <w:lang w:val="es-ES" w:eastAsia="es-MX"/>
        </w:rPr>
        <w:t>(Se deroga)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26/ISR/NV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Pérdidas por enajenación de acciones. Obligación de las sociedades controladoras de pagar el ISR que se hubiere diferido con motivo de su disminución en la determinación del resultado fiscal consolidado.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27/ISR/NV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Previsión social para efectos de la determinación del ISR. No puede otorgarse en efectivo o en otros medios equivalentes.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28/ISR/NV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Inversiones en automóviles. No son deducibles cuando correspondan a automóviles otorgados en comodato y que no son utilizados para la realización de las actividades propias del contribuyente.</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29/ISR/NV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Medios de pago en gastos médicos, dentales, por servicios en materia de psicología, nutrición u hospitalarios.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30/ISR/NV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Entrega de donativos a instituciones de enseñanza cuando no son onerosos, ni remunerativos.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31/ISR/NV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Costo de lo vendido. Tratándose de servicios derivados de contratos de obra inmueble, no son deducibles los costos correspondientes a ingresos no acumulados en el ejercicio.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32/ISR/NV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Pago de sueldos, salarios o asimilados a estos a través de sindicatos o prestadoras de servicios de subcontratación laboral.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33/ISR/NV</w:t>
      </w:r>
      <w:r w:rsidRPr="00957B34">
        <w:rPr>
          <w:rFonts w:ascii="Verdana" w:eastAsia="Times New Roman" w:hAnsi="Verdana" w:cs="Times New Roman"/>
          <w:sz w:val="20"/>
          <w:szCs w:val="20"/>
          <w:lang w:val="es-ES" w:eastAsia="es-MX"/>
        </w:rPr>
        <w:tab/>
        <w:t>Deducción de bienes de activo fijo objeto de un contrato de arrendamiento financiero.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34/ISR/NV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Derechos federativos de los deportistas. Su adquisición constituye una inversión en la modalidad de gasto diferido.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35/ISR/NV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Inversión de recursos retornados al país en acciones emitidas por personas morales residentes en México.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36/ISR/NV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Ingresos obtenidos por residentes en el extranjero, por arrendamiento o fletamento de embarcaciones o artefactos navales a casco desnudo, con fuente de riqueza en territorio nacional.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37/ISR/NV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Asociaciones Deportivas.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38/ISR/NV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Determinación del costo de lo vendido para contribuyentes que realicen actividades comerciales que consistan en la adquisición y enajenación de mercancías.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39/ISR/NV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40/ISR/NV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Modificaciones al valor de las operaciones con partes relacionadas dentro del rango intercuartil.</w:t>
      </w:r>
    </w:p>
    <w:p w:rsidR="00957B34" w:rsidRPr="00957B34" w:rsidRDefault="00957B34" w:rsidP="00957B34">
      <w:pPr>
        <w:spacing w:before="100" w:beforeAutospacing="1" w:after="100" w:line="238"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 Criterios de la Ley del IVA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1/IVA/NV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Alimentos preparados para su consumo en </w:t>
      </w:r>
      <w:proofErr w:type="gramStart"/>
      <w:r w:rsidRPr="00957B34">
        <w:rPr>
          <w:rFonts w:ascii="Verdana" w:eastAsia="Times New Roman" w:hAnsi="Verdana" w:cs="Times New Roman"/>
          <w:sz w:val="20"/>
          <w:szCs w:val="20"/>
          <w:lang w:val="es-ES" w:eastAsia="es-MX"/>
        </w:rPr>
        <w:t>el</w:t>
      </w:r>
      <w:proofErr w:type="gramEnd"/>
      <w:r w:rsidRPr="00957B34">
        <w:rPr>
          <w:rFonts w:ascii="Verdana" w:eastAsia="Times New Roman" w:hAnsi="Verdana" w:cs="Times New Roman"/>
          <w:sz w:val="20"/>
          <w:szCs w:val="20"/>
          <w:lang w:val="es-ES" w:eastAsia="es-MX"/>
        </w:rPr>
        <w:t xml:space="preserve"> lugar de su enajenación por las denominadas tiendas de conveniencia.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2/IVA/NV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Alimentos preparados.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3/IVA/NV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Servicio de itinerancia internacional o global.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4/IVA/NV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Prestación de servicios en territorio nacional a través de la figura de comisionista mercantil.</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5/IVA/NV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Enajenación de efectos salvados.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6/IVA/NV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Retención a residentes en el extranjero sin establecimiento permanente en el país.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7/IVA/NV</w:t>
      </w:r>
      <w:r w:rsidRPr="00957B34">
        <w:rPr>
          <w:rFonts w:ascii="Verdana" w:eastAsia="Times New Roman" w:hAnsi="Verdana" w:cs="Times New Roman"/>
          <w:b/>
          <w:sz w:val="20"/>
          <w:szCs w:val="20"/>
          <w:lang w:val="es-ES" w:eastAsia="es-MX"/>
        </w:rPr>
        <w:tab/>
      </w:r>
      <w:proofErr w:type="gramStart"/>
      <w:r w:rsidRPr="00957B34">
        <w:rPr>
          <w:rFonts w:ascii="Verdana" w:eastAsia="Times New Roman" w:hAnsi="Verdana" w:cs="Times New Roman"/>
          <w:sz w:val="20"/>
          <w:szCs w:val="20"/>
          <w:lang w:val="es-ES" w:eastAsia="es-MX"/>
        </w:rPr>
        <w:t>IVA</w:t>
      </w:r>
      <w:proofErr w:type="gramEnd"/>
      <w:r w:rsidRPr="00957B34">
        <w:rPr>
          <w:rFonts w:ascii="Verdana" w:eastAsia="Times New Roman" w:hAnsi="Verdana" w:cs="Times New Roman"/>
          <w:sz w:val="20"/>
          <w:szCs w:val="20"/>
          <w:lang w:val="es-ES" w:eastAsia="es-MX"/>
        </w:rPr>
        <w:t xml:space="preserve"> en transportación aérea que inicia en la franja fronteriza. No puede considerarse como prestado solamente el 25% del servicio.</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8/IVA/NV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Traslado indebido de IVA. Transporte de bienes no corresponde al servicio de cosecha y recolección.</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9/IVA/NV</w:t>
      </w: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sz w:val="20"/>
          <w:szCs w:val="20"/>
          <w:lang w:val="es-ES" w:eastAsia="es-MX"/>
        </w:rPr>
        <w:t>Acreditamiento indebido de IVA.</w:t>
      </w:r>
    </w:p>
    <w:p w:rsidR="00957B34" w:rsidRPr="00957B34" w:rsidRDefault="00957B34" w:rsidP="00957B34">
      <w:pPr>
        <w:spacing w:before="100" w:beforeAutospacing="1" w:after="100" w:line="242"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D. Criterios de la Ley del IEPS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1/IEPS/NV</w:t>
      </w: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sz w:val="20"/>
          <w:szCs w:val="20"/>
          <w:lang w:val="pt-BR" w:eastAsia="es-MX"/>
        </w:rPr>
        <w:t>Base sobre la</w:t>
      </w:r>
      <w:r w:rsidRPr="00957B34">
        <w:rPr>
          <w:rFonts w:ascii="Verdana" w:eastAsia="Times New Roman" w:hAnsi="Verdana" w:cs="Times New Roman"/>
          <w:sz w:val="20"/>
          <w:szCs w:val="20"/>
          <w:lang w:val="es-ES" w:eastAsia="es-MX"/>
        </w:rPr>
        <w:t xml:space="preserve"> cual</w:t>
      </w:r>
      <w:r w:rsidRPr="00957B34">
        <w:rPr>
          <w:rFonts w:ascii="Verdana" w:eastAsia="Times New Roman" w:hAnsi="Verdana" w:cs="Times New Roman"/>
          <w:sz w:val="20"/>
          <w:szCs w:val="20"/>
          <w:lang w:val="pt-BR" w:eastAsia="es-MX"/>
        </w:rPr>
        <w:t xml:space="preserve"> se aplicará la</w:t>
      </w:r>
      <w:r w:rsidRPr="00957B34">
        <w:rPr>
          <w:rFonts w:ascii="Verdana" w:eastAsia="Times New Roman" w:hAnsi="Verdana" w:cs="Times New Roman"/>
          <w:sz w:val="20"/>
          <w:szCs w:val="20"/>
          <w:lang w:val="es-ES" w:eastAsia="es-MX"/>
        </w:rPr>
        <w:t xml:space="preserve"> tasa</w:t>
      </w:r>
      <w:r w:rsidRPr="00957B34">
        <w:rPr>
          <w:rFonts w:ascii="Verdana" w:eastAsia="Times New Roman" w:hAnsi="Verdana" w:cs="Times New Roman"/>
          <w:sz w:val="20"/>
          <w:szCs w:val="20"/>
          <w:lang w:val="pt-BR" w:eastAsia="es-MX"/>
        </w:rPr>
        <w:t xml:space="preserve"> del IEPS</w:t>
      </w:r>
      <w:r w:rsidRPr="00957B34">
        <w:rPr>
          <w:rFonts w:ascii="Verdana" w:eastAsia="Times New Roman" w:hAnsi="Verdana" w:cs="Times New Roman"/>
          <w:sz w:val="20"/>
          <w:szCs w:val="20"/>
          <w:lang w:val="es-ES" w:eastAsia="es-MX"/>
        </w:rPr>
        <w:t xml:space="preserve"> cuando el</w:t>
      </w:r>
      <w:r w:rsidRPr="00957B34">
        <w:rPr>
          <w:rFonts w:ascii="Verdana" w:eastAsia="Times New Roman" w:hAnsi="Verdana" w:cs="Times New Roman"/>
          <w:sz w:val="20"/>
          <w:szCs w:val="20"/>
          <w:lang w:val="pt-BR" w:eastAsia="es-MX"/>
        </w:rPr>
        <w:t xml:space="preserve"> prestador de</w:t>
      </w:r>
      <w:r w:rsidRPr="00957B34">
        <w:rPr>
          <w:rFonts w:ascii="Verdana" w:eastAsia="Times New Roman" w:hAnsi="Verdana" w:cs="Times New Roman"/>
          <w:sz w:val="20"/>
          <w:szCs w:val="20"/>
          <w:lang w:val="es-ES" w:eastAsia="es-MX"/>
        </w:rPr>
        <w:t xml:space="preserve"> servicio</w:t>
      </w:r>
      <w:r w:rsidRPr="00957B34">
        <w:rPr>
          <w:rFonts w:ascii="Verdana" w:eastAsia="Times New Roman" w:hAnsi="Verdana" w:cs="Times New Roman"/>
          <w:sz w:val="20"/>
          <w:szCs w:val="20"/>
          <w:lang w:val="pt-BR" w:eastAsia="es-MX"/>
        </w:rPr>
        <w:t xml:space="preserve"> proporcione</w:t>
      </w:r>
      <w:r w:rsidRPr="00957B34">
        <w:rPr>
          <w:rFonts w:ascii="Verdana" w:eastAsia="Times New Roman" w:hAnsi="Verdana" w:cs="Times New Roman"/>
          <w:sz w:val="20"/>
          <w:szCs w:val="20"/>
          <w:lang w:val="es-ES" w:eastAsia="es-MX"/>
        </w:rPr>
        <w:t xml:space="preserve"> equipos terminales</w:t>
      </w:r>
      <w:r w:rsidRPr="00957B34">
        <w:rPr>
          <w:rFonts w:ascii="Verdana" w:eastAsia="Times New Roman" w:hAnsi="Verdana" w:cs="Times New Roman"/>
          <w:sz w:val="20"/>
          <w:szCs w:val="20"/>
          <w:lang w:val="pt-BR" w:eastAsia="es-MX"/>
        </w:rPr>
        <w:t xml:space="preserve"> de</w:t>
      </w:r>
      <w:r w:rsidRPr="00957B34">
        <w:rPr>
          <w:rFonts w:ascii="Verdana" w:eastAsia="Times New Roman" w:hAnsi="Verdana" w:cs="Times New Roman"/>
          <w:sz w:val="20"/>
          <w:szCs w:val="20"/>
          <w:lang w:val="es-ES" w:eastAsia="es-MX"/>
        </w:rPr>
        <w:t xml:space="preserve"> telecomunicaciones</w:t>
      </w:r>
      <w:r w:rsidRPr="00957B34">
        <w:rPr>
          <w:rFonts w:ascii="Verdana" w:eastAsia="Times New Roman" w:hAnsi="Verdana" w:cs="Times New Roman"/>
          <w:sz w:val="20"/>
          <w:szCs w:val="20"/>
          <w:lang w:val="pt-BR" w:eastAsia="es-MX"/>
        </w:rPr>
        <w:t xml:space="preserve"> u</w:t>
      </w:r>
      <w:r w:rsidRPr="00957B34">
        <w:rPr>
          <w:rFonts w:ascii="Verdana" w:eastAsia="Times New Roman" w:hAnsi="Verdana" w:cs="Times New Roman"/>
          <w:sz w:val="20"/>
          <w:szCs w:val="20"/>
          <w:lang w:val="es-ES" w:eastAsia="es-MX"/>
        </w:rPr>
        <w:t xml:space="preserve"> otorgue su</w:t>
      </w:r>
      <w:r w:rsidRPr="00957B34">
        <w:rPr>
          <w:rFonts w:ascii="Verdana" w:eastAsia="Times New Roman" w:hAnsi="Verdana" w:cs="Times New Roman"/>
          <w:sz w:val="20"/>
          <w:szCs w:val="20"/>
          <w:lang w:val="pt-BR" w:eastAsia="es-MX"/>
        </w:rPr>
        <w:t xml:space="preserve"> uso o</w:t>
      </w:r>
      <w:r w:rsidRPr="00957B34">
        <w:rPr>
          <w:rFonts w:ascii="Verdana" w:eastAsia="Times New Roman" w:hAnsi="Verdana" w:cs="Times New Roman"/>
          <w:sz w:val="20"/>
          <w:szCs w:val="20"/>
          <w:lang w:val="es-ES" w:eastAsia="es-MX"/>
        </w:rPr>
        <w:t xml:space="preserve"> goce</w:t>
      </w:r>
      <w:r w:rsidRPr="00957B34">
        <w:rPr>
          <w:rFonts w:ascii="Verdana" w:eastAsia="Times New Roman" w:hAnsi="Verdana" w:cs="Times New Roman"/>
          <w:sz w:val="20"/>
          <w:szCs w:val="20"/>
          <w:lang w:val="pt-BR" w:eastAsia="es-MX"/>
        </w:rPr>
        <w:t xml:space="preserve"> temporal al</w:t>
      </w:r>
      <w:r w:rsidRPr="00957B34">
        <w:rPr>
          <w:rFonts w:ascii="Verdana" w:eastAsia="Times New Roman" w:hAnsi="Verdana" w:cs="Times New Roman"/>
          <w:sz w:val="20"/>
          <w:szCs w:val="20"/>
          <w:lang w:val="es-ES" w:eastAsia="es-MX"/>
        </w:rPr>
        <w:t xml:space="preserve"> prestatario</w:t>
      </w:r>
      <w:r w:rsidRPr="00957B34">
        <w:rPr>
          <w:rFonts w:ascii="Verdana" w:eastAsia="Times New Roman" w:hAnsi="Verdana" w:cs="Times New Roman"/>
          <w:sz w:val="20"/>
          <w:szCs w:val="20"/>
          <w:lang w:val="pt-BR" w:eastAsia="es-MX"/>
        </w:rPr>
        <w:t>,</w:t>
      </w:r>
      <w:r w:rsidRPr="00957B34">
        <w:rPr>
          <w:rFonts w:ascii="Verdana" w:eastAsia="Times New Roman" w:hAnsi="Verdana" w:cs="Times New Roman"/>
          <w:sz w:val="20"/>
          <w:szCs w:val="20"/>
          <w:lang w:val="es-ES" w:eastAsia="es-MX"/>
        </w:rPr>
        <w:t xml:space="preserve"> con independencia</w:t>
      </w:r>
      <w:r w:rsidRPr="00957B34">
        <w:rPr>
          <w:rFonts w:ascii="Verdana" w:eastAsia="Times New Roman" w:hAnsi="Verdana" w:cs="Times New Roman"/>
          <w:sz w:val="20"/>
          <w:szCs w:val="20"/>
          <w:lang w:val="pt-BR" w:eastAsia="es-MX"/>
        </w:rPr>
        <w:t xml:space="preserve"> del instrumento legal que se</w:t>
      </w:r>
      <w:r w:rsidRPr="00957B34">
        <w:rPr>
          <w:rFonts w:ascii="Verdana" w:eastAsia="Times New Roman" w:hAnsi="Verdana" w:cs="Times New Roman"/>
          <w:sz w:val="20"/>
          <w:szCs w:val="20"/>
          <w:lang w:val="es-ES" w:eastAsia="es-MX"/>
        </w:rPr>
        <w:t xml:space="preserve"> utilice</w:t>
      </w:r>
      <w:r w:rsidRPr="00957B34">
        <w:rPr>
          <w:rFonts w:ascii="Verdana" w:eastAsia="Times New Roman" w:hAnsi="Verdana" w:cs="Times New Roman"/>
          <w:sz w:val="20"/>
          <w:szCs w:val="20"/>
          <w:lang w:val="pt-BR" w:eastAsia="es-MX"/>
        </w:rPr>
        <w:t xml:space="preserve"> para proporcionar</w:t>
      </w:r>
      <w:r w:rsidRPr="00957B34">
        <w:rPr>
          <w:rFonts w:ascii="Verdana" w:eastAsia="Times New Roman" w:hAnsi="Verdana" w:cs="Times New Roman"/>
          <w:sz w:val="20"/>
          <w:szCs w:val="20"/>
          <w:lang w:val="es-ES" w:eastAsia="es-MX"/>
        </w:rPr>
        <w:t xml:space="preserve"> el servicio.</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2/IEPS/NV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Servicios que se ofrecen de manera conjunta con Internet.</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3/IEPS/NV</w:t>
      </w:r>
      <w:r w:rsidRPr="00957B34">
        <w:rPr>
          <w:rFonts w:ascii="Verdana" w:eastAsia="Times New Roman" w:hAnsi="Verdana" w:cs="Times New Roman"/>
          <w:sz w:val="20"/>
          <w:szCs w:val="20"/>
          <w:lang w:val="es-ES" w:eastAsia="es-MX"/>
        </w:rPr>
        <w:tab/>
        <w:t>Productos que por sus ingredientes se ubican en la definición de chocolate o productos derivados del cacao, independientemente de su denominación comercial o la forma en la que se sugiere sean consumidos, se encuentran gravados para efectos del IEPS.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4/IEPS/NV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Base gravable del IEPS en la prestación de servicios de juegos con apuestas y sorteos.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5/IEPS/NV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Cantidades a disminuir como premios para determinar la base gravable del IEPS en la prestación de servicios de juegos con apuestas y sorteos.</w:t>
      </w:r>
    </w:p>
    <w:p w:rsidR="00957B34" w:rsidRPr="00957B34" w:rsidRDefault="00957B34" w:rsidP="00957B34">
      <w:pPr>
        <w:spacing w:before="100" w:beforeAutospacing="1" w:after="100" w:line="242"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E. Criterios de la Ley de los Impuestos Generales de Importación y Exportación</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1/LIGIE/NV</w:t>
      </w:r>
      <w:r w:rsidRPr="00957B34">
        <w:rPr>
          <w:rFonts w:ascii="Verdana" w:eastAsia="Times New Roman" w:hAnsi="Verdana" w:cs="Times New Roman"/>
          <w:sz w:val="20"/>
          <w:szCs w:val="20"/>
          <w:lang w:val="es-ES" w:eastAsia="es-MX"/>
        </w:rPr>
        <w:tab/>
        <w:t xml:space="preserve">Regla General 2 a). Importación de mercancía sin montar. </w:t>
      </w:r>
      <w:r w:rsidRPr="00957B34">
        <w:rPr>
          <w:rFonts w:ascii="Verdana" w:eastAsia="Times New Roman" w:hAnsi="Verdana" w:cs="Times New Roman"/>
          <w:b/>
          <w:sz w:val="20"/>
          <w:szCs w:val="20"/>
          <w:lang w:val="es-ES" w:eastAsia="es-MX"/>
        </w:rPr>
        <w:t>(Se reubica)</w:t>
      </w:r>
    </w:p>
    <w:p w:rsidR="00957B34" w:rsidRPr="00957B34" w:rsidRDefault="00957B34" w:rsidP="00957B34">
      <w:pPr>
        <w:spacing w:before="100" w:beforeAutospacing="1" w:after="100" w:line="242"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F. Criterios de la LISH</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1/LISH/NV</w:t>
      </w:r>
      <w:r w:rsidRPr="00957B34">
        <w:rPr>
          <w:rFonts w:ascii="Verdana" w:eastAsia="Times New Roman" w:hAnsi="Verdana" w:cs="Times New Roman"/>
          <w:sz w:val="20"/>
          <w:szCs w:val="20"/>
          <w:lang w:val="es-ES" w:eastAsia="es-MX"/>
        </w:rPr>
        <w:tab/>
        <w:t>Condensados y gas natural. Se trata de conceptos distintos para determinar la base de los derechos por la utilidad compartida y de extracción de hidrocarburos para los asignatarios.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2/LISH/NV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Establecimiento permanente para los efectos de la LISH. La exploración y extracción de hidrocarburos no son las únicas actividades por las que se puede constituir.</w:t>
      </w:r>
    </w:p>
    <w:p w:rsidR="00957B34" w:rsidRPr="00957B34" w:rsidRDefault="00957B34" w:rsidP="00957B34">
      <w:pPr>
        <w:spacing w:before="100" w:beforeAutospacing="1" w:after="100" w:line="242"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 Criterios del CFF</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1/CFF/NV</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Entrega o puesta a disposición del CFDI. No se cumple con la obligación cuando el emisor únicamente remite a una página de Internet.</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29, primer párrafo del CFF establece la obligación para los contribuyentes de expedir CFDIs por Internet por los actos o actividades que realicen, por los ingresos que se perciban o por las retenciones de contribuciones que efectúen, para lo cual de conformidad con su fracción IV, antes de su expedición deberán remitirlos al SAT o al proveedor de certificación de comprobantes fiscales digitales por Internet con el objeto de que se certifique, es decir, se valide el cumplimiento de los requisitos establecidos en el artículo 29-A del mismo Código, se le asigne un folio y se le incorpore el sello digital del SAT.</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para generarlo, sin necesidad de exhibir la Cédula de Identificación Fiscal.</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Los contribuyentes que no cumplan, en mismo acto y lugar, con su obligación de expedir el CFDI y tampoco con su remisión al SAT o al proveedor de certificación de CFDI con el objeto de que se certifique.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Los contribuyentes que no permitan, en el mismo acto y lugar que el cliente proporcione sus datos para la generación del CFDI.</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Los contribuyentes que en sus establecimientos, sucursales o puntos de venta, únicamente pongan a disposición del cliente un medio por el cual invitan al cliente para que este por su cuenta proporcione sus datos y por ende, trasladen al cliente la obligación de generar el CFDI.</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cualquiera de las prácticas anteriores.</w:t>
      </w:r>
    </w:p>
    <w:tbl>
      <w:tblPr>
        <w:tblW w:w="7185" w:type="dxa"/>
        <w:tblInd w:w="1665" w:type="dxa"/>
        <w:tblLayout w:type="fixed"/>
        <w:tblCellMar>
          <w:left w:w="72" w:type="dxa"/>
          <w:right w:w="72" w:type="dxa"/>
        </w:tblCellMar>
        <w:tblLook w:val="04A0" w:firstRow="1" w:lastRow="0" w:firstColumn="1" w:lastColumn="0" w:noHBand="0" w:noVBand="1"/>
      </w:tblPr>
      <w:tblGrid>
        <w:gridCol w:w="2185"/>
        <w:gridCol w:w="5000"/>
      </w:tblGrid>
      <w:tr w:rsidR="00957B34" w:rsidRPr="00957B34" w:rsidTr="00957B34">
        <w:trPr>
          <w:trHeight w:val="20"/>
        </w:trPr>
        <w:tc>
          <w:tcPr>
            <w:tcW w:w="2187" w:type="dxa"/>
            <w:tcBorders>
              <w:top w:val="single" w:sz="6" w:space="0" w:color="auto"/>
              <w:left w:val="single" w:sz="6" w:space="0" w:color="auto"/>
              <w:bottom w:val="single" w:sz="6" w:space="0" w:color="auto"/>
              <w:right w:val="single" w:sz="6" w:space="0" w:color="auto"/>
            </w:tcBorders>
            <w:shd w:val="clear" w:color="auto" w:fill="C0C0C0"/>
            <w:noWrap/>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18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Quinta Resolución de Modificaciones a la RMF para 2014</w:t>
            </w:r>
          </w:p>
        </w:tc>
        <w:tc>
          <w:tcPr>
            <w:tcW w:w="500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16 de octubre de 2014, Anexo 3, publicado en el Diario Oficial de la Federación el 17 de octubre de 2014.</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line="236"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B. Criterios de la Ley del ISR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1/ISR/NV</w:t>
      </w:r>
      <w:r w:rsidRPr="00957B34">
        <w:rPr>
          <w:rFonts w:ascii="Verdana" w:eastAsia="Times New Roman" w:hAnsi="Verdana" w:cs="Times New Roman"/>
          <w:b/>
          <w:sz w:val="20"/>
          <w:szCs w:val="20"/>
          <w:lang w:val="es-ES" w:eastAsia="es-MX"/>
        </w:rPr>
        <w:tab/>
        <w:t>Establecimiento permanente.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Conforme al artículo 1, fracción II de la Ley del ISR, las personas físicas y las morales están obligadas al pago del ISR cuando se trate de residentes en el extranjero que tengan un establecimiento permanente en el país, respecto de los ingresos atribuibles a dicho establecimiento permanente.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Conforme al artículo 2, segundo párrafo de la Ley del ISR, el Artículo 5, de los tratados para evitar la doble tributación que México tiene en vigor y los párrafos 31 a 35 de los Comentarios al artículo 5 del “Modelo de Convenio Tributario sobre la Renta y el Patrimonio”, a que hace referencia la recomendación adoptada por el Consejo de la OCDE el 23 de octubre de 1997, tal como fueron publicados después de la adopción por dicho Consejo de la novena actualización o de aquella que la sustituya, se considera que el residente en el extranjero tiene un establecimiento permanente en el país cuando se encuentre vinculado en los términos del derecho común con los actos que efectúe el agente dependiente por cuenta de él, con un residente en México.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El residente en el extranjero que no pague el ISR en México al considerar que no tiene un establecimiento permanente en el país cuando se encuentre vinculado en los términos del derecho común con los actos que efectúe el agente dependiente por cuenta de él, con un residente en México.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185" w:type="dxa"/>
        <w:tblInd w:w="1665" w:type="dxa"/>
        <w:tblLayout w:type="fixed"/>
        <w:tblCellMar>
          <w:left w:w="72" w:type="dxa"/>
          <w:right w:w="72" w:type="dxa"/>
        </w:tblCellMar>
        <w:tblLook w:val="04A0" w:firstRow="1" w:lastRow="0" w:firstColumn="1" w:lastColumn="0" w:noHBand="0" w:noVBand="1"/>
      </w:tblPr>
      <w:tblGrid>
        <w:gridCol w:w="2185"/>
        <w:gridCol w:w="5000"/>
      </w:tblGrid>
      <w:tr w:rsidR="00957B34" w:rsidRPr="00957B34" w:rsidTr="00957B34">
        <w:trPr>
          <w:trHeight w:val="20"/>
        </w:trPr>
        <w:tc>
          <w:tcPr>
            <w:tcW w:w="2187" w:type="dxa"/>
            <w:tcBorders>
              <w:top w:val="single" w:sz="6" w:space="0" w:color="auto"/>
              <w:left w:val="single" w:sz="6" w:space="0" w:color="auto"/>
              <w:bottom w:val="single" w:sz="6" w:space="0" w:color="auto"/>
              <w:right w:val="single" w:sz="6" w:space="0" w:color="auto"/>
            </w:tcBorders>
            <w:shd w:val="clear" w:color="auto" w:fill="C0C0C0"/>
            <w:noWrap/>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18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Novena Resolución de Modificaciones a la RMF para 2006</w:t>
            </w:r>
          </w:p>
        </w:tc>
        <w:tc>
          <w:tcPr>
            <w:tcW w:w="500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2006, Anexo 26, publicado en el Diario Oficial de la Federación el 7 de diciembre de 2006, con el número de criterio no vinculativo 12/ISR.</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2/ISR/NV</w:t>
      </w:r>
      <w:r w:rsidRPr="00957B34">
        <w:rPr>
          <w:rFonts w:ascii="Verdana" w:eastAsia="Times New Roman" w:hAnsi="Verdana" w:cs="Times New Roman"/>
          <w:b/>
          <w:sz w:val="20"/>
          <w:szCs w:val="20"/>
          <w:lang w:val="es-ES" w:eastAsia="es-MX"/>
        </w:rPr>
        <w:tab/>
        <w:t>Enajenación de bienes de activo fijo.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18, fracción IV de la Ley del ISR, establece que los contribuyentes que enajenen bienes de activo fijo, están obligados a acumular la ganancia derivada de esa enajenación. Para calcular dicha ganancia, la Ley del ISR establece que esta se determina como la diferencia entre el precio de venta y el monto original de la inversión, </w:t>
      </w:r>
      <w:r w:rsidRPr="00957B34">
        <w:rPr>
          <w:rFonts w:ascii="Verdana" w:eastAsia="Times New Roman" w:hAnsi="Verdana" w:cs="Times New Roman"/>
          <w:sz w:val="20"/>
          <w:szCs w:val="20"/>
          <w:lang w:val="es-ES" w:eastAsia="es-MX"/>
        </w:rPr>
        <w:lastRenderedPageBreak/>
        <w:t>disminuido de las cantidades ya deducidas. Lo anterior se desprende específicamente de lo dispuesto en el artículo 31 de dicha Ley que establece que cuando se enajenen dichos bienes el contribuyente tiene derecho a deducir la parte aún no deducida.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en general por otorgar el uso o goce temporal de bienes inmuebles; del Régimen de los ingresos por enajenación de bienes y Régimen de los ingresos por adquisición de bienes.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cualquiera de las prácticas anteriores.</w:t>
      </w:r>
    </w:p>
    <w:tbl>
      <w:tblPr>
        <w:tblW w:w="7215" w:type="dxa"/>
        <w:tblInd w:w="1647" w:type="dxa"/>
        <w:tblLayout w:type="fixed"/>
        <w:tblCellMar>
          <w:left w:w="72" w:type="dxa"/>
          <w:right w:w="72" w:type="dxa"/>
        </w:tblCellMar>
        <w:tblLook w:val="04A0" w:firstRow="1" w:lastRow="0" w:firstColumn="1" w:lastColumn="0" w:noHBand="0" w:noVBand="1"/>
      </w:tblPr>
      <w:tblGrid>
        <w:gridCol w:w="2207"/>
        <w:gridCol w:w="5008"/>
      </w:tblGrid>
      <w:tr w:rsidR="00957B34" w:rsidRPr="00957B34" w:rsidTr="00957B34">
        <w:trPr>
          <w:trHeight w:val="20"/>
        </w:trPr>
        <w:tc>
          <w:tcPr>
            <w:tcW w:w="2205" w:type="dxa"/>
            <w:tcBorders>
              <w:top w:val="single" w:sz="6" w:space="0" w:color="auto"/>
              <w:left w:val="single" w:sz="6" w:space="0" w:color="auto"/>
              <w:bottom w:val="single" w:sz="6" w:space="0" w:color="auto"/>
              <w:right w:val="single" w:sz="6" w:space="0" w:color="auto"/>
            </w:tcBorders>
            <w:shd w:val="clear" w:color="auto" w:fill="C0C0C0"/>
            <w:noWrap/>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20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Novena Resolución de Modificaciones a la RMF para 2006</w:t>
            </w:r>
          </w:p>
        </w:tc>
        <w:tc>
          <w:tcPr>
            <w:tcW w:w="500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2006 Anexo 26, publicado en el Diario Oficial de la Federación el 7 de diciembre de 2006.</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3/ISR/NV</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Reservas para fondos de pensiones o jubilaciones. No son deducibles los intereses derivados de la inversión o reinversión de los fondos.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De conformidad con el artículo 29 de la Ley del ISR y 35 de su Reglamento, los intereses derivados de la inversión o reinversión de los fondos destinados a la creación o incremento de reservas para el otorgamiento de pensiones o jubilaciones del personal, </w:t>
      </w:r>
      <w:r w:rsidRPr="00957B34">
        <w:rPr>
          <w:rFonts w:ascii="Verdana" w:eastAsia="Times New Roman" w:hAnsi="Verdana" w:cs="Times New Roman"/>
          <w:sz w:val="20"/>
          <w:szCs w:val="20"/>
          <w:lang w:val="es-ES" w:eastAsia="es-MX"/>
        </w:rPr>
        <w:lastRenderedPageBreak/>
        <w:t>complementarias a las previstas en la Ley del Seguro Social y de primas de antigüedad, no son deducibles para el contribuyente (fideicomitente).</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El fideicomitente que deduzca los intereses derivados de la inversión o reinversión de los fondos destinados para la creación o incremento de reservas para el otorgamiento de pensiones o jubilaciones del personal, complementarias a las previstas en la Ley del Seguro Social y de primas de antigüedad.</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2210"/>
        <w:gridCol w:w="5005"/>
      </w:tblGrid>
      <w:tr w:rsidR="00957B34" w:rsidRPr="00957B34" w:rsidTr="00957B34">
        <w:trPr>
          <w:trHeight w:val="20"/>
        </w:trPr>
        <w:tc>
          <w:tcPr>
            <w:tcW w:w="221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21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Novena Resolución de Modificaciones a la RMF para 2006</w:t>
            </w:r>
          </w:p>
        </w:tc>
        <w:tc>
          <w:tcPr>
            <w:tcW w:w="500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2006, Anexo 26, publicado en el Diario Oficial de la Federación el 7 de diciembre de 2006, con el número de criterio no vinculativo 4/ISR.</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4/ISR/NV</w:t>
      </w:r>
      <w:r w:rsidRPr="00957B34">
        <w:rPr>
          <w:rFonts w:ascii="Verdana" w:eastAsia="Times New Roman" w:hAnsi="Verdana" w:cs="Times New Roman"/>
          <w:b/>
          <w:sz w:val="20"/>
          <w:szCs w:val="20"/>
          <w:lang w:val="es-ES" w:eastAsia="es-MX"/>
        </w:rPr>
        <w:tab/>
        <w:t>Regalías por activos intangibles originados en México, pagadas a partes relacionadas residentes en el extranjero.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27 y 105, de la Ley del ISR, establecen los requisitos que deben cumplir las deducciones autorizadas y los casos específicos en que deben otorgarse, tratándose de personas morales y personas físicas con actividades empresariales y profesionales.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Deducir las regalías pagadas a partes relacionadas residentes en el extranjero por el uso o goce temporal de activos intangibles, que hayan tenido su origen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Deducir las inversiones en activos intangibles, que hayan tenido su origen en México, cuando se adquieran de un tercero que a su vez los haya adquirido de una parte relacionada residente en el extranjero.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2210"/>
        <w:gridCol w:w="5005"/>
      </w:tblGrid>
      <w:tr w:rsidR="00957B34" w:rsidRPr="00957B34" w:rsidTr="00957B34">
        <w:trPr>
          <w:trHeight w:val="20"/>
        </w:trPr>
        <w:tc>
          <w:tcPr>
            <w:tcW w:w="221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21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Novena Resolución de Modificaciones a la RMF para 2006</w:t>
            </w:r>
          </w:p>
        </w:tc>
        <w:tc>
          <w:tcPr>
            <w:tcW w:w="500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2006, Anexo 26, publicado en el Diario Oficial de la Federación el 7 de diciembre de 2006, con el número de criterio no vinculativo 1/ISR.</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5/ISR/NV</w:t>
      </w:r>
      <w:r w:rsidRPr="00957B34">
        <w:rPr>
          <w:rFonts w:ascii="Verdana" w:eastAsia="Times New Roman" w:hAnsi="Verdana" w:cs="Times New Roman"/>
          <w:b/>
          <w:sz w:val="20"/>
          <w:szCs w:val="20"/>
          <w:lang w:val="es-ES" w:eastAsia="es-MX"/>
        </w:rPr>
        <w:tab/>
        <w:t>Instituciones de fianzas. Pagos por reclamaciones.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27, fracción I de la Ley del ISR establece como requisito de las deducciones que sean estrictamente indispensables para los fines de la actividad del contribuyente.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32 de la Ley de Instituciones de Seguros y de Fianzas señala que el objeto de las instituciones de fianzas consiste preponderantemente en otorgar fianzas a título oneroso.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es importante destacar que la institución afianzadora se constituye en acreedor del fiado una vez que se hace exigible la fianza y realiza el pago por la reclamación correspondiente, y por ende, tiene a su favor un crédito por el monto de lo pagado.</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dispuesto en el artículo 25, fracción V de la Ley del ISR,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 </w:t>
      </w:r>
      <w:r w:rsidRPr="00957B34">
        <w:rPr>
          <w:rFonts w:ascii="Verdana" w:eastAsia="Times New Roman" w:hAnsi="Verdana" w:cs="Times New Roman"/>
          <w:sz w:val="20"/>
          <w:szCs w:val="20"/>
          <w:lang w:val="es-ES" w:eastAsia="es-MX"/>
        </w:rPr>
        <w:lastRenderedPageBreak/>
        <w:t>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ISR, destacando en todo caso, que únicamente serían deducibles las pérdidas por créditos incobrables derivados de las reclamaciones pagadas por las instituciones de fianzas que cumplan con los requisitos de la Ley de Instituciones de Seguros y de Fianzas y los establecidos en las disposiciones fiscales.</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Deducir el monto de los pagos por reclamaciones derivados de obligaciones amparadas con fianza para los efectos de la Ley del ISR.</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ISR en materia de deducciones.</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2003"/>
        <w:gridCol w:w="5212"/>
      </w:tblGrid>
      <w:tr w:rsidR="00957B34" w:rsidRPr="00957B34" w:rsidTr="00957B34">
        <w:trPr>
          <w:trHeight w:val="20"/>
        </w:trPr>
        <w:tc>
          <w:tcPr>
            <w:tcW w:w="200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1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0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Novena Resolución de Modificaciones a la RMF para 2006</w:t>
            </w:r>
          </w:p>
        </w:tc>
        <w:tc>
          <w:tcPr>
            <w:tcW w:w="521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2006, Anexo 26, publicado en el Diario Oficial de la Federación el 7 de diciembre de 2006, con el número de criterio no vinculativo 8/ISR; RMF 2016, publicada el 23 de diciembre de 2015, Anexo 3 publicado el 12 de enero de 2016.</w:t>
            </w:r>
          </w:p>
        </w:tc>
      </w:tr>
    </w:tbl>
    <w:p w:rsidR="00957B34" w:rsidRPr="00957B34" w:rsidRDefault="00957B34" w:rsidP="00957B34">
      <w:pPr>
        <w:spacing w:before="100" w:beforeAutospacing="1" w:after="100" w:afterAutospacing="1" w:line="22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6/ISR/NV</w:t>
      </w:r>
      <w:r w:rsidRPr="00957B34">
        <w:rPr>
          <w:rFonts w:ascii="Verdana" w:eastAsia="Times New Roman" w:hAnsi="Verdana" w:cs="Times New Roman"/>
          <w:b/>
          <w:sz w:val="20"/>
          <w:szCs w:val="20"/>
          <w:lang w:val="es-ES" w:eastAsia="es-MX"/>
        </w:rPr>
        <w:tab/>
        <w:t>Gastos a favor de tercero. No son deducibles aquellos que se realicen a favor de personas con las cuales no se tenga una relación laboral ni presten servicios profesionales.</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27, fracción I de la Ley del ISR establece que las deducciones autorizadas en el Título II de dicha Ley deben ser estrictamente indispensables para los fines de la actividad del contribuyente.</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la fracción XI del artículo referido dispone, contrario sensu, que no serán deducibles los gastos de previsión social cuando las prestaciones correspondientes no se otorguen en forma general en beneficio de todos los trabajadores.</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 igual forma, el artículo 28, fracción V de la Ley del ISR, indica que no serán deducibles los viáticos o gastos de viaje, en el país o en el </w:t>
      </w:r>
      <w:r w:rsidRPr="00957B34">
        <w:rPr>
          <w:rFonts w:ascii="Verdana" w:eastAsia="Times New Roman" w:hAnsi="Verdana" w:cs="Times New Roman"/>
          <w:sz w:val="20"/>
          <w:szCs w:val="20"/>
          <w:lang w:val="es-ES" w:eastAsia="es-MX"/>
        </w:rPr>
        <w:lastRenderedPageBreak/>
        <w:t>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estos se realicen en territorio nacional o con la documentación comprobatoria correspondiente, cuando los mismos se efectúen en el extranjero.</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aun cuando tales erogaciones se encontraran destinadas a personal proporcionado por empresas terceras.</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832"/>
        <w:gridCol w:w="5383"/>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2013</w:t>
            </w:r>
          </w:p>
        </w:tc>
        <w:tc>
          <w:tcPr>
            <w:tcW w:w="54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28 de diciembre de 2012, Anexo 3, publicado en el Diario Oficial de la Federación el 31 de diciembre de 2012, con el número de criterio no vinculativo 8/ISR.</w:t>
            </w:r>
          </w:p>
        </w:tc>
      </w:tr>
    </w:tbl>
    <w:p w:rsidR="00957B34" w:rsidRPr="00957B34" w:rsidRDefault="00957B34" w:rsidP="00957B34">
      <w:pPr>
        <w:spacing w:before="100" w:beforeAutospacing="1" w:after="100" w:line="233"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7/ISR/NV</w:t>
      </w:r>
      <w:r w:rsidRPr="00957B34">
        <w:rPr>
          <w:rFonts w:ascii="Verdana" w:eastAsia="Times New Roman" w:hAnsi="Verdana" w:cs="Times New Roman"/>
          <w:b/>
          <w:sz w:val="20"/>
          <w:szCs w:val="20"/>
          <w:lang w:val="es-ES" w:eastAsia="es-MX"/>
        </w:rPr>
        <w:tab/>
        <w:t>Deducción de Inversiones tratándose de activos fijos.</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25, fracción IV de la Ley del ISR, señala que los contribuyentes podrán efectuar la deducción de inversiones.</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Deducir inversiones en activo fijo, dándoles el tratamiento fiscal aplicable a los gastos, como acontece tratándose de las siguientes adquisiciones:</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 De cable para transmitir datos, voz, imágenes, etc., salvo que se trate de adquisiciones con fines de mantenimiento o reparación.</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b) De bienes, como son los refrigeradores, enfriadores, envases retornables, etc., que sean puestos a disposición de los detallistas que enajenan al menudeo los refrescos y las cervezas.</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33"/>
        <w:gridCol w:w="528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Novena Resolución de Modificaciones a la RMF para 2006</w:t>
            </w:r>
          </w:p>
        </w:tc>
        <w:tc>
          <w:tcPr>
            <w:tcW w:w="53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2006, Anexo 26, publicado en el Diario Oficial de la Federación el 7 de diciembre de 2006, con el número de criterio no vinculativo 3/ISR.</w:t>
            </w:r>
          </w:p>
        </w:tc>
      </w:tr>
    </w:tbl>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8/ISR/NV</w:t>
      </w:r>
      <w:r w:rsidRPr="00957B34">
        <w:rPr>
          <w:rFonts w:ascii="Verdana" w:eastAsia="Times New Roman" w:hAnsi="Verdana" w:cs="Times New Roman"/>
          <w:b/>
          <w:sz w:val="20"/>
          <w:szCs w:val="20"/>
          <w:lang w:val="es-ES" w:eastAsia="es-MX"/>
        </w:rPr>
        <w:tab/>
        <w:t>Instituciones del sistema financiero. Retención del ISR por intereses.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54, primer párrafo de la Ley del ISR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dispuesto en ella –es decir, sí se efectuará la retención a que se refiere el artículo 54, primer párrafo de la Ley del ISR–, tratándose de intereses que deriven de pasivos que no sean a cargo de las instituciones que componen el sistema financiero o las sociedades de inversión especializadas de fondos para el retiro, así como cuando estas actúen por cuenta de terceros.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La institución del sistema financiero que efectúe pagos por intereses y que no realice la retención a que se refiere el artículo 54, primer párrafo de la Ley del ISR, tratándose de los supuestos siguientes: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 Intereses que deriven de pasivos que no sean a cargo de las instituciones que componen el sistema financiero o de las sociedades de inversión especializadas de fondos para el retiro.</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b) Intereses que se paguen a las instituciones que componen el sistema financiero o a las sociedades de inversión especializadas de fondos para el retiro, cuando estas actúen por cuenta de terceros.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25"/>
        <w:gridCol w:w="5290"/>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1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2010</w:t>
            </w:r>
          </w:p>
        </w:tc>
        <w:tc>
          <w:tcPr>
            <w:tcW w:w="541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 de diciembre de 2010, Anexo 3, publicado en el Diario Oficial de la Federación el 7 de diciembre de 2010, con el número de criterio no vinculativo 21/ISR.</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9/ISR/NV</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Desincorporación de sociedades controladas.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Las sociedades controladoras que hubieran optado por considerar su resultado fiscal consolidado deben determinarlo conforme a lo dispuesto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las pérdidas fiscales consolidadas con las pérdidas fiscales de la sociedad controlada que se desincorpora.</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806"/>
        <w:gridCol w:w="5409"/>
      </w:tblGrid>
      <w:tr w:rsidR="00957B34" w:rsidRPr="00957B34" w:rsidTr="00957B34">
        <w:trPr>
          <w:cantSplit/>
          <w:trHeight w:val="20"/>
        </w:trPr>
        <w:tc>
          <w:tcPr>
            <w:tcW w:w="186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40"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40"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cantSplit/>
          <w:trHeight w:val="20"/>
        </w:trPr>
        <w:tc>
          <w:tcPr>
            <w:tcW w:w="186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2007</w:t>
            </w:r>
          </w:p>
        </w:tc>
        <w:tc>
          <w:tcPr>
            <w:tcW w:w="55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26 de octubre de 2007, Anexo 26, publicado en el Diario Oficial de la Federación el 2 de noviembre de 2007, con número de criterio no vinculativo 016/ISR.</w:t>
            </w:r>
          </w:p>
        </w:tc>
      </w:tr>
    </w:tbl>
    <w:p w:rsidR="00957B34" w:rsidRPr="00957B34" w:rsidRDefault="00957B34" w:rsidP="00957B34">
      <w:pPr>
        <w:spacing w:before="100" w:beforeAutospacing="1" w:after="100" w:line="24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10/ISR/NV</w:t>
      </w:r>
      <w:r w:rsidRPr="00957B34">
        <w:rPr>
          <w:rFonts w:ascii="Verdana" w:eastAsia="Times New Roman" w:hAnsi="Verdana" w:cs="Times New Roman"/>
          <w:b/>
          <w:sz w:val="20"/>
          <w:szCs w:val="20"/>
          <w:lang w:val="es-ES" w:eastAsia="es-MX"/>
        </w:rPr>
        <w:tab/>
        <w:t>Inversiones realizadas por organizaciones civiles y fideicomisos autorizados para recibir donativos deducibles. (Se deroga)</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El artículo 82, fracción IV de la Ley del ISR establece que las personas morales con fines no lucrativos autorizadas para recibir donativos deducibles, deberán destinar sus ingresos y activos exclusivamente a los fines propios de su objeto social, sin que puedan otorgar beneficios sobre el remanente distribuible a persona física alguna o a sus integrantes, salvo que se trate de personas morales o fideicomisos autorizados para recibir donativos deducibles.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strike/>
          <w:sz w:val="20"/>
          <w:szCs w:val="20"/>
          <w:lang w:val="es-ES" w:eastAsia="es-MX"/>
        </w:rPr>
        <w:t>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I. La constitución de otras personas morales.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II. 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Ley del Mercado de Valores.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III. 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IV. La adquisición de acciones emitidas por personas consideradas partes relacionadas en términos del artículo 179, quinto párrafo de la Ley del ISR, tanto residentes en México, como en el extranjero.</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No se considera una práctica fiscal indebida, el participar como socio, asociado o fideicomitente en organizaciones civiles o fideicomisos que cuenten con autorización para recibir donativos deducibles.</w:t>
      </w:r>
    </w:p>
    <w:tbl>
      <w:tblPr>
        <w:tblW w:w="7215" w:type="dxa"/>
        <w:tblInd w:w="1642" w:type="dxa"/>
        <w:tblLayout w:type="fixed"/>
        <w:tblCellMar>
          <w:left w:w="72" w:type="dxa"/>
          <w:right w:w="72" w:type="dxa"/>
        </w:tblCellMar>
        <w:tblLook w:val="04A0" w:firstRow="1" w:lastRow="0" w:firstColumn="1" w:lastColumn="0" w:noHBand="0" w:noVBand="1"/>
      </w:tblPr>
      <w:tblGrid>
        <w:gridCol w:w="1859"/>
        <w:gridCol w:w="5356"/>
      </w:tblGrid>
      <w:tr w:rsidR="00957B34" w:rsidRPr="00957B34" w:rsidTr="00957B34">
        <w:trPr>
          <w:trHeight w:val="20"/>
        </w:trPr>
        <w:tc>
          <w:tcPr>
            <w:tcW w:w="189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5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9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2013</w:t>
            </w:r>
          </w:p>
        </w:tc>
        <w:tc>
          <w:tcPr>
            <w:tcW w:w="545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28 de diciembre de 2012, Anexo 3, publicado en el Diario Oficial de la Federación el 31 de diciembre de 2012, con número de criterio no vinculativo 15/ISR.</w:t>
            </w:r>
          </w:p>
        </w:tc>
      </w:tr>
      <w:tr w:rsidR="00957B34" w:rsidRPr="00957B34" w:rsidTr="00957B34">
        <w:trPr>
          <w:trHeight w:val="20"/>
        </w:trPr>
        <w:tc>
          <w:tcPr>
            <w:tcW w:w="189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545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89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2016</w:t>
            </w:r>
          </w:p>
        </w:tc>
        <w:tc>
          <w:tcPr>
            <w:tcW w:w="545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6 de mayo de 2016, Anexo 3 publicado en el Diario oficial de la Federación el 9 de mayo de 2016.</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El criterio no vinculativo de la RMF para 2016, publicada en el Diario Oficial de la Federación el 23 de diciembre de 2015, Anexo 3, publicado en el Diario Oficial de la Federación el 12 de enero de 2016. Se deroga en virtud de que el contenido ha sido replicado en el artículo 138 del RLISR, publicado en el Diario Oficial de la Federación </w:t>
            </w:r>
            <w:r w:rsidRPr="00957B34">
              <w:rPr>
                <w:rFonts w:ascii="Verdana" w:eastAsia="Times New Roman" w:hAnsi="Verdana" w:cs="Arial"/>
                <w:sz w:val="20"/>
                <w:szCs w:val="20"/>
                <w:lang w:val="es-ES" w:eastAsia="es-MX"/>
              </w:rPr>
              <w:lastRenderedPageBreak/>
              <w:t>el 8 de octubre del 2015.</w:t>
            </w:r>
          </w:p>
        </w:tc>
      </w:tr>
    </w:tbl>
    <w:p w:rsidR="00957B34" w:rsidRPr="00957B34" w:rsidRDefault="00957B34" w:rsidP="00957B34">
      <w:pPr>
        <w:spacing w:before="100" w:beforeAutospacing="1" w:after="100" w:line="24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 </w:t>
      </w:r>
    </w:p>
    <w:p w:rsidR="00957B34" w:rsidRPr="00957B34" w:rsidRDefault="00957B34" w:rsidP="00957B34">
      <w:pPr>
        <w:spacing w:after="100" w:line="24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11/ISR/NV</w:t>
      </w:r>
      <w:r w:rsidRPr="00957B34">
        <w:rPr>
          <w:rFonts w:ascii="Verdana" w:eastAsia="Times New Roman" w:hAnsi="Verdana" w:cs="Times New Roman"/>
          <w:b/>
          <w:sz w:val="20"/>
          <w:szCs w:val="20"/>
          <w:lang w:val="es-ES" w:eastAsia="es-MX"/>
        </w:rPr>
        <w:tab/>
        <w:t>Rendimientos de bienes entregados en fideicomiso, que únicamente se destinen a financiar la educación.</w:t>
      </w:r>
    </w:p>
    <w:p w:rsidR="00957B34" w:rsidRPr="00957B34" w:rsidRDefault="00957B34" w:rsidP="00957B34">
      <w:pPr>
        <w:spacing w:after="100" w:line="24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90, primer párrafo de la Ley del ISR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ISR, o de cualquier otro tipo.</w:t>
      </w:r>
    </w:p>
    <w:p w:rsidR="00957B34" w:rsidRPr="00957B34" w:rsidRDefault="00957B34" w:rsidP="00957B34">
      <w:pPr>
        <w:spacing w:after="100" w:line="24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rsidR="00957B34" w:rsidRPr="00957B34" w:rsidRDefault="00957B34" w:rsidP="00957B34">
      <w:pPr>
        <w:spacing w:after="100" w:line="24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rsidR="00957B34" w:rsidRPr="00957B34" w:rsidRDefault="00957B34" w:rsidP="00957B34">
      <w:pPr>
        <w:spacing w:after="100" w:line="24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4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La persona física que no considere como ingresos por los que está obligada al pago del ISR, los rendimientos de bienes entregados en fideicomiso, que se destinen a financiar la educación de sus descendientes en línea recta, cuando la propiedad de dichos bienes haya sido transmitida a la fiduciaria por una persona distinta a la ascendiente en línea recta.</w:t>
      </w:r>
    </w:p>
    <w:p w:rsidR="00957B34" w:rsidRPr="00957B34" w:rsidRDefault="00957B34" w:rsidP="00957B34">
      <w:pPr>
        <w:spacing w:after="100" w:line="24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42"/>
        <w:gridCol w:w="5273"/>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4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2010</w:t>
            </w:r>
          </w:p>
        </w:tc>
        <w:tc>
          <w:tcPr>
            <w:tcW w:w="534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 de diciembre de 2010, Anexo 3, publicado en el Diario Oficial de la Federación el 7 de diciembre de 2010, con número de criterio no vinculativo 18/ISR.</w:t>
            </w:r>
          </w:p>
        </w:tc>
      </w:tr>
    </w:tbl>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12/ISR/NV</w:t>
      </w:r>
      <w:r w:rsidRPr="00957B34">
        <w:rPr>
          <w:rFonts w:ascii="Verdana" w:eastAsia="Times New Roman" w:hAnsi="Verdana" w:cs="Times New Roman"/>
          <w:b/>
          <w:sz w:val="20"/>
          <w:szCs w:val="20"/>
          <w:lang w:val="es-ES" w:eastAsia="es-MX"/>
        </w:rPr>
        <w:tab/>
        <w:t>Indemnizaciones por riesgos de trabajo o enfermedades.</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La Ley Federal del Trabajo en sus artículos 473, 474 y 475 señala, que se considera riesgo de trabajo a los accidentes y enfermedades a que están expuestos los trabajadores en ejercicio o con motivo del trabajo, </w:t>
      </w:r>
      <w:r w:rsidRPr="00957B34">
        <w:rPr>
          <w:rFonts w:ascii="Verdana" w:eastAsia="Times New Roman" w:hAnsi="Verdana" w:cs="Times New Roman"/>
          <w:sz w:val="20"/>
          <w:szCs w:val="20"/>
          <w:lang w:val="es-ES" w:eastAsia="es-MX"/>
        </w:rPr>
        <w:lastRenderedPageBreak/>
        <w:t>entendiendo como accidente de trabajo toda lesión orgánica o perturbación funcional, inmediata o posterior, o la muerte,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Las indemnizaciones por riesgos de trabajo que produzcan incapacidades en términos del artículo 477 de la citada Ley laboral, se pagarán directamente al trabajador, tomando como base para el cálculo de dicha indemnización el salario diario que percibía el trabajador al ocurrir el riesgo conforme a lo previsto en los artículos 483 y 484 de la misma Ley.</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 y entero correspondiente del ISR por quien los efectúa.</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Efectuar erogaciones como si se tratara de indemnizaciones por riesgos de trabajo o enfermedades sin contar con el citado certificado o constancia correspondiente, cuando las mismas realmente corresponden a ingresos por salarios y conceptos asimilados a estos o demás prestaciones que deriven de una relación laboral.</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Deducir para efectos del ISR, las erogaciones a que se refiere la fracción anterior sin contar con el citado certificado o constancia correspondiente y sin cumplir con la obligación de retener y enterar el ISR correspondiente.</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No considerar como ingresos por los que se está obligado al pago del ISR, los salarios y conceptos asimilados a estos o demás prestaciones derivadas de una relación laboral que se hayan cobrado como presuntas indemnizaciones por riesgos de trabajo o enfermedades sin contar con el citado certificado o constancia correspondiente.</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33"/>
        <w:gridCol w:w="528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Cuarta Resolución de Modificaciones a </w:t>
            </w:r>
            <w:r w:rsidRPr="00957B34">
              <w:rPr>
                <w:rFonts w:ascii="Verdana" w:eastAsia="Times New Roman" w:hAnsi="Verdana" w:cs="Arial"/>
                <w:sz w:val="20"/>
                <w:szCs w:val="20"/>
                <w:lang w:val="es-ES" w:eastAsia="es-MX"/>
              </w:rPr>
              <w:lastRenderedPageBreak/>
              <w:t>la RMF para 2012</w:t>
            </w:r>
          </w:p>
        </w:tc>
        <w:tc>
          <w:tcPr>
            <w:tcW w:w="53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 xml:space="preserve">Publicada en el Diario Oficial de la Federación el 12 de noviembre de 2012, Anexo 3, publicado en el Diario Oficial de la Federación el 14 de </w:t>
            </w:r>
            <w:r w:rsidRPr="00957B34">
              <w:rPr>
                <w:rFonts w:ascii="Verdana" w:eastAsia="Times New Roman" w:hAnsi="Verdana" w:cs="Arial"/>
                <w:sz w:val="20"/>
                <w:szCs w:val="20"/>
                <w:lang w:val="es-ES" w:eastAsia="es-MX"/>
              </w:rPr>
              <w:lastRenderedPageBreak/>
              <w:t>noviembre de 2012, con número de criterio no vinculativo 24/ISR.</w:t>
            </w:r>
          </w:p>
        </w:tc>
      </w:tr>
    </w:tbl>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13/ISR/NV</w:t>
      </w:r>
      <w:r w:rsidRPr="00957B34">
        <w:rPr>
          <w:rFonts w:ascii="Verdana" w:eastAsia="Times New Roman" w:hAnsi="Verdana" w:cs="Times New Roman"/>
          <w:b/>
          <w:sz w:val="20"/>
          <w:szCs w:val="20"/>
          <w:lang w:val="es-ES" w:eastAsia="es-MX"/>
        </w:rPr>
        <w:tab/>
        <w:t>Enajenación de certificados inmobiliarios.</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93, fracción XIX, inciso a) de la Ley del ISR, señala que no se pagará el ISR por la obtención de ingresos derivados de la enajenación de casa habitación del contribuyente.</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el artículo 9,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44"/>
        <w:gridCol w:w="5271"/>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3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Novena Resolución de Modificaciones a la RMF para 2006</w:t>
            </w:r>
          </w:p>
        </w:tc>
        <w:tc>
          <w:tcPr>
            <w:tcW w:w="533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2006, Anexo 26, publicado en el Diario Oficial de la Federación el 7 de diciembre de 2006, con número de criterio no vinculativo 11/ISR.</w:t>
            </w:r>
          </w:p>
        </w:tc>
      </w:tr>
    </w:tbl>
    <w:p w:rsidR="00957B34" w:rsidRPr="00957B34" w:rsidRDefault="00957B34" w:rsidP="00957B34">
      <w:pPr>
        <w:spacing w:before="100" w:beforeAutospacing="1" w:after="100" w:line="239"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14/ISR/NV</w:t>
      </w:r>
      <w:r w:rsidRPr="00957B34">
        <w:rPr>
          <w:rFonts w:ascii="Verdana" w:eastAsia="Times New Roman" w:hAnsi="Verdana" w:cs="Times New Roman"/>
          <w:b/>
          <w:sz w:val="20"/>
          <w:szCs w:val="20"/>
          <w:lang w:val="es-ES" w:eastAsia="es-MX"/>
        </w:rPr>
        <w:tab/>
        <w:t>Sociedades civiles universales. Ingresos en concepto de alimentos.</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93, fracción XXVI de la Ley del ISR establece que no se pagará el ISR por los ingresos percibidos en concepto de alimentos por las personas físicas que tengan el carácter de “acreedores alimentarios” en términos de la legislación civil aplicable.</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Invariablemente, para tener dicho carácter, la legislación civil requiere de otra persona física que tenga la calidad de “deudor alimentario” y de una relación jurídica entre este y el “acreedor alimentario”.</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una sociedad civil universal –tanto de todos los bienes presentes como de todas las ganancias– nunca puede tener el carácter de “deudor alimentario” ni una persona física el de “acreedor alimentario” de dicha sociedad.</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 intransigible.</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3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Quien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El socio de una sociedad civil universal que considere las cantidades recibidas de dicha sociedad, como ingresos por los que no está obligado al pago del ISR.</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cualquiera de las prácticas anteriores.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Este criterio también es aplicable a las sociedades en nombre colectivo o en comandita simple.</w:t>
      </w:r>
    </w:p>
    <w:tbl>
      <w:tblPr>
        <w:tblW w:w="7215" w:type="dxa"/>
        <w:tblInd w:w="1642" w:type="dxa"/>
        <w:tblLayout w:type="fixed"/>
        <w:tblCellMar>
          <w:left w:w="72" w:type="dxa"/>
          <w:right w:w="72" w:type="dxa"/>
        </w:tblCellMar>
        <w:tblLook w:val="04A0" w:firstRow="1" w:lastRow="0" w:firstColumn="1" w:lastColumn="0" w:noHBand="0" w:noVBand="1"/>
      </w:tblPr>
      <w:tblGrid>
        <w:gridCol w:w="1944"/>
        <w:gridCol w:w="5271"/>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3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2010</w:t>
            </w:r>
          </w:p>
        </w:tc>
        <w:tc>
          <w:tcPr>
            <w:tcW w:w="533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 de diciembre de 2010, Anexo 3, publicado en el Diario Oficial de la Federación el 7 de diciembre de 2010, con número de criterio no vinculativo 19/ISR.</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15/ISR/NV</w:t>
      </w:r>
      <w:r w:rsidRPr="00957B34">
        <w:rPr>
          <w:rFonts w:ascii="Verdana" w:eastAsia="Times New Roman" w:hAnsi="Verdana" w:cs="Times New Roman"/>
          <w:b/>
          <w:sz w:val="20"/>
          <w:szCs w:val="20"/>
          <w:lang w:val="es-ES" w:eastAsia="es-MX"/>
        </w:rPr>
        <w:tab/>
        <w:t>Aplicación de los artículos de los tratados para evitar la doble tributación que México tiene en vigor, relativos a la imposición sobre sucursales.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164, fracciones II y III de la Ley del ISR establece un gravamen al envío de utilidades en efectivo o en bienes que efectúen los establecimientos permanentes 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El residente en el extranjero que tenga un establecimiento permanente en el país, que aplique las disposiciones de cualquiera de los artículos a que se refieren los incisos siguientes, en relación con el </w:t>
      </w:r>
      <w:r w:rsidRPr="00957B34">
        <w:rPr>
          <w:rFonts w:ascii="Verdana" w:eastAsia="Times New Roman" w:hAnsi="Verdana" w:cs="Times New Roman"/>
          <w:sz w:val="20"/>
          <w:szCs w:val="20"/>
          <w:lang w:val="es-ES" w:eastAsia="es-MX"/>
        </w:rPr>
        <w:lastRenderedPageBreak/>
        <w:t>artículo 164, fracciones II y III, de la Ley del ISR, respecto de dicho establecimiento permanente:</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 Artículo 10, párrafo 6 del Convenio entre el Gobierno de los Estados Unidos Mexicanos y el Gobierno de Barbados para evitar la Doble Imposición y Prevenir la Evasión Fiscal en Materia de Impuestos sobre la Renta.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b) Artículo 10, párrafo 6 del Convenio entre el Gobierno de los Estados Unidos Mexicanos y el Gobierno de Canadá para Evitar la Doble Imposición y Prevenir la Evasión Fiscal en Materia de Impuestos sobre la Renta.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 Artículo 11-A del Convenio entre el Gobierno de los Estados Unidos Mexicanos y el Gobierno de los Estados Unidos de América para Evitar la Doble Imposición y Prevenir la Evasión Fiscal en Materia de Impuestos sobre la Renta.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 Artículo 10, párrafo 6 del Acuerdo entre el Gobierno de los Estados Unidos Mexicanos y el Gobierno de la República de Indonesia para Evitar la Doble Imposición y Prevenir la Evasión Fiscal en materia de Impuestos sobre la Renta.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 Artículo 7, apartado 8 del Convenio entre el Gobierno de los Estados Unidos Mexicanos y el Gobierno de la República de Panamá para Evitar la Doble Imposición y Prevenir la Evasión Fiscal en Materia de Impuestos sobre la Renta.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895"/>
        <w:gridCol w:w="5320"/>
      </w:tblGrid>
      <w:tr w:rsidR="00957B34" w:rsidRPr="00957B34" w:rsidTr="00957B34">
        <w:trPr>
          <w:trHeight w:val="20"/>
        </w:trPr>
        <w:tc>
          <w:tcPr>
            <w:tcW w:w="189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1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9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2012</w:t>
            </w:r>
          </w:p>
        </w:tc>
        <w:tc>
          <w:tcPr>
            <w:tcW w:w="531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7 de junio de 2012, Anexo 3, publicado en el Diario Oficial de la Federación el 14 de junio de 2012, con número de criterio no vinculativo 23/ISR.</w:t>
            </w:r>
          </w:p>
        </w:tc>
      </w:tr>
    </w:tbl>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16/ISR/NV</w:t>
      </w:r>
      <w:r w:rsidRPr="00957B34">
        <w:rPr>
          <w:rFonts w:ascii="Verdana" w:eastAsia="Times New Roman" w:hAnsi="Verdana" w:cs="Times New Roman"/>
          <w:b/>
          <w:sz w:val="20"/>
          <w:szCs w:val="20"/>
          <w:lang w:val="es-ES" w:eastAsia="es-MX"/>
        </w:rPr>
        <w:tab/>
        <w:t>Sociedades cooperativas. Salarios y previsión social</w:t>
      </w:r>
      <w:r w:rsidRPr="00957B34">
        <w:rPr>
          <w:rFonts w:ascii="Verdana" w:eastAsia="Times New Roman" w:hAnsi="Verdana" w:cs="Times New Roman"/>
          <w:sz w:val="20"/>
          <w:szCs w:val="20"/>
          <w:lang w:val="es-ES" w:eastAsia="es-MX"/>
        </w:rPr>
        <w:t>.</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Se considera que realiza una práctica fiscal indebida: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La sociedad cooperativa que deduzca las cantidades entregadas a sus socios cooperativistas, provenientes del Fondo de Previsión Social, así como el socio cooperativista que no considere dichas cantidades como ingresos por los que está obligado al pago del ISR.</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cualquiera de las prácticas anteriores.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Este criterio también es aplicable a las sociedades en nombre colectivo o en comandita simple.</w:t>
      </w:r>
    </w:p>
    <w:tbl>
      <w:tblPr>
        <w:tblW w:w="7215" w:type="dxa"/>
        <w:tblInd w:w="1642" w:type="dxa"/>
        <w:tblLayout w:type="fixed"/>
        <w:tblCellMar>
          <w:left w:w="72" w:type="dxa"/>
          <w:right w:w="72" w:type="dxa"/>
        </w:tblCellMar>
        <w:tblLook w:val="04A0" w:firstRow="1" w:lastRow="0" w:firstColumn="1" w:lastColumn="0" w:noHBand="0" w:noVBand="1"/>
      </w:tblPr>
      <w:tblGrid>
        <w:gridCol w:w="1866"/>
        <w:gridCol w:w="5349"/>
      </w:tblGrid>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41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Novena Resolución de Modificaciones a la RMF para 2006</w:t>
            </w:r>
          </w:p>
        </w:tc>
        <w:tc>
          <w:tcPr>
            <w:tcW w:w="541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2006, Anexo 26, publicado en el Diario Oficial de la Federación el 7 de diciembre de 2006, con número de criterio no vinculativo 05/ISR.</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17/ISR/NV</w:t>
      </w:r>
      <w:r w:rsidRPr="00957B34">
        <w:rPr>
          <w:rFonts w:ascii="Verdana" w:eastAsia="Times New Roman" w:hAnsi="Verdana" w:cs="Times New Roman"/>
          <w:b/>
          <w:sz w:val="20"/>
          <w:szCs w:val="20"/>
          <w:lang w:val="es-ES" w:eastAsia="es-MX"/>
        </w:rPr>
        <w:tab/>
        <w:t>Indebida deducción de pérdidas por la enajenación de la nuda propiedad de bienes otorgados en usufructo.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color w:val="000000"/>
          <w:sz w:val="20"/>
          <w:szCs w:val="20"/>
          <w:lang w:val="es-ES" w:eastAsia="es-MX"/>
        </w:rPr>
        <w:t>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En el mismo sentido, la doctrina en materia civil señala como atributos de la propiedad el uso y percibir los frutos del bien, los cuáles pueden ser sujetos de división y transmitirse a terceros donde generalmente el propietario se reserva la nuda propiedad.</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En materia fiscal, el artículo 14, fracción I y último párrafo del CFF, establece que se entiende por enajenación de bienes, toda transmisión de propiedad, aun cuando el enajenante se reserve el dominio del bien enajenado, considerando propietario al adquirente de los bienes.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En este sentido, los artículos 16 y 90 de la Ley del ISR,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Por su parte, el artículo 25, fracción V de la Ley del ISR,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dispuesto en el artículo 122 de dicha Ley.</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Por lo anterior, se considera una práctica fiscal indebida: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Determinar pérdidas fiscales en la enajenación de la nuda propiedad de bienes inmuebles considerando el costo comprobado de adquisición como si no hubiesen sido afectos de usufructo.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Determinar, declarar, registrar y/o deducir para efectos del ISR una supuesta pérdida fiscal, derivado de la práctica señalada en la fracción anterior.</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33"/>
        <w:gridCol w:w="528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2010</w:t>
            </w:r>
          </w:p>
        </w:tc>
        <w:tc>
          <w:tcPr>
            <w:tcW w:w="53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 de diciembre de 2010, Anexo 3, publicado en el Diario Oficial de la Federación el 7 de diciembre de 2010, con el número de criterio no vinculativo 20/ISR.</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18/ISR/NV</w:t>
      </w:r>
      <w:r w:rsidRPr="00957B34">
        <w:rPr>
          <w:rFonts w:ascii="Verdana" w:eastAsia="Times New Roman" w:hAnsi="Verdana" w:cs="Times New Roman"/>
          <w:b/>
          <w:sz w:val="20"/>
          <w:szCs w:val="20"/>
          <w:lang w:val="es-ES" w:eastAsia="es-MX"/>
        </w:rPr>
        <w:tab/>
        <w:t>Ganancias obtenidas por residentes en el extranjero en la enajenación de acciones inmobiliarias.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13 párrafos 1 y 2 del Convenio entre el Gobierno de los Estados Unidos Mexicanos y el Gobierno de los Estados Unidos de América para Evitar la Doble Imposición e Impedir la Evasión Fiscal en materia del ISR en vigor, posibilita que México pueda someter a imposición las ganancias de capital en diversos supuestos.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es una práctica fiscal indebida: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33"/>
        <w:gridCol w:w="528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2011</w:t>
            </w:r>
          </w:p>
        </w:tc>
        <w:tc>
          <w:tcPr>
            <w:tcW w:w="53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 de julio de 2011, Anexo 3, publicado en el Diario Oficial de la Federación el 5 de julio de 2011, con número de criterio no vinculativo 22/ISR.</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19/ISR/NV</w:t>
      </w:r>
      <w:r w:rsidRPr="00957B34">
        <w:rPr>
          <w:rFonts w:ascii="Verdana" w:eastAsia="Times New Roman" w:hAnsi="Verdana" w:cs="Times New Roman"/>
          <w:b/>
          <w:sz w:val="20"/>
          <w:szCs w:val="20"/>
          <w:lang w:val="es-ES" w:eastAsia="es-MX"/>
        </w:rPr>
        <w:tab/>
        <w:t>Deducción de inventarios congelados. (Se deroga)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 xml:space="preserve">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w:t>
      </w:r>
      <w:r w:rsidRPr="00957B34">
        <w:rPr>
          <w:rFonts w:ascii="Verdana" w:eastAsia="Times New Roman" w:hAnsi="Verdana" w:cs="Times New Roman"/>
          <w:strike/>
          <w:sz w:val="20"/>
          <w:szCs w:val="20"/>
          <w:lang w:val="es-ES" w:eastAsia="es-MX"/>
        </w:rPr>
        <w:lastRenderedPageBreak/>
        <w:t>del Artículo Sexto Transitorio del Decreto que Reforma, Adiciona y Deroga Diversas Disposiciones de la Ley del ISR, publicado en el DOF el 31 de diciembre de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7215" w:type="dxa"/>
        <w:tblInd w:w="1642" w:type="dxa"/>
        <w:tblLayout w:type="fixed"/>
        <w:tblCellMar>
          <w:left w:w="72" w:type="dxa"/>
          <w:right w:w="72" w:type="dxa"/>
        </w:tblCellMar>
        <w:tblLook w:val="04A0" w:firstRow="1" w:lastRow="0" w:firstColumn="1" w:lastColumn="0" w:noHBand="0" w:noVBand="1"/>
      </w:tblPr>
      <w:tblGrid>
        <w:gridCol w:w="1749"/>
        <w:gridCol w:w="5466"/>
      </w:tblGrid>
      <w:tr w:rsidR="00957B34" w:rsidRPr="00957B34" w:rsidTr="00957B34">
        <w:trPr>
          <w:trHeight w:val="20"/>
        </w:trPr>
        <w:tc>
          <w:tcPr>
            <w:tcW w:w="178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6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8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Décima Cuarta Resolución de Modificaciones a la RMF para 2006</w:t>
            </w:r>
          </w:p>
        </w:tc>
        <w:tc>
          <w:tcPr>
            <w:tcW w:w="556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28 de marzo de 2007, Anexo 26, publicado en la misma fecha de la Modificación, con número de criterio no vinculativo 14/ISR.</w:t>
            </w:r>
          </w:p>
        </w:tc>
      </w:tr>
      <w:tr w:rsidR="00957B34" w:rsidRPr="00957B34" w:rsidTr="00957B34">
        <w:trPr>
          <w:trHeight w:val="20"/>
        </w:trPr>
        <w:tc>
          <w:tcPr>
            <w:tcW w:w="178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556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78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2017</w:t>
            </w:r>
          </w:p>
        </w:tc>
        <w:tc>
          <w:tcPr>
            <w:tcW w:w="556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2016, Anexo 3 publicado en el Diario Oficial de la Federación el 27 de diciembre de 2016.</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957B34" w:rsidRPr="00957B34" w:rsidRDefault="00957B34" w:rsidP="00957B34">
      <w:pPr>
        <w:spacing w:before="100" w:beforeAutospacing="1" w:after="100" w:line="26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20/ISR/NV</w:t>
      </w:r>
      <w:r w:rsidRPr="00957B34">
        <w:rPr>
          <w:rFonts w:ascii="Verdana" w:eastAsia="Times New Roman" w:hAnsi="Verdana" w:cs="Times New Roman"/>
          <w:b/>
          <w:sz w:val="20"/>
          <w:szCs w:val="20"/>
          <w:lang w:val="es-ES" w:eastAsia="es-MX"/>
        </w:rPr>
        <w:tab/>
        <w:t>Inventarios Negativos. (Se deroga)</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Este mismo criterio será aplicable en el caso de disminuciones de inventarios en ejercicios posteriores.</w:t>
      </w:r>
    </w:p>
    <w:tbl>
      <w:tblPr>
        <w:tblW w:w="7215" w:type="dxa"/>
        <w:tblInd w:w="1642" w:type="dxa"/>
        <w:tblLayout w:type="fixed"/>
        <w:tblCellMar>
          <w:left w:w="72" w:type="dxa"/>
          <w:right w:w="72" w:type="dxa"/>
        </w:tblCellMar>
        <w:tblLook w:val="04A0" w:firstRow="1" w:lastRow="0" w:firstColumn="1" w:lastColumn="0" w:noHBand="0" w:noVBand="1"/>
      </w:tblPr>
      <w:tblGrid>
        <w:gridCol w:w="2003"/>
        <w:gridCol w:w="5212"/>
      </w:tblGrid>
      <w:tr w:rsidR="00957B34" w:rsidRPr="00957B34" w:rsidTr="00957B34">
        <w:trPr>
          <w:trHeight w:val="20"/>
        </w:trPr>
        <w:tc>
          <w:tcPr>
            <w:tcW w:w="20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5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Décima Cuarta </w:t>
            </w:r>
            <w:r w:rsidRPr="00957B34">
              <w:rPr>
                <w:rFonts w:ascii="Verdana" w:eastAsia="Times New Roman" w:hAnsi="Verdana" w:cs="Arial"/>
                <w:sz w:val="20"/>
                <w:szCs w:val="20"/>
                <w:lang w:val="es-ES" w:eastAsia="es-MX"/>
              </w:rPr>
              <w:lastRenderedPageBreak/>
              <w:t>Resolución de Modificaciones a la RMF para 2006</w:t>
            </w:r>
          </w:p>
        </w:tc>
        <w:tc>
          <w:tcPr>
            <w:tcW w:w="535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 xml:space="preserve">Publicada en el Diario Oficial de la Federación el </w:t>
            </w:r>
            <w:r w:rsidRPr="00957B34">
              <w:rPr>
                <w:rFonts w:ascii="Verdana" w:eastAsia="Times New Roman" w:hAnsi="Verdana" w:cs="Arial"/>
                <w:sz w:val="20"/>
                <w:szCs w:val="20"/>
                <w:lang w:val="es-ES" w:eastAsia="es-MX"/>
              </w:rPr>
              <w:lastRenderedPageBreak/>
              <w:t>28 de marzo de 2007, Anexo 26, publicado en la misma fecha de la Modificación, con número de criterio no vinculativo 15/ISR.</w:t>
            </w:r>
          </w:p>
        </w:tc>
      </w:tr>
      <w:tr w:rsidR="00957B34" w:rsidRPr="00957B34" w:rsidTr="00957B34">
        <w:trPr>
          <w:trHeight w:val="20"/>
        </w:trPr>
        <w:tc>
          <w:tcPr>
            <w:tcW w:w="20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 </w:t>
            </w:r>
          </w:p>
        </w:tc>
        <w:tc>
          <w:tcPr>
            <w:tcW w:w="535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20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2017</w:t>
            </w:r>
          </w:p>
        </w:tc>
        <w:tc>
          <w:tcPr>
            <w:tcW w:w="535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2016, Anexo 3 publicado en el Diario Oficial de la Federación el 27 de diciembre de 2016.</w:t>
            </w:r>
          </w:p>
        </w:tc>
      </w:tr>
      <w:tr w:rsidR="00957B34" w:rsidRPr="00957B34" w:rsidTr="00957B34">
        <w:trPr>
          <w:trHeight w:val="20"/>
        </w:trPr>
        <w:tc>
          <w:tcPr>
            <w:tcW w:w="7408"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4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957B34" w:rsidRPr="00957B34" w:rsidRDefault="00957B34" w:rsidP="00957B34">
      <w:pPr>
        <w:spacing w:after="100" w:line="23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21/ISR/NV</w:t>
      </w:r>
      <w:r w:rsidRPr="00957B34">
        <w:rPr>
          <w:rFonts w:ascii="Verdana" w:eastAsia="Times New Roman" w:hAnsi="Verdana" w:cs="Times New Roman"/>
          <w:b/>
          <w:sz w:val="20"/>
          <w:szCs w:val="20"/>
          <w:lang w:val="es-ES" w:eastAsia="es-MX"/>
        </w:rPr>
        <w:tab/>
        <w:t>Prestación gratuita de un servicio a organizaciones civiles y fideicomisos autorizados para recibir donativos deducibles. (Se deroga)</w:t>
      </w:r>
    </w:p>
    <w:p w:rsidR="00957B34" w:rsidRPr="00957B34" w:rsidRDefault="00957B34" w:rsidP="00957B34">
      <w:pPr>
        <w:spacing w:after="100" w:line="23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éstos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957B34" w:rsidRPr="00957B34" w:rsidRDefault="00957B34" w:rsidP="00957B34">
      <w:pPr>
        <w:spacing w:after="100" w:line="23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 xml:space="preserve">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w:t>
      </w:r>
      <w:r w:rsidRPr="00957B34">
        <w:rPr>
          <w:rFonts w:ascii="Verdana" w:eastAsia="Times New Roman" w:hAnsi="Verdana" w:cs="Times New Roman"/>
          <w:strike/>
          <w:sz w:val="20"/>
          <w:szCs w:val="20"/>
          <w:lang w:val="es-ES" w:eastAsia="es-MX"/>
        </w:rPr>
        <w:lastRenderedPageBreak/>
        <w:t>conformidad con lo establecido en la Ley Federal de Telecomunicaciones, entre otros.</w:t>
      </w:r>
    </w:p>
    <w:tbl>
      <w:tblPr>
        <w:tblW w:w="7215" w:type="dxa"/>
        <w:tblInd w:w="1642" w:type="dxa"/>
        <w:tblLayout w:type="fixed"/>
        <w:tblCellMar>
          <w:left w:w="72" w:type="dxa"/>
          <w:right w:w="72" w:type="dxa"/>
        </w:tblCellMar>
        <w:tblLook w:val="04A0" w:firstRow="1" w:lastRow="0" w:firstColumn="1" w:lastColumn="0" w:noHBand="0" w:noVBand="1"/>
      </w:tblPr>
      <w:tblGrid>
        <w:gridCol w:w="1844"/>
        <w:gridCol w:w="5371"/>
      </w:tblGrid>
      <w:tr w:rsidR="00957B34" w:rsidRPr="00957B34" w:rsidTr="00957B34">
        <w:trPr>
          <w:trHeight w:val="20"/>
        </w:trPr>
        <w:tc>
          <w:tcPr>
            <w:tcW w:w="187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7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7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2013</w:t>
            </w:r>
          </w:p>
        </w:tc>
        <w:tc>
          <w:tcPr>
            <w:tcW w:w="547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31 de mayo de 2013, Anexo 3, publicado en la misma fecha de la Modificación, con número de criterio no vinculativo 29/ISR.</w:t>
            </w:r>
          </w:p>
        </w:tc>
      </w:tr>
      <w:tr w:rsidR="00957B34" w:rsidRPr="00957B34" w:rsidTr="00957B34">
        <w:trPr>
          <w:trHeight w:val="20"/>
        </w:trPr>
        <w:tc>
          <w:tcPr>
            <w:tcW w:w="187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547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87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2017</w:t>
            </w:r>
          </w:p>
        </w:tc>
        <w:tc>
          <w:tcPr>
            <w:tcW w:w="547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2016, Anexo 3 publicado en el Diario Oficial de la Federación el 27 de diciembre de 2016.</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 deroga en virtud de que el contenido del criterio ha sido replicado en el artículo 130 del RLISR, publicado en el Diario Oficial de la Federación el 8 de octubre de 2015.</w:t>
            </w:r>
          </w:p>
        </w:tc>
      </w:tr>
    </w:tbl>
    <w:p w:rsidR="00957B34" w:rsidRPr="00957B34" w:rsidRDefault="00957B34" w:rsidP="00957B34">
      <w:pPr>
        <w:spacing w:before="100" w:beforeAutospacing="1" w:after="100" w:line="231"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22/ISR/NV</w:t>
      </w:r>
      <w:r w:rsidRPr="00957B34">
        <w:rPr>
          <w:rFonts w:ascii="Verdana" w:eastAsia="Times New Roman" w:hAnsi="Verdana" w:cs="Times New Roman"/>
          <w:b/>
          <w:sz w:val="20"/>
          <w:szCs w:val="20"/>
          <w:lang w:val="es-ES" w:eastAsia="es-MX"/>
        </w:rPr>
        <w:tab/>
        <w:t>Subcontratación. Retención de salarios.</w:t>
      </w:r>
    </w:p>
    <w:p w:rsidR="00957B34" w:rsidRPr="00957B34" w:rsidRDefault="00957B34" w:rsidP="00957B34">
      <w:pPr>
        <w:spacing w:after="100" w:line="23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Se considera que realiza una práctica fiscal indebida quien:</w:t>
      </w:r>
    </w:p>
    <w:p w:rsidR="00957B34" w:rsidRPr="00957B34" w:rsidRDefault="00957B34" w:rsidP="00957B34">
      <w:pPr>
        <w:spacing w:after="100" w:line="23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éstas le presten servicios idénticos, similares o análogos a los que sus trabajadores o prestadores de servicios le prestan o hayan prestado, y con ello omita el pago de alguna contribución u obtenga un beneficio indebido en perjuicio del fisco federal.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Derivado de la práctica señalada en la fracción anterior, se omita efectuar la retención del ISR a los trabajadores o prestadores de servicios sobre los que, de conformidad con lo dispuesto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Deduzca, para efectos del ISR, el comprobante fiscal que ampare la prestación de servicios que emite el intermediario laboral, sin cumplir con lo establecido en el artículo 27, fracción V de la Ley del ISR.</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sz w:val="20"/>
          <w:szCs w:val="20"/>
          <w:lang w:val="es-ES" w:eastAsia="es-MX"/>
        </w:rPr>
        <w:t xml:space="preserve"> Acredite, para efectos del IVA, el impuesto contenido en el comprobante fiscal que ampare la prestación de servicios que emite el intermediario, sin cumplir con lo establecido en los artículos 5 y 32 de la Ley del IVA.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V.</w:t>
      </w:r>
      <w:r w:rsidRPr="00957B34">
        <w:rPr>
          <w:rFonts w:ascii="Verdana" w:eastAsia="Times New Roman" w:hAnsi="Verdana" w:cs="Times New Roman"/>
          <w:sz w:val="20"/>
          <w:szCs w:val="20"/>
          <w:lang w:val="es-ES" w:eastAsia="es-MX"/>
        </w:rPr>
        <w:t xml:space="preserve"> Asesore, aconseje, preste servicios o participe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868"/>
        <w:gridCol w:w="5347"/>
      </w:tblGrid>
      <w:tr w:rsidR="00957B34" w:rsidRPr="00957B34" w:rsidTr="00957B34">
        <w:trPr>
          <w:trHeight w:val="20"/>
        </w:trPr>
        <w:tc>
          <w:tcPr>
            <w:tcW w:w="189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41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9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2013</w:t>
            </w:r>
          </w:p>
        </w:tc>
        <w:tc>
          <w:tcPr>
            <w:tcW w:w="541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14 de agosto de 2013, Anexo 3, publicado en la misma fecha de la Modificación, con número de criterio no vinculativo 31/ISR.</w:t>
            </w:r>
          </w:p>
        </w:tc>
      </w:tr>
    </w:tbl>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23/ISR/NV</w:t>
      </w:r>
      <w:r w:rsidRPr="00957B34">
        <w:rPr>
          <w:rFonts w:ascii="Verdana" w:eastAsia="Times New Roman" w:hAnsi="Verdana" w:cs="Times New Roman"/>
          <w:b/>
          <w:sz w:val="20"/>
          <w:szCs w:val="20"/>
          <w:lang w:val="es-ES" w:eastAsia="es-MX"/>
        </w:rPr>
        <w:tab/>
        <w:t>Simulación de constancias.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Se considera que realiza una práctica fiscal indebida quien:</w:t>
      </w:r>
    </w:p>
    <w:p w:rsidR="00957B34" w:rsidRPr="00957B34" w:rsidRDefault="00957B34" w:rsidP="00957B34">
      <w:pPr>
        <w:spacing w:after="100" w:line="24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Acredite, para efectos del ISR, una retención de ISR y no recabe del retenedor la documentación en donde conste la retención y entero correcto de dicho ISR.</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Asesore, aconseje, preste servicios o participe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56"/>
        <w:gridCol w:w="5259"/>
      </w:tblGrid>
      <w:tr w:rsidR="00957B34" w:rsidRPr="00957B34" w:rsidTr="00957B34">
        <w:trPr>
          <w:trHeight w:val="20"/>
        </w:trPr>
        <w:tc>
          <w:tcPr>
            <w:tcW w:w="198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2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2013</w:t>
            </w:r>
          </w:p>
        </w:tc>
        <w:tc>
          <w:tcPr>
            <w:tcW w:w="532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14 de agosto de 2013, Anexo 3, publicado en la misma fecha de la Modificación, con número de criterio no vinculativo 32/ISR.</w:t>
            </w:r>
          </w:p>
        </w:tc>
      </w:tr>
    </w:tbl>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24/ISR/NV</w:t>
      </w:r>
      <w:r w:rsidRPr="00957B34">
        <w:rPr>
          <w:rFonts w:ascii="Verdana" w:eastAsia="Times New Roman" w:hAnsi="Verdana" w:cs="Times New Roman"/>
          <w:b/>
          <w:sz w:val="20"/>
          <w:szCs w:val="20"/>
          <w:lang w:val="es-ES" w:eastAsia="es-MX"/>
        </w:rPr>
        <w:tab/>
        <w:t>Deducción de pagos a sindicatos.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artículos 27, fracción I y 147, fracción I de la Ley del ISR señalan que las deducciones autorizadas, deberán de cumplir entre otros requisitos, con el ser estrictamente indispensables para los fines de la actividad del contribuyente.</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r>
      <w:r w:rsidRPr="00957B34">
        <w:rPr>
          <w:rFonts w:ascii="Verdana" w:eastAsia="Times New Roman" w:hAnsi="Verdana" w:cs="Times New Roman"/>
          <w:sz w:val="20"/>
          <w:szCs w:val="20"/>
          <w:lang w:val="es-ES" w:eastAsia="es-MX"/>
        </w:rPr>
        <w:t>El artículo 5, fracción I de la Ley del IVA señala que para que sea acreditable el IVA, entre otros requisitos, deberán ser estrictamente indispensables las erogaciones efectuadas por el contribuyente y deducibles para los fines del ISR.</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w:t>
      </w:r>
      <w:r w:rsidRPr="00957B34">
        <w:rPr>
          <w:rFonts w:ascii="Verdana" w:eastAsia="Times New Roman" w:hAnsi="Verdana" w:cs="Times New Roman"/>
          <w:sz w:val="20"/>
          <w:szCs w:val="20"/>
          <w:lang w:val="es-ES" w:eastAsia="es-MX"/>
        </w:rPr>
        <w:lastRenderedPageBreak/>
        <w:t>acreditable, ya que estos no inciden en la realización de las actividades de los contribuyentes y en la consecuente obtención de ingresos, ni repercuten de manera alguna en la realización de sus actividades por no erogarlos.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de conformidad con lo dispuesto en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 posibilidad jurídica de recabar el comprobante fiscal respectivo por las aportaciones que entrega y, por ello, se incumple con el requisito a que se refieren los artículos 27, fracción III y 147, fracción IV de la Ley del ISR.</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r>
      <w:r w:rsidRPr="00957B34">
        <w:rPr>
          <w:rFonts w:ascii="Verdana" w:eastAsia="Times New Roman" w:hAnsi="Verdana" w:cs="Times New Roman"/>
          <w:sz w:val="20"/>
          <w:szCs w:val="20"/>
          <w:lang w:val="es-ES" w:eastAsia="es-MX"/>
        </w:rPr>
        <w:t>Por lo anterior, se considera una práctica fiscal indebida:</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Deducir para los efectos del ISR o acreditar el IVA, el pago realizado a los sindicatos para que estos cubran sus gastos o costos y el IVA trasladado.</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Se considera que también realizan una práctica fiscal indebida los sindicatos, a través de las cuales, se lleve a cabo la conducta a que se refiere el presente criterio.</w:t>
      </w:r>
    </w:p>
    <w:tbl>
      <w:tblPr>
        <w:tblW w:w="7215" w:type="dxa"/>
        <w:tblInd w:w="1642" w:type="dxa"/>
        <w:tblLayout w:type="fixed"/>
        <w:tblCellMar>
          <w:left w:w="72" w:type="dxa"/>
          <w:right w:w="72" w:type="dxa"/>
        </w:tblCellMar>
        <w:tblLook w:val="04A0" w:firstRow="1" w:lastRow="0" w:firstColumn="1" w:lastColumn="0" w:noHBand="0" w:noVBand="1"/>
      </w:tblPr>
      <w:tblGrid>
        <w:gridCol w:w="1940"/>
        <w:gridCol w:w="5275"/>
      </w:tblGrid>
      <w:tr w:rsidR="00957B34" w:rsidRPr="00957B34" w:rsidTr="00957B34">
        <w:trPr>
          <w:trHeight w:val="20"/>
        </w:trPr>
        <w:tc>
          <w:tcPr>
            <w:tcW w:w="198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1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2014</w:t>
            </w:r>
          </w:p>
        </w:tc>
        <w:tc>
          <w:tcPr>
            <w:tcW w:w="541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4 de julio de 2014, Anexo 3, publicado en el Diario Oficial de la Federación el 17 de julio de 2014; RMF 2016 publicada el 23 de diciembre de 2015, Anexo 3 publicado el 12 de enero de 2016.</w:t>
            </w:r>
          </w:p>
        </w:tc>
      </w:tr>
    </w:tbl>
    <w:p w:rsidR="00957B34" w:rsidRPr="00957B34" w:rsidRDefault="00957B34" w:rsidP="00957B34">
      <w:pPr>
        <w:spacing w:before="100" w:beforeAutospacing="1" w:after="100" w:line="24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25/ISR/NV</w:t>
      </w:r>
      <w:r w:rsidRPr="00957B34">
        <w:rPr>
          <w:rFonts w:ascii="Verdana" w:eastAsia="Times New Roman" w:hAnsi="Verdana" w:cs="Times New Roman"/>
          <w:b/>
          <w:sz w:val="20"/>
          <w:szCs w:val="20"/>
          <w:lang w:val="pt-BR" w:eastAsia="es-MX"/>
        </w:rPr>
        <w:tab/>
        <w:t xml:space="preserve">Gastos realizados por actividades comerciales contratadas a un Sindicato. </w:t>
      </w:r>
      <w:r w:rsidRPr="00957B34">
        <w:rPr>
          <w:rFonts w:ascii="Verdana" w:eastAsia="Times New Roman" w:hAnsi="Verdana" w:cs="Times New Roman"/>
          <w:b/>
          <w:sz w:val="20"/>
          <w:szCs w:val="20"/>
          <w:lang w:val="es-ES" w:eastAsia="es-MX"/>
        </w:rPr>
        <w:t>(Se deroga)</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strike/>
          <w:sz w:val="20"/>
          <w:szCs w:val="20"/>
          <w:lang w:val="es-ES" w:eastAsia="es-MX"/>
        </w:rPr>
        <w:t>El artículo 378 de la Ley Federal del Trabajo señala que los sindicatos tienen prohibido ejercer la profesión de comerciantes con ánimo de lucro.</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El artículo 3,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En ese sentido, los sindicatos, que cumplen sus obligaciones fiscales conforme al Título III de la Ley del ISR, no tienen la capacidad legal para ejercer el comercio.</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Por lo anterior, se considera una práctica fiscal indebida:</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b/>
          <w:strike/>
          <w:sz w:val="20"/>
          <w:szCs w:val="20"/>
          <w:lang w:val="es-ES" w:eastAsia="es-MX"/>
        </w:rPr>
        <w:t xml:space="preserve">I. </w:t>
      </w:r>
      <w:r w:rsidRPr="00957B34">
        <w:rPr>
          <w:rFonts w:ascii="Verdana" w:eastAsia="Times New Roman" w:hAnsi="Verdana" w:cs="Times New Roman"/>
          <w:strike/>
          <w:sz w:val="20"/>
          <w:szCs w:val="20"/>
          <w:lang w:val="es-ES" w:eastAsia="es-MX"/>
        </w:rPr>
        <w:t>Deducir para efectos del ISR, con el comprobante fiscal otorgado por un Sindicato, derivado de la contratación que le efectúen, producto de alguna actividad comercial que lleven a cabo.</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trike/>
          <w:sz w:val="20"/>
          <w:szCs w:val="20"/>
          <w:lang w:val="es-ES" w:eastAsia="es-MX"/>
        </w:rPr>
        <w:t>II.</w:t>
      </w:r>
      <w:r w:rsidRPr="00957B34">
        <w:rPr>
          <w:rFonts w:ascii="Verdana" w:eastAsia="Times New Roman" w:hAnsi="Verdana" w:cs="Times New Roman"/>
          <w:strike/>
          <w:sz w:val="20"/>
          <w:szCs w:val="20"/>
          <w:lang w:val="es-ES" w:eastAsia="es-MX"/>
        </w:rPr>
        <w:t xml:space="preserve"> Acreditar, para efectos del IVA, el impuesto contenido en el comprobante fiscal a que se refiere la fracción anterior.</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trike/>
          <w:sz w:val="20"/>
          <w:szCs w:val="20"/>
          <w:lang w:val="es-ES" w:eastAsia="es-MX"/>
        </w:rPr>
        <w:t>III.</w:t>
      </w:r>
      <w:r w:rsidRPr="00957B34">
        <w:rPr>
          <w:rFonts w:ascii="Verdana" w:eastAsia="Times New Roman" w:hAnsi="Verdana" w:cs="Times New Roman"/>
          <w:strike/>
          <w:sz w:val="20"/>
          <w:szCs w:val="20"/>
          <w:lang w:val="es-ES" w:eastAsia="es-MX"/>
        </w:rPr>
        <w:t xml:space="preserve"> Asesorar, aconsejar, prestar servicios o participar en la realización o la implementación de cualquiera de las prácticas anteriores.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Lo dispuesto en las fracciones anteriores, no resulta aplicable cuando el sindicato, por los actos de comercio que realice, cumpla con sus obligaciones fiscales en términos del artículo 80, sexto párrafo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2128"/>
        <w:gridCol w:w="5087"/>
      </w:tblGrid>
      <w:tr w:rsidR="00957B34" w:rsidRPr="00957B34" w:rsidTr="00957B34">
        <w:trPr>
          <w:trHeight w:val="20"/>
        </w:trPr>
        <w:tc>
          <w:tcPr>
            <w:tcW w:w="216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18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16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Quinta Resolución de Modificaciones a la RMF para 2014</w:t>
            </w:r>
          </w:p>
        </w:tc>
        <w:tc>
          <w:tcPr>
            <w:tcW w:w="518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16 de octubre de 2014, Anexo 3, publicado en el Diario Oficial de la Federación el 17 de octubre de 2014.</w:t>
            </w:r>
          </w:p>
        </w:tc>
      </w:tr>
      <w:tr w:rsidR="00957B34" w:rsidRPr="00957B34" w:rsidTr="00957B34">
        <w:trPr>
          <w:trHeight w:val="20"/>
        </w:trPr>
        <w:tc>
          <w:tcPr>
            <w:tcW w:w="216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 </w:t>
            </w:r>
          </w:p>
        </w:tc>
        <w:tc>
          <w:tcPr>
            <w:tcW w:w="518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216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2018</w:t>
            </w:r>
          </w:p>
        </w:tc>
        <w:tc>
          <w:tcPr>
            <w:tcW w:w="518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2018, Anexo 3, publicado en el Diario Oficial de la Federación el mismo 30 de noviembre de 2018.</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 deroga en virtud de que han cambiado las condiciones jurídicas y de hecho, para el que fue creado.</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26/ISR/NV</w:t>
      </w: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b/>
          <w:sz w:val="20"/>
          <w:szCs w:val="20"/>
          <w:lang w:val="es-ES" w:eastAsia="es-MX"/>
        </w:rPr>
        <w:t>Pérdidas por enajenación de acciones. Obligación de las sociedades controladoras de pagar el ISR que se hubiere diferido con motivo de su disminución en la determinación del resultado fiscal consolidado</w:t>
      </w:r>
      <w:r w:rsidRPr="00957B34">
        <w:rPr>
          <w:rFonts w:ascii="Verdana" w:eastAsia="Times New Roman" w:hAnsi="Verdana" w:cs="Times New Roman"/>
          <w:b/>
          <w:sz w:val="20"/>
          <w:szCs w:val="20"/>
          <w:lang w:val="pt-BR" w:eastAsia="es-MX"/>
        </w:rPr>
        <w:t>.</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sz w:val="20"/>
          <w:szCs w:val="20"/>
          <w:lang w:val="es-ES" w:eastAsia="es-MX"/>
        </w:rPr>
        <w:t>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w:t>
      </w:r>
      <w:r w:rsidRPr="00957B34">
        <w:rPr>
          <w:rFonts w:ascii="Verdana" w:eastAsia="Times New Roman" w:hAnsi="Verdana" w:cs="Times New Roman"/>
          <w:sz w:val="20"/>
          <w:szCs w:val="20"/>
          <w:lang w:val="es-ES" w:eastAsia="es-MX"/>
        </w:rPr>
        <w:lastRenderedPageBreak/>
        <w:t>tratamiento específico para las sociedades controladoras dentro del régimen de consolidación fiscal, para disminuir únicamente en forma consolidada las pérdidas por enajenación de acciones.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Toda vez que el tratamiento que se señala da pauta a un diferimiento del ISR causado a nivel individual respecto del impuesto pagado en la consolidación fiscal; cuando tenga lugar la desincorporación o desconsolidación de sociedades, el efecto de diferimiento debe revertirse.</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tanto el artículo 71 de la Ley del ISR vigente hasta el 31 de diciembre de 2013 como el Artículo Noveno de las Disposiciones Transitorias de la Ley 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1.</w:t>
      </w:r>
      <w:r w:rsidRPr="00957B34">
        <w:rPr>
          <w:rFonts w:ascii="Verdana" w:eastAsia="Times New Roman" w:hAnsi="Verdana" w:cs="Times New Roman"/>
          <w:sz w:val="20"/>
          <w:szCs w:val="20"/>
          <w:lang w:val="es-ES" w:eastAsia="es-MX"/>
        </w:rPr>
        <w:t xml:space="preserve"> Las mismas se hubieran restado para la determinación del resultado fiscal consolidado o pérdida fiscal consolidada del ejercicio en que se obtuvieron, y</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2.</w:t>
      </w:r>
      <w:r w:rsidRPr="00957B34">
        <w:rPr>
          <w:rFonts w:ascii="Verdana" w:eastAsia="Times New Roman" w:hAnsi="Verdana" w:cs="Times New Roman"/>
          <w:sz w:val="20"/>
          <w:szCs w:val="20"/>
          <w:lang w:val="es-ES" w:eastAsia="es-MX"/>
        </w:rPr>
        <w:t xml:space="preserve"> Estas no hubieran podido deducirse por la sociedad que las generó en los términos del artículo 32, fracción XVII de la Ley del ISR.</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Ahora bien, con el objeto de no duplicar el efecto fiscal de dichas pérdidas, el artículo 68 de la citada Ley, en su tercer párrafo dispuso que las sociedades controladoras no </w:t>
      </w:r>
      <w:proofErr w:type="gramStart"/>
      <w:r w:rsidRPr="00957B34">
        <w:rPr>
          <w:rFonts w:ascii="Verdana" w:eastAsia="Times New Roman" w:hAnsi="Verdana" w:cs="Times New Roman"/>
          <w:sz w:val="20"/>
          <w:szCs w:val="20"/>
          <w:lang w:val="es-ES" w:eastAsia="es-MX"/>
        </w:rPr>
        <w:t>podían</w:t>
      </w:r>
      <w:proofErr w:type="gramEnd"/>
      <w:r w:rsidRPr="00957B34">
        <w:rPr>
          <w:rFonts w:ascii="Verdana" w:eastAsia="Times New Roman" w:hAnsi="Verdana" w:cs="Times New Roman"/>
          <w:sz w:val="20"/>
          <w:szCs w:val="20"/>
          <w:lang w:val="es-ES" w:eastAsia="es-MX"/>
        </w:rPr>
        <w:t xml:space="preserve"> integrar dentro de su utilidad o pérdida fiscal individual las multicitadas pérdidas. Por lo que, en el registro a que se refiere el artículo 72, fracción I, inciso c) de la Ley del ISR, se llevará el control de la deducción que correspondería a la sociedad controladora de no haber consolidado fiscalmente.</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Cuando al darse alguno de los supuestos de entero del ISR diferido, las sociedades controladoras no reviertan las pérdidas por enajenación de acciones disminuidas en la determinación del resultado o pérdida fiscal consolidada de algún ejercicio anterior.</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831"/>
        <w:gridCol w:w="5384"/>
      </w:tblGrid>
      <w:tr w:rsidR="00957B34" w:rsidRPr="00957B34" w:rsidTr="00957B34">
        <w:trPr>
          <w:trHeight w:val="20"/>
        </w:trPr>
        <w:tc>
          <w:tcPr>
            <w:tcW w:w="186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8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6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Séptima Resolución de Modificaciones a la RMF para 2014</w:t>
            </w:r>
          </w:p>
        </w:tc>
        <w:tc>
          <w:tcPr>
            <w:tcW w:w="548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18 de diciembre de 2014, Anexo 3, publicado en el Diario Oficial de la Federación del 22 de diciembre de 2014.</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pt-BR"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lastRenderedPageBreak/>
        <w:t>27/ISR/NV</w:t>
      </w: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b/>
          <w:sz w:val="20"/>
          <w:szCs w:val="20"/>
          <w:lang w:val="es-ES" w:eastAsia="es-MX"/>
        </w:rPr>
        <w:t xml:space="preserve">Previsión social para efectos de </w:t>
      </w:r>
      <w:proofErr w:type="gramStart"/>
      <w:r w:rsidRPr="00957B34">
        <w:rPr>
          <w:rFonts w:ascii="Verdana" w:eastAsia="Times New Roman" w:hAnsi="Verdana" w:cs="Times New Roman"/>
          <w:b/>
          <w:sz w:val="20"/>
          <w:szCs w:val="20"/>
          <w:lang w:val="es-ES" w:eastAsia="es-MX"/>
        </w:rPr>
        <w:t>la</w:t>
      </w:r>
      <w:proofErr w:type="gramEnd"/>
      <w:r w:rsidRPr="00957B34">
        <w:rPr>
          <w:rFonts w:ascii="Verdana" w:eastAsia="Times New Roman" w:hAnsi="Verdana" w:cs="Times New Roman"/>
          <w:b/>
          <w:sz w:val="20"/>
          <w:szCs w:val="20"/>
          <w:lang w:val="es-ES" w:eastAsia="es-MX"/>
        </w:rPr>
        <w:t xml:space="preserve"> determinación del ISR. No puede otorgarse en efectivo o en otros medios equivalentes.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sz w:val="20"/>
          <w:szCs w:val="20"/>
          <w:lang w:val="es-ES" w:eastAsia="es-MX"/>
        </w:rPr>
        <w:t>El artículo 7, quinto párrafo de la Ley del ISR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sz w:val="20"/>
          <w:szCs w:val="20"/>
          <w:lang w:val="es-ES" w:eastAsia="es-MX"/>
        </w:rPr>
        <w:t>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la tesis de jurisprudencia 2a./J.39/97, la Segunda Sala de la Suprema Corte de Justicia de la Nación resolvió que los vales de despensa deben considerarse como gastos de previsión social, para efectos de su deducción en el ISR. Ahora bien el artículo 27, fracción XI de la Ley del ISR establece que, tratándose de vales de despensa otorgados a los trabajadores, serán deducibles siempre que su entrega se realice a través de los monederos electrónicos de vales de despensa que al efecto autorice el SAT.</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otros medios que sean equivalentes al efectivo, y por ende, no podrá ser considerado como un gasto deducible para el empleador y un ingreso exento del trabajador, pues su destino no está plenamente identificado.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Los contribuyentes que para los efectos del ISR consideren como gastos de previsión 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Quienes realicen los pagos en términos de la fracción anterior y no efectúen la retención y el entero del ISR correspondiente por los pagos realizados.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74"/>
        <w:gridCol w:w="5241"/>
      </w:tblGrid>
      <w:tr w:rsidR="00957B34" w:rsidRPr="00957B34" w:rsidTr="00957B34">
        <w:trPr>
          <w:trHeight w:val="20"/>
        </w:trPr>
        <w:tc>
          <w:tcPr>
            <w:tcW w:w="354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963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354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Séptima Resolución de Modificaciones a la RMF para 2014</w:t>
            </w:r>
          </w:p>
        </w:tc>
        <w:tc>
          <w:tcPr>
            <w:tcW w:w="963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18 de diciembre de 2014, Anexo 3, publicado en el Diario Oficial de la Federación el 22 de diciembre de 2014.</w:t>
            </w:r>
          </w:p>
        </w:tc>
      </w:tr>
    </w:tbl>
    <w:p w:rsidR="00957B34" w:rsidRPr="00957B34" w:rsidRDefault="00957B34" w:rsidP="00957B34">
      <w:pPr>
        <w:spacing w:before="100" w:beforeAutospacing="1" w:after="40"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28/ISR/NV</w:t>
      </w:r>
      <w:r w:rsidRPr="00957B34">
        <w:rPr>
          <w:rFonts w:ascii="Verdana" w:eastAsia="Times New Roman" w:hAnsi="Verdana" w:cs="Times New Roman"/>
          <w:b/>
          <w:sz w:val="20"/>
          <w:szCs w:val="20"/>
          <w:lang w:val="es-ES" w:eastAsia="es-MX"/>
        </w:rPr>
        <w:tab/>
        <w:t>Inversiones en automóviles. No son deducibles cuando correspondan a automóviles otorgados en comodato y que no son utilizados para la realización de las actividades propias del contribuyente</w:t>
      </w:r>
      <w:r w:rsidRPr="00957B34">
        <w:rPr>
          <w:rFonts w:ascii="Verdana" w:eastAsia="Times New Roman" w:hAnsi="Verdana" w:cs="Times New Roman"/>
          <w:sz w:val="20"/>
          <w:szCs w:val="20"/>
          <w:lang w:val="es-ES" w:eastAsia="es-MX"/>
        </w:rPr>
        <w:t>.</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ab/>
      </w:r>
      <w:r w:rsidRPr="00957B34">
        <w:rPr>
          <w:rFonts w:ascii="Verdana" w:eastAsia="Times New Roman" w:hAnsi="Verdana" w:cs="Times New Roman"/>
          <w:sz w:val="20"/>
          <w:szCs w:val="20"/>
          <w:lang w:val="es-ES" w:eastAsia="es-MX"/>
        </w:rPr>
        <w:t>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artículo 5,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contribuyente se vería obstaculizado, al grado tal que se impediría la realización de su objeto social.</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pt-BR" w:eastAsia="es-MX"/>
        </w:rPr>
        <w:tab/>
      </w:r>
      <w:r w:rsidRPr="00957B34">
        <w:rPr>
          <w:rFonts w:ascii="Verdana" w:eastAsia="Times New Roman" w:hAnsi="Verdana" w:cs="Times New Roman"/>
          <w:sz w:val="20"/>
          <w:szCs w:val="20"/>
          <w:lang w:val="es-ES" w:eastAsia="es-MX"/>
        </w:rPr>
        <w:t>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evidente, que en este supuesto el bien obtenido no es destinado a la actividad del adquirente; no se utiliza para alcanzar los fines de su actividad y esta no se ve obstaculizada sin su adquisición, ya que se transfiere su uso a un tercero.</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Por lo anterior, se considera una práctica fiscal indebida: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33"/>
        <w:gridCol w:w="528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Primera Resolución de Modificaciones a la RMF para 2015</w:t>
            </w:r>
          </w:p>
        </w:tc>
        <w:tc>
          <w:tcPr>
            <w:tcW w:w="53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 de marzo de 2015, Anexo 3, publicado en el Diario Oficial de la Federación el 6 de marzo de 2015.</w:t>
            </w:r>
          </w:p>
        </w:tc>
      </w:tr>
    </w:tbl>
    <w:p w:rsidR="00957B34" w:rsidRPr="00957B34" w:rsidRDefault="00957B34" w:rsidP="00957B34">
      <w:pPr>
        <w:spacing w:before="100" w:beforeAutospacing="1" w:after="100" w:line="24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29/ISR/NV</w:t>
      </w:r>
      <w:r w:rsidRPr="00957B34">
        <w:rPr>
          <w:rFonts w:ascii="Verdana" w:eastAsia="Times New Roman" w:hAnsi="Verdana" w:cs="Times New Roman"/>
          <w:b/>
          <w:sz w:val="20"/>
          <w:szCs w:val="20"/>
          <w:lang w:val="es-ES" w:eastAsia="es-MX"/>
        </w:rPr>
        <w:tab/>
        <w:t>Medios de pago en gastos médicos, dentales, por servicios en materia de psicología, nutrición u hospitalarios.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elevado al año, y se efectúen mediante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ese entendido, es necesario que los prestadores de servicios médicos, dentales, en materia de psicología, nutrición y hospitalarios, cuenten con los medios tecnológicos necesarios que permitan a sus clientes realizar el pago del servicio a través de transferencias </w:t>
      </w:r>
      <w:r w:rsidRPr="00957B34">
        <w:rPr>
          <w:rFonts w:ascii="Verdana" w:eastAsia="Times New Roman" w:hAnsi="Verdana" w:cs="Times New Roman"/>
          <w:sz w:val="20"/>
          <w:szCs w:val="20"/>
          <w:lang w:val="es-ES" w:eastAsia="es-MX"/>
        </w:rPr>
        <w:lastRenderedPageBreak/>
        <w:t>electrónicas de fondos, desde cuentas abiertas a nombre del contribuyente en instituciones que componen el sistema financiero y las entidades que para tal efecto autorice el Banco de México o mediante tarjeta de crédito, de débito, o de servicios.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880"/>
        <w:gridCol w:w="5335"/>
      </w:tblGrid>
      <w:tr w:rsidR="00957B34" w:rsidRPr="00957B34" w:rsidTr="00957B34">
        <w:trPr>
          <w:trHeight w:val="20"/>
        </w:trPr>
        <w:tc>
          <w:tcPr>
            <w:tcW w:w="190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0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0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2015</w:t>
            </w:r>
          </w:p>
        </w:tc>
        <w:tc>
          <w:tcPr>
            <w:tcW w:w="540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 de julio de 2015, Anexo 3, publicado en el Diario Oficial de la Federación el 10 de julio de 2015.</w:t>
            </w:r>
          </w:p>
        </w:tc>
      </w:tr>
    </w:tbl>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30/ISR/NV</w:t>
      </w:r>
      <w:r w:rsidRPr="00957B34">
        <w:rPr>
          <w:rFonts w:ascii="Verdana" w:eastAsia="Times New Roman" w:hAnsi="Verdana" w:cs="Times New Roman"/>
          <w:b/>
          <w:sz w:val="20"/>
          <w:szCs w:val="20"/>
          <w:lang w:val="es-ES" w:eastAsia="es-MX"/>
        </w:rPr>
        <w:tab/>
        <w:t>Entrega de donativos a instituciones de enseñanza cuando no son onerosos, ni remunerativos.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lo dispuesto por el artículo 151, primer párrafo, fracción III de la Ley del ISR, las personas físicas residentes en el país que obtengan ingresos de los señalados en el 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conforme al antepenúltimo párrafo de la fracción III del citado artículo 151, los donativos serán deducibles siempre que las instituciones de enseñanza sean 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de donaciones no onerosas ni remunerativas, conforme a las reglas generales que al efecto determine la Secretaría de Educación Pública, y dichas instituciones no hayan distribuido remanentes a sus socios o integrantes en los últimos cinco años.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 igual forma, el Reglamento de la Ley del ISR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w:t>
      </w:r>
      <w:r w:rsidRPr="00957B34">
        <w:rPr>
          <w:rFonts w:ascii="Verdana" w:eastAsia="Times New Roman" w:hAnsi="Verdana" w:cs="Times New Roman"/>
          <w:sz w:val="20"/>
          <w:szCs w:val="20"/>
          <w:lang w:val="es-ES" w:eastAsia="es-MX"/>
        </w:rPr>
        <w:lastRenderedPageBreak/>
        <w:t>presten u otorguen. Asimismo, no será deducible la donación de servicios.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Las personas autorizadas para recibir donativos deducibles del ISR, que utilicen los CFDI de donativos deducibles para amparar el pago de los servicios de enseñanza que preste.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Las personas físicas que deduzcan en su declaración anual del ISR, los donativos remunerativos que haya otorgado a personas autorizadas para recibir donativos deducibles del ISR.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07"/>
        <w:gridCol w:w="5308"/>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8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2015</w:t>
            </w:r>
          </w:p>
        </w:tc>
        <w:tc>
          <w:tcPr>
            <w:tcW w:w="548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 de julio de 2015, Anexo 3, publicado en el Diario Oficial de la Federación el 10 de julio de 2015.</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31/ISR/NV</w:t>
      </w:r>
      <w:r w:rsidRPr="00957B34">
        <w:rPr>
          <w:rFonts w:ascii="Verdana" w:eastAsia="Times New Roman" w:hAnsi="Verdana" w:cs="Times New Roman"/>
          <w:b/>
          <w:sz w:val="20"/>
          <w:szCs w:val="20"/>
          <w:lang w:val="es-ES" w:eastAsia="es-MX"/>
        </w:rPr>
        <w:tab/>
        <w:t>Costo de lo vendido. Tratándose de servicios derivados de contratos de obra inmueble, no son deducibles los costos correspondientes a ingresos no acumulados en el ejercicio.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29, fracción II de la Ley mencionada establece que los contribuyentes podrán deducir el costo de lo vendido.</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45-A, primer párrafo del citado ordenamiento, refiere que en todo caso, el costo se deducirá en el ejercicio en el que se acumulen los ingresos que se deriven de la enajenación de los bienes de que se trate.</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Conforme a las disposiciones citadas se considera que los prestadores de servicios derivados de contratos de obra inmueble, que hayan acumulado sus ingresos conforme a lo dispuesto en el artículo 19 antes citado, pudieron deducir en el ejercicio únicamente el costo correspondiente a dichos ingresos acumulables.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Este criterio es aplicable igualmente a las situaciones creadas al amparo de la Ley del ISR vigente, tomando en cuenta que el sentido de sus disposiciones es el mismo, tratándose de los contribuyentes que prestan servicios derivados de contratos de obra inmueble, de conformidad con lo dispuesto en sus artículos 17, 25, fracción II y 39.</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es una práctica fiscal indebida:</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Deducir en el ejercicio de que se trate, el costo de lo vendido que corresponda a los ingresos obtenidos por la prestación de servicios derivados de contratos de obra inmueble no acumulados en el ejercicio.</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873"/>
        <w:gridCol w:w="5342"/>
      </w:tblGrid>
      <w:tr w:rsidR="00957B34" w:rsidRPr="00957B34" w:rsidTr="00957B34">
        <w:trPr>
          <w:trHeight w:val="20"/>
        </w:trPr>
        <w:tc>
          <w:tcPr>
            <w:tcW w:w="187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3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7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2016</w:t>
            </w:r>
          </w:p>
        </w:tc>
        <w:tc>
          <w:tcPr>
            <w:tcW w:w="533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6 de mayo de 2016, Anexo 3 publicado en el Diario Oficial de la Federación el 9 de mayo de 2016.</w:t>
            </w:r>
          </w:p>
        </w:tc>
      </w:tr>
    </w:tbl>
    <w:p w:rsidR="00957B34" w:rsidRPr="00957B34" w:rsidRDefault="00957B34" w:rsidP="00957B34">
      <w:pPr>
        <w:spacing w:before="100" w:beforeAutospacing="1" w:after="100" w:line="22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32/ISR/NV</w:t>
      </w:r>
      <w:r w:rsidRPr="00957B34">
        <w:rPr>
          <w:rFonts w:ascii="Verdana" w:eastAsia="Times New Roman" w:hAnsi="Verdana" w:cs="Times New Roman"/>
          <w:b/>
          <w:sz w:val="20"/>
          <w:szCs w:val="20"/>
          <w:lang w:val="es-ES" w:eastAsia="es-MX"/>
        </w:rPr>
        <w:tab/>
        <w:t>Pago de sueldos, salarios o asimilados a estos a través de sindicatos o prestadoras de servicios de subcontratación laboral.</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356 de la Ley Federal del Trabajo señala que el sindicato es la asociación de trabajadores o patrones, constituida para el estudio, mejoramiento y defensa de sus respectivos intereses.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110, fracción VI, de la misma Ley, establece que se realizará el descuento en los salarios de los trabajadores por concepto de pago de las cuotas sindicales ordinarias previstas en los estatutos de los sindicatos.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artículo 79, fracción I, de la Ley del ISR vigente,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 y Arbitraje, en casos de competencia local, en términos del artículo 365 de la Ley Federal del Trabajo los sindicatos deben asociar a trabajadores con el objeto de estudiar, mejorar y defender sus intereses.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el artículo 28, fracción XXX, de la Ley del ISR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 parcial, no obstante que en ocasiones se trata de ingresos exentos parcialmente para el trabajador.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 xml:space="preserve">I. </w:t>
      </w:r>
      <w:r w:rsidRPr="00957B34">
        <w:rPr>
          <w:rFonts w:ascii="Verdana" w:eastAsia="Times New Roman" w:hAnsi="Verdana" w:cs="Times New Roman"/>
          <w:sz w:val="20"/>
          <w:szCs w:val="20"/>
          <w:lang w:val="es-ES" w:eastAsia="es-MX"/>
        </w:rPr>
        <w:t>No incluyan los conceptos señalados en el párrafo anterior en el comprobante fiscal de pago que deben expedir a los trabajadores, en términos del artículo 99, fracción III de la Ley del ISR.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No realicen la retención y entero a los trabajadores para efectos del ISR o lo hagan en una cantidad menor a la que legalmente corresponda los conceptos señalados en el párrafo anterior.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Deduzcan las erogaciones señaladas en el párrafo anterior por el monto expresado en el comprobante fiscal emitido por el sindicato o con base en el contrato colectivo de trabajo.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sz w:val="20"/>
          <w:szCs w:val="20"/>
          <w:lang w:val="es-ES" w:eastAsia="es-MX"/>
        </w:rPr>
        <w:t xml:space="preserve"> Deduzcan los pagos señalados en el párrafo anterior efectuados a los trabajadores, cuando se trate de ingresos exentos para estos en términos del artículo 28, fracción XXX, de la Ley del ISR.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7215" w:type="dxa"/>
        <w:tblInd w:w="1642" w:type="dxa"/>
        <w:tblLayout w:type="fixed"/>
        <w:tblCellMar>
          <w:left w:w="72" w:type="dxa"/>
          <w:right w:w="72" w:type="dxa"/>
        </w:tblCellMar>
        <w:tblLook w:val="04A0" w:firstRow="1" w:lastRow="0" w:firstColumn="1" w:lastColumn="0" w:noHBand="0" w:noVBand="1"/>
      </w:tblPr>
      <w:tblGrid>
        <w:gridCol w:w="1933"/>
        <w:gridCol w:w="528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2016</w:t>
            </w:r>
          </w:p>
        </w:tc>
        <w:tc>
          <w:tcPr>
            <w:tcW w:w="53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6 de mayo de 2016, Anexo 3 publicado en el Diario Oficial de la Federación el 9 de mayo de 2016.</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33/ISR/NV</w:t>
      </w:r>
      <w:r w:rsidRPr="00957B34">
        <w:rPr>
          <w:rFonts w:ascii="Verdana" w:eastAsia="Times New Roman" w:hAnsi="Verdana" w:cs="Times New Roman"/>
          <w:b/>
          <w:sz w:val="20"/>
          <w:szCs w:val="20"/>
          <w:lang w:val="es-ES" w:eastAsia="es-MX"/>
        </w:rPr>
        <w:tab/>
        <w:t>Deducción de bienes de activo fijo objeto de un contrato de arrendamiento financiero.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w:t>
      </w:r>
      <w:r w:rsidRPr="00957B34">
        <w:rPr>
          <w:rFonts w:ascii="Verdana" w:eastAsia="Times New Roman" w:hAnsi="Verdana" w:cs="Times New Roman"/>
          <w:sz w:val="20"/>
          <w:szCs w:val="20"/>
          <w:lang w:val="es-ES" w:eastAsia="es-MX"/>
        </w:rPr>
        <w:lastRenderedPageBreak/>
        <w:t>financieras y los demás accesorios y a adoptar al vencimiento del contrato alguna de las opciones terminales que establece la Ley General de Títulos y Operaciones de Crédito.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el artículo 17, fracción III de la Ley de ISR, establece que los contribuyentes que celebren contratos de arrendamiento financiero, pueden optar por considerar como ingreso del ejercicio la parte del precio que es exigible en el mismo.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se considera que realiza una práctica fiscal indebida: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w:t>
      </w:r>
      <w:r w:rsidRPr="00957B34">
        <w:rPr>
          <w:rFonts w:ascii="Verdana" w:eastAsia="Times New Roman" w:hAnsi="Verdana" w:cs="Times New Roman"/>
          <w:sz w:val="20"/>
          <w:szCs w:val="20"/>
          <w:lang w:val="es-ES" w:eastAsia="es-MX"/>
        </w:rPr>
        <w:t xml:space="preserve"> El arrendador financiero que efectúe en el ejercicio una deducción bajo un procedimiento distinto del señalado en el artículo 40 de la Ley de ISR; cuando respecto de los contratos relativos, hubiera ejercido la opción contenida en el artículo 17, fracción III de la Ley de ISR, consistente en acumular como ingreso del ejercicio sólo la parte del precio que es exigible en el mismo.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w:t>
      </w:r>
      <w:r w:rsidRPr="00957B34">
        <w:rPr>
          <w:rFonts w:ascii="Verdana" w:eastAsia="Times New Roman" w:hAnsi="Verdana" w:cs="Times New Roman"/>
          <w:sz w:val="20"/>
          <w:szCs w:val="20"/>
          <w:lang w:val="es-ES" w:eastAsia="es-MX"/>
        </w:rPr>
        <w:t xml:space="preserve"> Quien asesore, aconseje, preste servicios o participe en la realización o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2017</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18 de julio de 2017, Anexo 3, publicado en el Diario Oficial de la Federación el 21 de julio de 2017.</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34/ISR/NV</w:t>
      </w:r>
      <w:r w:rsidRPr="00957B34">
        <w:rPr>
          <w:rFonts w:ascii="Verdana" w:eastAsia="Times New Roman" w:hAnsi="Verdana" w:cs="Times New Roman"/>
          <w:b/>
          <w:sz w:val="20"/>
          <w:szCs w:val="20"/>
          <w:lang w:val="es-ES" w:eastAsia="es-MX"/>
        </w:rPr>
        <w:tab/>
        <w:t>Derechos federativos de los deportistas. Su adquisición constituye una inversión en la modalidad de gasto diferido.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25, fracción IV, de la Ley del ISR, establece que los contribuyentes podrán efectuar diversas deducciones, entre ellas, la de inversiones.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Los artículos 32, tercer párrafo y 33, fracción III, de la Ley del ISR señalan que se consideran inversiones los gastos diferidos, es decir, activos intangibles representados por bienes o derechos que permitan reducir costos de operación, mejorar la calidad o aceptación de un </w:t>
      </w:r>
      <w:r w:rsidRPr="00957B34">
        <w:rPr>
          <w:rFonts w:ascii="Verdana" w:eastAsia="Times New Roman" w:hAnsi="Verdana" w:cs="Times New Roman"/>
          <w:sz w:val="20"/>
          <w:szCs w:val="20"/>
          <w:lang w:val="es-ES" w:eastAsia="es-MX"/>
        </w:rPr>
        <w:lastRenderedPageBreak/>
        <w:t>producto, usar, disfrutar o explotar un bien, por un periodo limitado, y que su porcentaje máximo de deducción es de 15% anual.</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asociación deportiva o club deportivo de que se trate.</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w:t>
      </w:r>
      <w:r w:rsidRPr="00957B34">
        <w:rPr>
          <w:rFonts w:ascii="Verdana" w:eastAsia="Times New Roman" w:hAnsi="Verdana" w:cs="Times New Roman"/>
          <w:sz w:val="20"/>
          <w:szCs w:val="20"/>
          <w:lang w:val="es-ES" w:eastAsia="es-MX"/>
        </w:rPr>
        <w:t xml:space="preserve"> 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2017</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18 de julio de 2017, Anexo 3, publicado en el Diario Oficial de la Federación el 21 de julio de 2017.</w:t>
            </w:r>
          </w:p>
        </w:tc>
      </w:tr>
    </w:tbl>
    <w:p w:rsidR="00957B34" w:rsidRPr="00957B34" w:rsidRDefault="00957B34" w:rsidP="00957B34">
      <w:pPr>
        <w:spacing w:before="100" w:beforeAutospacing="1" w:after="100" w:line="24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35/ISR/NV</w:t>
      </w:r>
      <w:r w:rsidRPr="00957B34">
        <w:rPr>
          <w:rFonts w:ascii="Verdana" w:eastAsia="Times New Roman" w:hAnsi="Verdana" w:cs="Times New Roman"/>
          <w:b/>
          <w:sz w:val="20"/>
          <w:szCs w:val="20"/>
          <w:lang w:val="es-ES" w:eastAsia="es-MX"/>
        </w:rPr>
        <w:tab/>
        <w:t>Inversión de recursos retornados al país en acciones emitidas por personas morales residentes en México.</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 xml:space="preserve">El quinto y sexto párrafos del Considerando del “Decreto que otorga diversas facilidades administrativas en materia del impuesto sobre la </w:t>
      </w:r>
      <w:r w:rsidRPr="00957B34">
        <w:rPr>
          <w:rFonts w:ascii="Verdana" w:eastAsia="Times New Roman" w:hAnsi="Verdana" w:cs="Times New Roman"/>
          <w:color w:val="000000"/>
          <w:sz w:val="20"/>
          <w:szCs w:val="20"/>
          <w:lang w:val="es-ES" w:eastAsia="es-MX"/>
        </w:rPr>
        <w:lastRenderedPageBreak/>
        <w:t>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 xml:space="preserve">La regla 11.8.12. </w:t>
      </w:r>
      <w:proofErr w:type="gramStart"/>
      <w:r w:rsidRPr="00957B34">
        <w:rPr>
          <w:rFonts w:ascii="Verdana" w:eastAsia="Times New Roman" w:hAnsi="Verdana" w:cs="Times New Roman"/>
          <w:color w:val="000000"/>
          <w:sz w:val="20"/>
          <w:szCs w:val="20"/>
          <w:lang w:val="es-ES" w:eastAsia="es-MX"/>
        </w:rPr>
        <w:t>de</w:t>
      </w:r>
      <w:proofErr w:type="gramEnd"/>
      <w:r w:rsidRPr="00957B34">
        <w:rPr>
          <w:rFonts w:ascii="Verdana" w:eastAsia="Times New Roman" w:hAnsi="Verdana" w:cs="Times New Roman"/>
          <w:color w:val="000000"/>
          <w:sz w:val="20"/>
          <w:szCs w:val="20"/>
          <w:lang w:val="es-ES" w:eastAsia="es-MX"/>
        </w:rPr>
        <w:t xml:space="preserve"> la RMF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 xml:space="preserve">Por su parte, la regla 11.8.14. </w:t>
      </w:r>
      <w:proofErr w:type="gramStart"/>
      <w:r w:rsidRPr="00957B34">
        <w:rPr>
          <w:rFonts w:ascii="Verdana" w:eastAsia="Times New Roman" w:hAnsi="Verdana" w:cs="Times New Roman"/>
          <w:color w:val="000000"/>
          <w:sz w:val="20"/>
          <w:szCs w:val="20"/>
          <w:lang w:val="es-ES" w:eastAsia="es-MX"/>
        </w:rPr>
        <w:t>de</w:t>
      </w:r>
      <w:proofErr w:type="gramEnd"/>
      <w:r w:rsidRPr="00957B34">
        <w:rPr>
          <w:rFonts w:ascii="Verdana" w:eastAsia="Times New Roman" w:hAnsi="Verdana" w:cs="Times New Roman"/>
          <w:color w:val="000000"/>
          <w:sz w:val="20"/>
          <w:szCs w:val="20"/>
          <w:lang w:val="es-ES" w:eastAsia="es-MX"/>
        </w:rPr>
        <w:t xml:space="preserv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rsidR="00957B34" w:rsidRPr="00957B34" w:rsidRDefault="00957B34" w:rsidP="00957B34">
      <w:pPr>
        <w:spacing w:after="100" w:line="24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color w:val="000000"/>
          <w:sz w:val="20"/>
          <w:szCs w:val="20"/>
          <w:lang w:val="es-ES" w:eastAsia="es-MX"/>
        </w:rPr>
        <w:tab/>
        <w:t>I.</w:t>
      </w:r>
      <w:r w:rsidRPr="00957B34">
        <w:rPr>
          <w:rFonts w:ascii="Verdana" w:eastAsia="Times New Roman" w:hAnsi="Verdana" w:cs="Times New Roman"/>
          <w:color w:val="000000"/>
          <w:sz w:val="20"/>
          <w:szCs w:val="20"/>
          <w:lang w:val="es-ES" w:eastAsia="es-MX"/>
        </w:rPr>
        <w:t xml:space="preserve"> 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w:t>
      </w:r>
      <w:r w:rsidRPr="00957B34">
        <w:rPr>
          <w:rFonts w:ascii="Verdana" w:eastAsia="Times New Roman" w:hAnsi="Verdana" w:cs="Times New Roman"/>
          <w:color w:val="000000"/>
          <w:sz w:val="20"/>
          <w:szCs w:val="20"/>
          <w:lang w:val="es-ES" w:eastAsia="es-MX"/>
        </w:rPr>
        <w:lastRenderedPageBreak/>
        <w:t>los recursos recibidos por la persona moral, como consecuencia de la aplicación del Decreto, no se destinen a la realización de sus inversiones en el país sino que se inviertan en el extranjero por la persona moral que los recibió y siempre que:</w:t>
      </w:r>
    </w:p>
    <w:p w:rsidR="00957B34" w:rsidRPr="00957B34" w:rsidRDefault="00957B34" w:rsidP="00957B34">
      <w:pPr>
        <w:spacing w:after="100" w:line="252"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1)</w:t>
      </w:r>
      <w:r w:rsidRPr="00957B34">
        <w:rPr>
          <w:rFonts w:ascii="Verdana" w:eastAsia="Times New Roman" w:hAnsi="Verdana" w:cs="Times New Roman"/>
          <w:color w:val="000000"/>
          <w:sz w:val="20"/>
          <w:szCs w:val="20"/>
          <w:lang w:val="es-ES" w:eastAsia="es-MX"/>
        </w:rPr>
        <w:tab/>
        <w:t>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rsidR="00957B34" w:rsidRPr="00957B34" w:rsidRDefault="00957B34" w:rsidP="00957B34">
      <w:pPr>
        <w:spacing w:after="100" w:line="252"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w:t>
      </w:r>
      <w:r w:rsidRPr="00957B34">
        <w:rPr>
          <w:rFonts w:ascii="Verdana" w:eastAsia="Times New Roman" w:hAnsi="Verdana" w:cs="Times New Roman"/>
          <w:color w:val="000000"/>
          <w:sz w:val="20"/>
          <w:szCs w:val="20"/>
          <w:lang w:val="es-ES" w:eastAsia="es-MX"/>
        </w:rPr>
        <w:t>)</w:t>
      </w:r>
      <w:r w:rsidRPr="00957B34">
        <w:rPr>
          <w:rFonts w:ascii="Verdana" w:eastAsia="Times New Roman" w:hAnsi="Verdana" w:cs="Times New Roman"/>
          <w:color w:val="000000"/>
          <w:sz w:val="20"/>
          <w:szCs w:val="20"/>
          <w:lang w:val="es-ES" w:eastAsia="es-MX"/>
        </w:rPr>
        <w:tab/>
        <w:t>Los recursos que se hubieran invertido en el extranjero por la persona moral que los recibió como consecuencia de la aplicación del Decreto sean retornados al país con posterioridad al 19 de octubre de 2017.</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color w:val="000000"/>
          <w:sz w:val="20"/>
          <w:szCs w:val="20"/>
          <w:lang w:val="es-ES" w:eastAsia="es-MX"/>
        </w:rPr>
        <w:tab/>
        <w:t xml:space="preserve">II. </w:t>
      </w:r>
      <w:r w:rsidRPr="00957B34">
        <w:rPr>
          <w:rFonts w:ascii="Verdana" w:eastAsia="Times New Roman" w:hAnsi="Verdana" w:cs="Times New Roman"/>
          <w:color w:val="000000"/>
          <w:sz w:val="20"/>
          <w:szCs w:val="20"/>
          <w:lang w:val="es-ES" w:eastAsia="es-MX"/>
        </w:rPr>
        <w:t>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2055"/>
        <w:gridCol w:w="5160"/>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2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2017</w:t>
            </w:r>
          </w:p>
        </w:tc>
        <w:tc>
          <w:tcPr>
            <w:tcW w:w="522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21 de septiembre de 2017, Anexo 3, publicado en el Diario Oficial de la Federación en la misma fecha.</w:t>
            </w:r>
          </w:p>
        </w:tc>
      </w:tr>
    </w:tbl>
    <w:p w:rsidR="00957B34" w:rsidRPr="00957B34" w:rsidRDefault="00957B34" w:rsidP="00957B34">
      <w:pPr>
        <w:spacing w:before="100" w:beforeAutospacing="1" w:after="100" w:line="25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36/ISR/NV</w:t>
      </w:r>
      <w:r w:rsidRPr="00957B34">
        <w:rPr>
          <w:rFonts w:ascii="Verdana" w:eastAsia="Times New Roman" w:hAnsi="Verdana" w:cs="Times New Roman"/>
          <w:b/>
          <w:sz w:val="20"/>
          <w:szCs w:val="20"/>
          <w:lang w:val="es-ES" w:eastAsia="es-MX"/>
        </w:rPr>
        <w:tab/>
        <w:t>Ingresos obtenidos por residentes en el extranjero, por arrendamiento o fletamento de embarcaciones o artefactos navales a casco desnudo, con fuente de riqueza en territorio nacional.</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penúltimo párrafo del citado artículo señala que las personas que deban hacer pagos por el concepto referido, están obligadas a efectuar la retención que corresponda.</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15-B, primer párrafo del CFF señala que se considerarán regalías, entre otros, los pagos de cualquier clase por el uso o goce temporal de equipos industriales, comerciales o científicos.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w:t>
      </w:r>
      <w:r w:rsidRPr="00957B34">
        <w:rPr>
          <w:rFonts w:ascii="Verdana" w:eastAsia="Times New Roman" w:hAnsi="Verdana" w:cs="Times New Roman"/>
          <w:sz w:val="20"/>
          <w:szCs w:val="20"/>
          <w:lang w:val="es-ES" w:eastAsia="es-MX"/>
        </w:rPr>
        <w:lastRenderedPageBreak/>
        <w:t>artículo 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w:t>
      </w:r>
      <w:r w:rsidRPr="00957B34">
        <w:rPr>
          <w:rFonts w:ascii="Verdana" w:eastAsia="Times New Roman" w:hAnsi="Verdana" w:cs="Times New Roman"/>
          <w:sz w:val="20"/>
          <w:szCs w:val="20"/>
          <w:lang w:val="es-ES" w:eastAsia="es-MX"/>
        </w:rPr>
        <w:t xml:space="preserve"> 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en el país.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w:t>
      </w:r>
      <w:r w:rsidRPr="00957B34">
        <w:rPr>
          <w:rFonts w:ascii="Verdana" w:eastAsia="Times New Roman" w:hAnsi="Verdana" w:cs="Times New Roman"/>
          <w:sz w:val="20"/>
          <w:szCs w:val="20"/>
          <w:lang w:val="es-ES" w:eastAsia="es-MX"/>
        </w:rPr>
        <w:t xml:space="preserve"> 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nacional, o cuando el pago respectivo sea realizado por un residente en territorio nacional o un residente en el extranjero con establecimiento permanente en el país.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2017</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10 de octubre de 2017, Anexo 3, publicado en el Diario Oficial de la Federación el 12 de octubre de 2017.</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37/ISR/NV</w:t>
      </w:r>
      <w:r w:rsidRPr="00957B34">
        <w:rPr>
          <w:rFonts w:ascii="Verdana" w:eastAsia="Times New Roman" w:hAnsi="Verdana" w:cs="Times New Roman"/>
          <w:b/>
          <w:sz w:val="20"/>
          <w:szCs w:val="20"/>
          <w:lang w:val="es-ES" w:eastAsia="es-MX"/>
        </w:rPr>
        <w:tab/>
        <w:t>Asociaciones Deportivas.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Acorde con lo anterior, el artículo 79, fracción XXVI de la Ley del ISR, señala que las Asociaciones deportivas reconocidas por la CONADE, que sean miembros del Sistema Nacional del Deporte, no se consideran contribuyentes para efectos del ISR.</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Asimismo, el artículo 86, primer párrafo, de la Ley del ISR, dispone que las referidas personas morales </w:t>
      </w:r>
      <w:proofErr w:type="gramStart"/>
      <w:r w:rsidRPr="00957B34">
        <w:rPr>
          <w:rFonts w:ascii="Verdana" w:eastAsia="Times New Roman" w:hAnsi="Verdana" w:cs="Times New Roman"/>
          <w:sz w:val="20"/>
          <w:szCs w:val="20"/>
          <w:lang w:val="es-ES" w:eastAsia="es-MX"/>
        </w:rPr>
        <w:t>tienen</w:t>
      </w:r>
      <w:proofErr w:type="gramEnd"/>
      <w:r w:rsidRPr="00957B34">
        <w:rPr>
          <w:rFonts w:ascii="Verdana" w:eastAsia="Times New Roman" w:hAnsi="Verdana" w:cs="Times New Roman"/>
          <w:sz w:val="20"/>
          <w:szCs w:val="20"/>
          <w:lang w:val="es-ES" w:eastAsia="es-MX"/>
        </w:rPr>
        <w:t xml:space="preserve"> obligaciones establecidas en otros artículos de la citada Ley.</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artículo 3,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w:t>
      </w:r>
      <w:r w:rsidRPr="00957B34">
        <w:rPr>
          <w:rFonts w:ascii="Verdana" w:eastAsia="Times New Roman" w:hAnsi="Verdana" w:cs="Times New Roman"/>
          <w:sz w:val="20"/>
          <w:szCs w:val="20"/>
          <w:lang w:val="es-ES" w:eastAsia="es-MX"/>
        </w:rPr>
        <w:t xml:space="preserve"> 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2055"/>
        <w:gridCol w:w="5160"/>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2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2018</w:t>
            </w:r>
          </w:p>
        </w:tc>
        <w:tc>
          <w:tcPr>
            <w:tcW w:w="522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22 de diciembre de 2017, Anexo 3, publicado en el Diario Oficial de la Federación el 29 de diciembre de 2017.</w:t>
            </w:r>
          </w:p>
        </w:tc>
      </w:tr>
    </w:tbl>
    <w:p w:rsidR="00957B34" w:rsidRPr="00957B34" w:rsidRDefault="00957B34" w:rsidP="00957B34">
      <w:pPr>
        <w:spacing w:before="100" w:beforeAutospacing="1" w:after="100" w:line="23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 </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38/ISR/NV</w:t>
      </w:r>
      <w:r w:rsidRPr="00957B34">
        <w:rPr>
          <w:rFonts w:ascii="Verdana" w:eastAsia="Times New Roman" w:hAnsi="Verdana" w:cs="Times New Roman"/>
          <w:b/>
          <w:sz w:val="20"/>
          <w:szCs w:val="20"/>
          <w:lang w:val="es-ES" w:eastAsia="es-MX"/>
        </w:rPr>
        <w:tab/>
        <w:t>Determinación del costo de lo vendido para contribuyentes que realicen actividades comerciales que consistan en la adquisición y enajenación de mercancías.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39, primer párrafo de la Ley del ISR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el segundo párrafo del artículo en comento establece que los contribuyentes que realicen actividades comerciales que consistan en la adquisición y enajenación de mercancías, considerarán únicamente dentro del costo lo siguiente:</w:t>
      </w:r>
    </w:p>
    <w:p w:rsidR="00957B34" w:rsidRPr="00957B34" w:rsidRDefault="00957B34" w:rsidP="00957B34">
      <w:pPr>
        <w:spacing w:after="100" w:line="23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w:t>
      </w:r>
      <w:r w:rsidRPr="00957B34">
        <w:rPr>
          <w:rFonts w:ascii="Verdana" w:eastAsia="Times New Roman" w:hAnsi="Verdana" w:cs="Times New Roman"/>
          <w:sz w:val="20"/>
          <w:szCs w:val="20"/>
          <w:lang w:val="es-ES" w:eastAsia="es-MX"/>
        </w:rPr>
        <w:tab/>
        <w:t>El importe de las adquisiciones de mercancías, disminuidas con el monto de las devoluciones, descuentos y bonificaciones, sobre las mismas, efectuados en el ejercicio.</w:t>
      </w:r>
    </w:p>
    <w:p w:rsidR="00957B34" w:rsidRPr="00957B34" w:rsidRDefault="00957B34" w:rsidP="00957B34">
      <w:pPr>
        <w:spacing w:after="100" w:line="23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b)</w:t>
      </w:r>
      <w:r w:rsidRPr="00957B34">
        <w:rPr>
          <w:rFonts w:ascii="Verdana" w:eastAsia="Times New Roman" w:hAnsi="Verdana" w:cs="Times New Roman"/>
          <w:sz w:val="20"/>
          <w:szCs w:val="20"/>
          <w:lang w:val="es-ES" w:eastAsia="es-MX"/>
        </w:rPr>
        <w:tab/>
        <w:t>Los gastos incurridos para adquirir y dejar las mercancías en condiciones de ser enajenadas.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Adicionalmente, el artículo 80 del Reglamento de la Ley del ISR,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ISR, correspondan a dicha actividad.</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para determinar el costo de lo vendido del ejercicio, es necesario que al importe de la mercancía adquirida en ejercicios anteriores que se enajena en el ejercicio, se adicionen los conceptos a los que se refiere el artículo 39, segundo párrafo de la Ley del ISR y se disminuya el importe de la mercancía no enajenada en el mismo ejercicio, de conformidad con lo dispuesto en el quinto párrafo del artículo 39 en comento.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no determinar el costo de lo vendido en los términos antes señalados y deducir las mercancías en el ejercicio en que se adquieren hayan o no sido enajenadas, haría nugatorias las disposiciones fiscales aplicables a la deducción del costo de lo vendido.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 una práctica fiscal indebida: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w:t>
      </w:r>
      <w:r w:rsidRPr="00957B34">
        <w:rPr>
          <w:rFonts w:ascii="Verdana" w:eastAsia="Times New Roman" w:hAnsi="Verdana" w:cs="Times New Roman"/>
          <w:sz w:val="20"/>
          <w:szCs w:val="20"/>
          <w:lang w:val="es-ES" w:eastAsia="es-MX"/>
        </w:rPr>
        <w:t xml:space="preserve"> El contribuyente que realice actividades comerciales que consistan en la adquisición y enajenación de mercancías, que al determinar el </w:t>
      </w:r>
      <w:r w:rsidRPr="00957B34">
        <w:rPr>
          <w:rFonts w:ascii="Verdana" w:eastAsia="Times New Roman" w:hAnsi="Verdana" w:cs="Times New Roman"/>
          <w:sz w:val="20"/>
          <w:szCs w:val="20"/>
          <w:lang w:val="es-ES" w:eastAsia="es-MX"/>
        </w:rPr>
        <w:lastRenderedPageBreak/>
        <w:t>costo de lo vendido de dichas mercancías, no considere el importe de los inventarios inicial y final de las mercancías de cada ejercicio.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w:t>
      </w:r>
      <w:r w:rsidRPr="00957B34">
        <w:rPr>
          <w:rFonts w:ascii="Verdana" w:eastAsia="Times New Roman" w:hAnsi="Verdana" w:cs="Times New Roman"/>
          <w:sz w:val="20"/>
          <w:szCs w:val="20"/>
          <w:lang w:val="es-ES" w:eastAsia="es-MX"/>
        </w:rPr>
        <w:t xml:space="preserve"> El contribuyente que realice actividades comerciales que consistan en la adquisición y enajenación de mercancías y deduzca parcial o totalmente el costo de aquellas mercancías que no hayan sido enajenadas en el ejercicio de que se trate.</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III.</w:t>
      </w:r>
      <w:r w:rsidRPr="00957B34">
        <w:rPr>
          <w:rFonts w:ascii="Verdana" w:eastAsia="Times New Roman" w:hAnsi="Verdana" w:cs="Times New Roman"/>
          <w:sz w:val="20"/>
          <w:szCs w:val="20"/>
          <w:lang w:val="es-ES" w:eastAsia="es-MX"/>
        </w:rPr>
        <w:t xml:space="preserve"> Quien asesore, aconseje, preste servicios o participe en la realización o implementación de la práctica anterior. </w:t>
      </w:r>
    </w:p>
    <w:tbl>
      <w:tblPr>
        <w:tblW w:w="7215" w:type="dxa"/>
        <w:tblInd w:w="1642" w:type="dxa"/>
        <w:tblLayout w:type="fixed"/>
        <w:tblCellMar>
          <w:left w:w="72" w:type="dxa"/>
          <w:right w:w="72" w:type="dxa"/>
        </w:tblCellMar>
        <w:tblLook w:val="04A0" w:firstRow="1" w:lastRow="0" w:firstColumn="1" w:lastColumn="0" w:noHBand="0" w:noVBand="1"/>
      </w:tblPr>
      <w:tblGrid>
        <w:gridCol w:w="2083"/>
        <w:gridCol w:w="5132"/>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1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2018</w:t>
            </w:r>
          </w:p>
        </w:tc>
        <w:tc>
          <w:tcPr>
            <w:tcW w:w="51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19 de octubre de 2018, Anexo 3, publicado en el Diario Oficial de la Federación el mismo 19 de octubre de 2018.</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39/ISR/NV</w:t>
      </w:r>
      <w:r w:rsidRPr="00957B34">
        <w:rPr>
          <w:rFonts w:ascii="Verdana" w:eastAsia="Times New Roman" w:hAnsi="Verdana" w:cs="Times New Roman"/>
          <w:b/>
          <w:sz w:val="20"/>
          <w:szCs w:val="20"/>
          <w:lang w:val="es-ES" w:eastAsia="es-MX"/>
        </w:rPr>
        <w:tab/>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76, primer párrafo, fracciones IX y XII; 76-A, fracción II y último párrafo; 90, penúltimo párrafo; 110, fracción XI y 179, primer párrafo de la Ley del lSR señalan que tratándose de contribuyentes que celebren operaciones con partes relacionadas, éstos deberán determinar sus ingresos acumulables y deducciones autorizadas, considerando para esas operaciones los precios y montos de contraprestaciones que hubieran utilizado con o entre partes independientes en operaciones comparables.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 métodos estadísticos.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Por su parte, el tercer párrafo del artículo 179 de la Ley de ISR señala que las operaciones o las empresas son comparables, cuando no existan diferencias entre éstas que afecten significativamente el precio o monto de la contraprestación o el margen de utilidad a que hacen referencia los métodos establecidos en el artículo 180 de la Ley del ISR y cuando existan dichas diferencias, éstas se eliminen mediante ajustes razonables; y que para determinar dichas diferencias, se tomarán en cuenta, las funciones o actividades, incluyendo los activos utilizados y riesgos asumidos en las operaciones de cada una de las partes </w:t>
      </w:r>
      <w:r w:rsidRPr="00957B34">
        <w:rPr>
          <w:rFonts w:ascii="Verdana" w:eastAsia="Times New Roman" w:hAnsi="Verdana" w:cs="Times New Roman"/>
          <w:sz w:val="20"/>
          <w:szCs w:val="20"/>
          <w:lang w:val="es-ES" w:eastAsia="es-MX"/>
        </w:rPr>
        <w:lastRenderedPageBreak/>
        <w:t>involucradas en la operación, entre otros elementos señalados en las fracciones del mencionado tercer párrafo del artículo 179.</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en el último párrafo del artículo 179, se establece que para la interpretación de lo dispuesto en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protección y/o explotación de intangibles.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o monto de la contraprestación o el margen de utilidad a que hacen referencia los citados métodos, al provenir de contribuciones únicas y valiosas, por lo que sería técnicamente incorrecto considerar a las referidas operaciones o empresas como comparables.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virtud de lo anterior, para dar simetría a la comparación de las operaciones, los contribuyentes deben considerar sus contribuciones únicas y valiosas, así como las de las empresas con las que se comparan.</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consideran prácticas fiscales indebidas en que incurren los contribuyentes: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 xml:space="preserve">I. </w:t>
      </w:r>
      <w:r w:rsidRPr="00957B34">
        <w:rPr>
          <w:rFonts w:ascii="Verdana" w:eastAsia="Times New Roman" w:hAnsi="Verdana" w:cs="Times New Roman"/>
          <w:sz w:val="20"/>
          <w:szCs w:val="20"/>
          <w:lang w:val="es-ES" w:eastAsia="es-MX"/>
        </w:rPr>
        <w:t>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y montos de contraprestaciones que hubieran utilizado con o entre partes independientes en operaciones comparables.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 xml:space="preserve">II. </w:t>
      </w:r>
      <w:r w:rsidRPr="00957B34">
        <w:rPr>
          <w:rFonts w:ascii="Verdana" w:eastAsia="Times New Roman" w:hAnsi="Verdana" w:cs="Times New Roman"/>
          <w:sz w:val="20"/>
          <w:szCs w:val="20"/>
          <w:lang w:val="es-ES" w:eastAsia="es-MX"/>
        </w:rPr>
        <w:t>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2018</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2018, Anexo 3, publicado en el Diario Oficial de la Federación el mismo 30 de noviembre de 2018.</w:t>
            </w:r>
          </w:p>
        </w:tc>
      </w:tr>
    </w:tbl>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40/ISR/NV</w:t>
      </w:r>
      <w:r w:rsidRPr="00957B34">
        <w:rPr>
          <w:rFonts w:ascii="Verdana" w:eastAsia="Times New Roman" w:hAnsi="Verdana" w:cs="Times New Roman"/>
          <w:b/>
          <w:sz w:val="20"/>
          <w:szCs w:val="20"/>
          <w:lang w:val="es-ES" w:eastAsia="es-MX"/>
        </w:rPr>
        <w:tab/>
        <w:t>Modificaciones al valor de las operaciones con partes relacionadas dentro del rango intercuartil.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el artículo 180, fracciones I a la VI de la Ley del ISR, se establecen los métodos para determinar los precios por operaciones con partes relacionadas.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 métodos estadísticos y que si el precio, monto de la contraprestación o 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artículo 302 del Reglamento de la Ley del ISR indica que para efectos del artículo 180, segundo párrafo de la Ley del ISR, el rango de precios, de montos de contraprestaciones o de márgenes de utilidad, se podrá ajustar mediante la aplicación del método intercuartil y también señala que si los precios, montos de contraprestación o margen de utilidad del contribuyente se encuentran entre el límite inferior y superior a que se refiere este método, se considerarán como pactados o utilizados entre partes independientes.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intercuartil correspondiente a operaciones comparables, realizando el ajuste a la mediana de dicho rango; por lo que no es procedente modificar dichos precios, montos de contraprestaciones o márgenes de utilidad, cuando éstos ya se encuentren dentro del rango ajustado con el método intercuartil correspondiente a operaciones comparables, ya que dicha modificación no tiene por finalidad dar cumplimiento a las disposiciones fiscales aplicables, sino obtener un beneficio indebido al aumentar deducciones o disminuir ingresos del contribuyente residente en territorio nacional.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 lo anterior, se desprende que no existe fundamento legal para llevar a cabo alguna modificación adicional a los precios, montos de las contraprestaciones o márgenes de utilidad, cuando se encuentren dentro del rango ajustado obtenido con el método intercuartil, es decir, </w:t>
      </w:r>
      <w:r w:rsidRPr="00957B34">
        <w:rPr>
          <w:rFonts w:ascii="Verdana" w:eastAsia="Times New Roman" w:hAnsi="Verdana" w:cs="Times New Roman"/>
          <w:sz w:val="20"/>
          <w:szCs w:val="20"/>
          <w:lang w:val="es-ES" w:eastAsia="es-MX"/>
        </w:rPr>
        <w:lastRenderedPageBreak/>
        <w:t>dentro del límite inferior y superior a que se refiere el método antes señalado.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contraparte, el ajuste a los precios de transferencia a que se refiere la regla 3.9.1.1., únicamente es aplicable cuando los precios, montos de contraprestaciones o márgenes de utilidad ya ajustados mediante la aplicación de un método estadístico, se encuentren fuera del rango a que se refiere el artículo 180, segundo párrafo de la Ley del ISR o, lo que es lo mismo, fuera del límite inferior y superior a que se refiere el método intercuantil, establecido en el artículo 302 del Reglamento de la Ley del ISR.</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CFF o de acuerdos entre autoridades competentes bajo el marco de los tratados internacionales aplicables, es decir, en términos de resoluciones particulares.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 para los contribuyentes: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 xml:space="preserve">I. </w:t>
      </w:r>
      <w:r w:rsidRPr="00957B34">
        <w:rPr>
          <w:rFonts w:ascii="Verdana" w:eastAsia="Times New Roman" w:hAnsi="Verdana" w:cs="Times New Roman"/>
          <w:sz w:val="20"/>
          <w:szCs w:val="20"/>
          <w:lang w:val="es-ES" w:eastAsia="es-MX"/>
        </w:rPr>
        <w:t>Realizar cualquier modificación a los precios, montos de contraprestaciones o márgenes de utilidad correspondientes a las operaciones celebradas por el contribuyente con partes relacionadas, cuando éstos ya se encuentran dentro del rango ajustado con el método intercuartil correspondiente a operaciones comparables, es decir, cuando se encuentren entre el límite inferior y superior del rango referido, ya que dicha modificación no tiene por finalidad dar cumplimiento a las disposiciones fiscales aplicables, sino obtener un beneficio indebido al aumentar deducciones o disminuir ingresos del contribuyente.</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2057"/>
        <w:gridCol w:w="5158"/>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2018</w:t>
            </w:r>
          </w:p>
        </w:tc>
        <w:tc>
          <w:tcPr>
            <w:tcW w:w="52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2018, Anexo 3, publicado en el Diario Oficial de la Federación el mismo 30 de noviembre de 2018.</w:t>
            </w:r>
          </w:p>
        </w:tc>
      </w:tr>
    </w:tbl>
    <w:p w:rsidR="00957B34" w:rsidRPr="00957B34" w:rsidRDefault="00957B34" w:rsidP="00957B34">
      <w:pPr>
        <w:spacing w:before="100" w:beforeAutospacing="1" w:after="100" w:line="225"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line="225"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 Criterios de la Ley del IVA</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pt-BR" w:eastAsia="es-MX"/>
        </w:rPr>
        <w:t>1/IVA/NV</w:t>
      </w:r>
      <w:r w:rsidRPr="00957B34">
        <w:rPr>
          <w:rFonts w:ascii="Verdana" w:eastAsia="Times New Roman" w:hAnsi="Verdana" w:cs="Times New Roman"/>
          <w:b/>
          <w:sz w:val="20"/>
          <w:szCs w:val="20"/>
          <w:lang w:val="es-ES" w:eastAsia="es-MX"/>
        </w:rPr>
        <w:tab/>
        <w:t xml:space="preserve">Alimentos preparados para su consumo en </w:t>
      </w:r>
      <w:proofErr w:type="gramStart"/>
      <w:r w:rsidRPr="00957B34">
        <w:rPr>
          <w:rFonts w:ascii="Verdana" w:eastAsia="Times New Roman" w:hAnsi="Verdana" w:cs="Times New Roman"/>
          <w:b/>
          <w:sz w:val="20"/>
          <w:szCs w:val="20"/>
          <w:lang w:val="es-ES" w:eastAsia="es-MX"/>
        </w:rPr>
        <w:t>el</w:t>
      </w:r>
      <w:proofErr w:type="gramEnd"/>
      <w:r w:rsidRPr="00957B34">
        <w:rPr>
          <w:rFonts w:ascii="Verdana" w:eastAsia="Times New Roman" w:hAnsi="Verdana" w:cs="Times New Roman"/>
          <w:b/>
          <w:sz w:val="20"/>
          <w:szCs w:val="20"/>
          <w:lang w:val="es-ES" w:eastAsia="es-MX"/>
        </w:rPr>
        <w:t xml:space="preserve"> lugar de su enajenación por las denominadas tiendas de conveniencia.</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2-A, fracción I, inciso b) de la Ley del IVA establece que el impuesto se calculará aplicando la tasa del 0% a la enajenación de productos destinados a la alimentación.</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No obstante, el último párrafo de la fracción I de dicho artículo dispone que se aplicará la tasa del 16% a la enajenación de alimentos preparados para su consumo en el lugar o establecimiento en que se enajenen, inclusive cuando no cuenten con instalaciones para ser </w:t>
      </w:r>
      <w:r w:rsidRPr="00957B34">
        <w:rPr>
          <w:rFonts w:ascii="Verdana" w:eastAsia="Times New Roman" w:hAnsi="Verdana" w:cs="Times New Roman"/>
          <w:sz w:val="20"/>
          <w:szCs w:val="20"/>
          <w:lang w:val="es-ES" w:eastAsia="es-MX"/>
        </w:rPr>
        <w:lastRenderedPageBreak/>
        <w:t>consumidos en los mismos, cuando sean para llevar o para entrega a domicilio.</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Las tiendas denominadas “de conveniencia” que calculen el gravamen a la tasa del 0%, por las enajenaciones que realizan de los alimentos preparados para su consumo, a que se refiere el tercer párrafo de este criterio.</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736"/>
        <w:gridCol w:w="5479"/>
      </w:tblGrid>
      <w:tr w:rsidR="00957B34" w:rsidRPr="00957B34" w:rsidTr="00957B34">
        <w:trPr>
          <w:trHeight w:val="20"/>
        </w:trPr>
        <w:tc>
          <w:tcPr>
            <w:tcW w:w="17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2008</w:t>
            </w:r>
          </w:p>
        </w:tc>
        <w:tc>
          <w:tcPr>
            <w:tcW w:w="55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26 de diciembre de 2008, Anexo 26, publicado en la misma fecha de la Modificación, con número de criterio no vinculativo 2/IVA.</w:t>
            </w:r>
          </w:p>
        </w:tc>
      </w:tr>
    </w:tbl>
    <w:p w:rsidR="00957B34" w:rsidRPr="00957B34" w:rsidRDefault="00957B34" w:rsidP="00957B34">
      <w:pPr>
        <w:spacing w:before="100" w:beforeAutospacing="1" w:after="100" w:line="22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2/IVA/NV</w:t>
      </w:r>
      <w:r w:rsidRPr="00957B34">
        <w:rPr>
          <w:rFonts w:ascii="Verdana" w:eastAsia="Times New Roman" w:hAnsi="Verdana" w:cs="Times New Roman"/>
          <w:b/>
          <w:sz w:val="20"/>
          <w:szCs w:val="20"/>
          <w:lang w:val="es-ES" w:eastAsia="es-MX"/>
        </w:rPr>
        <w:tab/>
        <w:t>Alimentos preparados.</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rsidR="00957B34" w:rsidRPr="00957B34" w:rsidRDefault="00957B34" w:rsidP="00957B34">
      <w:pPr>
        <w:spacing w:after="100" w:line="22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Por lo anterior, se considera que realizan una práctica fiscal indebida: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Los establecimientos a que se refiere el tercer párrafo de este criterio que no calculen el gravamen a la tasa general por las enajenaciones que realizan de los alimentos antes señalados.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44"/>
        <w:gridCol w:w="5271"/>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3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Primera Resolución de Modificaciones a la RMF para 2009</w:t>
            </w:r>
          </w:p>
        </w:tc>
        <w:tc>
          <w:tcPr>
            <w:tcW w:w="533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7 de agosto de 2009, Anexo 3, publicado en el Diario Oficial de la Federación el 11 de agosto de 2009, con número de criterio no vinculativo 3/IVA.</w:t>
            </w:r>
          </w:p>
        </w:tc>
      </w:tr>
    </w:tbl>
    <w:p w:rsidR="00957B34" w:rsidRPr="00957B34" w:rsidRDefault="00957B34" w:rsidP="00957B34">
      <w:pPr>
        <w:spacing w:before="100" w:beforeAutospacing="1" w:after="100" w:line="23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3/IVA/NV</w:t>
      </w:r>
      <w:r w:rsidRPr="00957B34">
        <w:rPr>
          <w:rFonts w:ascii="Verdana" w:eastAsia="Times New Roman" w:hAnsi="Verdana" w:cs="Times New Roman"/>
          <w:b/>
          <w:sz w:val="20"/>
          <w:szCs w:val="20"/>
          <w:lang w:val="es-ES" w:eastAsia="es-MX"/>
        </w:rPr>
        <w:tab/>
        <w:t>Servicio de itinerancia internacional o global.</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No obstante, el servicio de itinerancia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Los operadores de telefonía celular que apliquen el artículo 29, fracción IV de la Ley del IVA y calculen el gravamen a la tasa del 0% al servicio de itinerancia internacional o global.</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28"/>
        <w:gridCol w:w="5287"/>
      </w:tblGrid>
      <w:tr w:rsidR="00957B34" w:rsidRPr="00957B34" w:rsidTr="00957B34">
        <w:trPr>
          <w:trHeight w:val="20"/>
        </w:trPr>
        <w:tc>
          <w:tcPr>
            <w:tcW w:w="195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5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5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Décima Cuarta Resolución de Modificaciones a la RMF para 2006</w:t>
            </w:r>
          </w:p>
        </w:tc>
        <w:tc>
          <w:tcPr>
            <w:tcW w:w="535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28 de marzo de 2007, Anexo 26, publicado en la misma fecha de la Modificación, con número de criterio no vinculativo 1/IVA.</w:t>
            </w:r>
          </w:p>
        </w:tc>
      </w:tr>
    </w:tbl>
    <w:p w:rsidR="00957B34" w:rsidRPr="00957B34" w:rsidRDefault="00957B34" w:rsidP="00957B34">
      <w:pPr>
        <w:spacing w:before="100" w:beforeAutospacing="1" w:after="100" w:line="23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4/IVA/NV</w:t>
      </w:r>
      <w:r w:rsidRPr="00957B34">
        <w:rPr>
          <w:rFonts w:ascii="Verdana" w:eastAsia="Times New Roman" w:hAnsi="Verdana" w:cs="Times New Roman"/>
          <w:b/>
          <w:sz w:val="20"/>
          <w:szCs w:val="20"/>
          <w:lang w:val="es-ES" w:eastAsia="es-MX"/>
        </w:rPr>
        <w:tab/>
        <w:t>Prestación de servicios en territorio nacional a través de la figura de comisionista mercantil.</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29, fracción IV, inciso d) de la Ley del IVA, señala que se considera exportación de servicios al aprovechamiento en el extranjero de servicios prestados por residentes en el país, por concepto de comisiones y mediaciones.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Por lo que cualquier aprovechamiento en el extranjero de servicios prestados por residentes en el país, por concepto distinto al de comisiones y mediaciones no se considera exportación de servicios.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 nacional es aprovechada en el extranjero por efectuarse a través de un comisionista mercantil y con motivo de ello están sujetas a la tasa del 0% para efectos del IVA.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33"/>
        <w:gridCol w:w="528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2010</w:t>
            </w:r>
          </w:p>
        </w:tc>
        <w:tc>
          <w:tcPr>
            <w:tcW w:w="53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 de diciembre de 2010, Anexo 3, publicado en el Diario Oficial de la Federación el 7 de diciembre de 2010, con número de criterio no vinculativo 5/IVA.</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5/IVA/NV</w:t>
      </w:r>
      <w:r w:rsidRPr="00957B34">
        <w:rPr>
          <w:rFonts w:ascii="Verdana" w:eastAsia="Times New Roman" w:hAnsi="Verdana" w:cs="Times New Roman"/>
          <w:b/>
          <w:sz w:val="20"/>
          <w:szCs w:val="20"/>
          <w:lang w:val="es-ES" w:eastAsia="es-MX"/>
        </w:rPr>
        <w:tab/>
        <w:t>Enajenación de efectos salvados.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artículo 1 de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Expedir un CFDI que señale como precio o contraprestación por la enajenación de los efectos salvados, la cantidad pagada o resarcida por una empresa aseguradora al verificarse la eventualidad prevista en un contrato de seguro contra daños.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Calcular el IVA y trasladarlo a una empresa aseguradora que adquiera los efectos salvados, considerando como valor la cantidad a que se refiere la fracción anterior, expidiendo para tal caso un CFDI que señale como monto del IVA trasladado, el calculado conforme a esta fracción.</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Deducir o acreditar fiscalmente el IVA con base en los comprobantes fiscales a que se refieren las anteriores fracciones I y II.</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sz w:val="20"/>
          <w:szCs w:val="20"/>
          <w:lang w:val="es-ES" w:eastAsia="es-MX"/>
        </w:rPr>
        <w:t xml:space="preserve"> Considerar como costo de adquisición de los efectos salvados, para el artículo 27 del Reglamento de la Ley del IVA, la cantidad a que se refiere la citada fracción I.</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V.</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69"/>
        <w:gridCol w:w="5246"/>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4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Segunda Resolución de </w:t>
            </w:r>
            <w:r w:rsidRPr="00957B34">
              <w:rPr>
                <w:rFonts w:ascii="Verdana" w:eastAsia="Times New Roman" w:hAnsi="Verdana" w:cs="Arial"/>
                <w:sz w:val="20"/>
                <w:szCs w:val="20"/>
                <w:lang w:val="es-ES" w:eastAsia="es-MX"/>
              </w:rPr>
              <w:lastRenderedPageBreak/>
              <w:t>Modificaciones de la RMF para 2009</w:t>
            </w:r>
          </w:p>
        </w:tc>
        <w:tc>
          <w:tcPr>
            <w:tcW w:w="524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 xml:space="preserve">Publicada en el Diario Oficial de la Federación el 21 de diciembre de 2009, Anexo 3, publicado en </w:t>
            </w:r>
            <w:r w:rsidRPr="00957B34">
              <w:rPr>
                <w:rFonts w:ascii="Verdana" w:eastAsia="Times New Roman" w:hAnsi="Verdana" w:cs="Arial"/>
                <w:sz w:val="20"/>
                <w:szCs w:val="20"/>
                <w:lang w:val="es-ES" w:eastAsia="es-MX"/>
              </w:rPr>
              <w:lastRenderedPageBreak/>
              <w:t>la misma fecha de la Modificación, con número de criterio no vinculativo 4/IVA.</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6/IVA/NV</w:t>
      </w:r>
      <w:r w:rsidRPr="00957B34">
        <w:rPr>
          <w:rFonts w:ascii="Verdana" w:eastAsia="Times New Roman" w:hAnsi="Verdana" w:cs="Times New Roman"/>
          <w:b/>
          <w:sz w:val="20"/>
          <w:szCs w:val="20"/>
          <w:lang w:val="es-ES" w:eastAsia="es-MX"/>
        </w:rPr>
        <w:tab/>
        <w:t>Retención a residentes en el extranjero sin establecimiento permanente en el país.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otra parte, el artículo 3,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Quienes asesoren, aconsejen, presten servicios o participen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44"/>
        <w:gridCol w:w="5271"/>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3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2013</w:t>
            </w:r>
          </w:p>
        </w:tc>
        <w:tc>
          <w:tcPr>
            <w:tcW w:w="533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31 de mayo de 2013, Anexo 3, publicado en la misma fecha de la Modificación.</w:t>
            </w:r>
          </w:p>
        </w:tc>
      </w:tr>
    </w:tbl>
    <w:p w:rsidR="00957B34" w:rsidRPr="00957B34" w:rsidRDefault="00957B34" w:rsidP="00957B34">
      <w:pPr>
        <w:spacing w:before="100" w:beforeAutospacing="1" w:after="100" w:line="26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7/IVA/NV</w:t>
      </w:r>
      <w:r w:rsidRPr="00957B34">
        <w:rPr>
          <w:rFonts w:ascii="Verdana" w:eastAsia="Times New Roman" w:hAnsi="Verdana" w:cs="Times New Roman"/>
          <w:b/>
          <w:sz w:val="20"/>
          <w:szCs w:val="20"/>
          <w:lang w:val="es-ES" w:eastAsia="es-MX"/>
        </w:rPr>
        <w:tab/>
      </w:r>
      <w:proofErr w:type="gramStart"/>
      <w:r w:rsidRPr="00957B34">
        <w:rPr>
          <w:rFonts w:ascii="Verdana" w:eastAsia="Times New Roman" w:hAnsi="Verdana" w:cs="Times New Roman"/>
          <w:b/>
          <w:sz w:val="20"/>
          <w:szCs w:val="20"/>
          <w:lang w:val="es-ES" w:eastAsia="es-MX"/>
        </w:rPr>
        <w:t>IVA</w:t>
      </w:r>
      <w:proofErr w:type="gramEnd"/>
      <w:r w:rsidRPr="00957B34">
        <w:rPr>
          <w:rFonts w:ascii="Verdana" w:eastAsia="Times New Roman" w:hAnsi="Verdana" w:cs="Times New Roman"/>
          <w:b/>
          <w:sz w:val="20"/>
          <w:szCs w:val="20"/>
          <w:lang w:val="es-ES" w:eastAsia="es-MX"/>
        </w:rPr>
        <w:t xml:space="preserve"> en transportación aérea que inicia en la franja fronteriza. No puede considerarse como prestado solamente el 25% del servicio.</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 fracción II de la Ley del IVA establece que las personas físicas y morales que en territorio nacional, presten servicios independientes, están obligadas al pago del impuesto a la tasa del 16%.</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el contrario, si la prestación del servicio se realiza desde alguna población mexicana ubicada en la franja fronteriza hacia cualquier otro destino nacional no ubicado en dicha franja, la prestación del servicio estará gravada en su totalidad a la tasa general del impuesto al valor agregado.</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33"/>
        <w:gridCol w:w="528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2014</w:t>
            </w:r>
          </w:p>
        </w:tc>
        <w:tc>
          <w:tcPr>
            <w:tcW w:w="538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19 de agosto de 2014, Anexo 3 publicado en el Diario Oficial de la Federación el 21 de agosto de 2014.</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8/IVA/NV</w:t>
      </w:r>
      <w:r w:rsidRPr="00957B34">
        <w:rPr>
          <w:rFonts w:ascii="Verdana" w:eastAsia="Times New Roman" w:hAnsi="Verdana" w:cs="Times New Roman"/>
          <w:b/>
          <w:sz w:val="20"/>
          <w:szCs w:val="20"/>
          <w:lang w:val="es-ES" w:eastAsia="es-MX"/>
        </w:rPr>
        <w:tab/>
        <w:t>Traslado indebido de IVA. Transporte de bienes no corresponde al servicio de cosecha y recolección.</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La cosecha y recolección de bienes son actividades distintas a la del transporte de bienes, entendiendo por este el traslado o conducción de </w:t>
      </w:r>
      <w:r w:rsidRPr="00957B34">
        <w:rPr>
          <w:rFonts w:ascii="Verdana" w:eastAsia="Times New Roman" w:hAnsi="Verdana" w:cs="Times New Roman"/>
          <w:sz w:val="20"/>
          <w:szCs w:val="20"/>
          <w:lang w:val="es-ES" w:eastAsia="es-MX"/>
        </w:rPr>
        <w:lastRenderedPageBreak/>
        <w:t>mercancía por parte del porteador desde un lugar a otro, por medios físicos o mecánicos.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Aquellos contribuyentes que consideren que el servicio de transporte de bienes corresponde al servicio de cosecha y recolección y trasladen a la tasa del 0% el IVA, cuando la tasa aplicable es la tasa del 16%, aún y cuando se destine para actividades agropecuarias.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792"/>
        <w:gridCol w:w="5423"/>
      </w:tblGrid>
      <w:tr w:rsidR="00957B34" w:rsidRPr="00957B34" w:rsidTr="00957B34">
        <w:trPr>
          <w:trHeight w:val="20"/>
        </w:trPr>
        <w:tc>
          <w:tcPr>
            <w:tcW w:w="182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2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2015</w:t>
            </w:r>
          </w:p>
        </w:tc>
        <w:tc>
          <w:tcPr>
            <w:tcW w:w="552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30 de diciembre de 2014, Anexo 3, publicado en el Diario Oficial de la Federación el 7 de enero de 2015.</w:t>
            </w:r>
          </w:p>
        </w:tc>
      </w:tr>
    </w:tbl>
    <w:p w:rsidR="00957B34" w:rsidRPr="00957B34" w:rsidRDefault="00957B34" w:rsidP="00957B34">
      <w:pPr>
        <w:spacing w:before="100" w:beforeAutospacing="1" w:after="100" w:line="22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9/IVA/NV</w:t>
      </w:r>
      <w:r w:rsidRPr="00957B34">
        <w:rPr>
          <w:rFonts w:ascii="Verdana" w:eastAsia="Times New Roman" w:hAnsi="Verdana" w:cs="Times New Roman"/>
          <w:b/>
          <w:sz w:val="20"/>
          <w:szCs w:val="20"/>
          <w:lang w:val="es-ES" w:eastAsia="es-MX"/>
        </w:rPr>
        <w:tab/>
        <w:t>Acreditamiento indebido de IVA.</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957B34" w:rsidRPr="00957B34" w:rsidRDefault="00957B34" w:rsidP="00957B34">
      <w:pPr>
        <w:spacing w:after="100" w:line="22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que realizan una práctica fiscal indebida:</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Aquellos contribuyentes que acrediten la cantidad pagada como excedente a la contraprestación pactada con el contribuyente.</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Quien asesore, aconseje, preste servicios o participe en la realización o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43"/>
        <w:gridCol w:w="527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68"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4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68"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68"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Quinta Resolución de Modificaciones a la RMF para 2015</w:t>
            </w:r>
          </w:p>
        </w:tc>
        <w:tc>
          <w:tcPr>
            <w:tcW w:w="534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68"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19 de noviembre de 2015, Anexo 3, publicado en el Diario Oficial de la Federación el 20 de noviembre de 2015.</w:t>
            </w:r>
          </w:p>
        </w:tc>
      </w:tr>
    </w:tbl>
    <w:p w:rsidR="00957B34" w:rsidRPr="00957B34" w:rsidRDefault="00957B34" w:rsidP="00957B34">
      <w:pPr>
        <w:spacing w:before="100" w:beforeAutospacing="1" w:after="68"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before="100" w:beforeAutospacing="1" w:after="68" w:line="240" w:lineRule="auto"/>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D. Criterios de la Ley del IEPS</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1/IEPS/NV</w:t>
      </w:r>
      <w:r w:rsidRPr="00957B34">
        <w:rPr>
          <w:rFonts w:ascii="Verdana" w:eastAsia="Times New Roman" w:hAnsi="Verdana" w:cs="Times New Roman"/>
          <w:b/>
          <w:sz w:val="20"/>
          <w:szCs w:val="20"/>
          <w:lang w:val="es-ES" w:eastAsia="es-MX"/>
        </w:rPr>
        <w:tab/>
        <w:t>Base sobre la cual se aplicará la tasa del IEPS cuando el prestador de servicio proporcione equipos terminales de telecomunicaciones u otorgue su uso o goce temporal al prestatario, con independencia del instrumento legal que se utilice para proporcionar el servicio.</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 fracción II, inciso C) de la Ley del IEPS establece que a la prestación de servicios en territorio nacional proporcionados a través de una o más redes públicas de telecomunicaciones se le aplicará la tasa del 3%.</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CFF.</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No considerar como valor de la contraprestación, el importe total de bienes y servicios.</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Disminuir de la base del impuesto el valor de los bienes proporcionados, sea de manera definitiva o temporal.</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44"/>
        <w:gridCol w:w="5271"/>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68"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3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68"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68"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2010</w:t>
            </w:r>
          </w:p>
        </w:tc>
        <w:tc>
          <w:tcPr>
            <w:tcW w:w="533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68"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11 de junio de 2010, Anexo 3, publicado en el Diario Oficial de la Federación el 15 de junio de 2010.</w:t>
            </w:r>
          </w:p>
        </w:tc>
      </w:tr>
    </w:tbl>
    <w:p w:rsidR="00957B34" w:rsidRPr="00957B34" w:rsidRDefault="00957B34" w:rsidP="00957B34">
      <w:pPr>
        <w:spacing w:before="100" w:beforeAutospacing="1" w:after="68"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2/IEPS/NV</w:t>
      </w:r>
      <w:r w:rsidRPr="00957B34">
        <w:rPr>
          <w:rFonts w:ascii="Verdana" w:eastAsia="Times New Roman" w:hAnsi="Verdana" w:cs="Times New Roman"/>
          <w:b/>
          <w:sz w:val="20"/>
          <w:szCs w:val="20"/>
          <w:lang w:val="es-ES" w:eastAsia="es-MX"/>
        </w:rPr>
        <w:tab/>
        <w:t>Servicios que se ofrecen de manera conjunta con Internet.</w:t>
      </w:r>
    </w:p>
    <w:p w:rsidR="00957B34" w:rsidRPr="00957B34" w:rsidRDefault="00957B34" w:rsidP="00957B34">
      <w:pPr>
        <w:spacing w:after="68"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8, fracción IV, inciso d), primer párrafo de la Ley del IEPS establece que no se pagará el IEPS por los servicios de telecomunicaciones de acceso a Internet, a través de una red fija o móvil, consistente en todos los servicios, aplicaciones y contenidos que mediante dicho acceso a Internet se presten a través de una red de telecomunicaciones.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Asimismo, el segundo párrafo del inciso d) en comento, señala que cuando los servicios a que se refiere el párrafo anterior se ofrezcan de manera conjunta con otros servicios que se presten a través de una </w:t>
      </w:r>
      <w:r w:rsidRPr="00957B34">
        <w:rPr>
          <w:rFonts w:ascii="Verdana" w:eastAsia="Times New Roman" w:hAnsi="Verdana" w:cs="Times New Roman"/>
          <w:sz w:val="20"/>
          <w:szCs w:val="20"/>
          <w:lang w:val="es-ES" w:eastAsia="es-MX"/>
        </w:rPr>
        <w:lastRenderedPageBreak/>
        <w:t>red pública de telecomunicaciones, la exención establecida en el mismo, será procedente siempre que en el comprobante fiscal respectivo, se determine la contraprestación correspondiente al servicio de acceso a 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se considera que conforme al artículo 8,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 siguientes:</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1</w:t>
      </w:r>
      <w:r w:rsidRPr="00957B34">
        <w:rPr>
          <w:rFonts w:ascii="Verdana" w:eastAsia="Times New Roman" w:hAnsi="Verdana" w:cs="Times New Roman"/>
          <w:sz w:val="20"/>
          <w:szCs w:val="20"/>
          <w:lang w:val="es-ES" w:eastAsia="es-MX"/>
        </w:rPr>
        <w:t>. 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2.</w:t>
      </w:r>
      <w:r w:rsidRPr="00957B34">
        <w:rPr>
          <w:rFonts w:ascii="Verdana" w:eastAsia="Times New Roman" w:hAnsi="Verdana" w:cs="Times New Roman"/>
          <w:sz w:val="20"/>
          <w:szCs w:val="20"/>
          <w:lang w:val="es-ES" w:eastAsia="es-MX"/>
        </w:rPr>
        <w:t xml:space="preserve"> 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3.</w:t>
      </w:r>
      <w:r w:rsidRPr="00957B34">
        <w:rPr>
          <w:rFonts w:ascii="Verdana" w:eastAsia="Times New Roman" w:hAnsi="Verdana" w:cs="Times New Roman"/>
          <w:sz w:val="20"/>
          <w:szCs w:val="20"/>
          <w:lang w:val="es-ES" w:eastAsia="es-MX"/>
        </w:rPr>
        <w:t xml:space="preserve"> Servicio de televisión restringida, entendiéndose por este aquel por el que, mediante contrato y el pago periódico de una cantidad preestablecida y revisable, el concesionario o permisionario distribuye de manera continua programación de audio y video asociado.</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4.</w:t>
      </w:r>
      <w:r w:rsidRPr="00957B34">
        <w:rPr>
          <w:rFonts w:ascii="Verdana" w:eastAsia="Times New Roman" w:hAnsi="Verdana" w:cs="Times New Roman"/>
          <w:sz w:val="20"/>
          <w:szCs w:val="20"/>
          <w:lang w:val="es-ES" w:eastAsia="es-MX"/>
        </w:rPr>
        <w:t xml:space="preserve"> Servicio de audio restringido, entendiéndose por este aquel por el que, mediante contrato y el pago periódico de una cantidad preestablecida y revisable, el concesionario o permisionario distribuye de manera continua programación de audio.</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5.</w:t>
      </w:r>
      <w:r w:rsidRPr="00957B34">
        <w:rPr>
          <w:rFonts w:ascii="Verdana" w:eastAsia="Times New Roman" w:hAnsi="Verdana" w:cs="Times New Roman"/>
          <w:sz w:val="20"/>
          <w:szCs w:val="20"/>
          <w:lang w:val="es-ES" w:eastAsia="es-MX"/>
        </w:rPr>
        <w:t xml:space="preserve"> Servicio móvil de radiocomunicación especializada de flotillas (Trunking), entendiéndose como el servicio de radiocomunicación móvil terrestre de voz y datos a grupos de usuarios determinados, utilizando el modo de transmisión semi-duplex.</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Para los efectos de los numerales 1 y 2 del presente criterio, se entiende por tráfico público conmutado toda emisión, transmisión o recepción de signos, señales, datos, escritos, imágenes, voz, sonidos o información de cualquier naturaleza que se efectúe a través de una red pública de telecomunicaciones que utilice para su enrutamiento tanto </w:t>
      </w:r>
      <w:r w:rsidRPr="00957B34">
        <w:rPr>
          <w:rFonts w:ascii="Verdana" w:eastAsia="Times New Roman" w:hAnsi="Verdana" w:cs="Times New Roman"/>
          <w:sz w:val="20"/>
          <w:szCs w:val="20"/>
          <w:lang w:val="es-ES" w:eastAsia="es-MX"/>
        </w:rPr>
        <w:lastRenderedPageBreak/>
        <w:t>centrales como numeración asignada y administrada por la Comisión Federal de Telecomunicaciones, de conformidad con el Plan Técnico Fundamental de Numeración.</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Considerar que el conjunto de los servicios señalados anteriormente, al incluir el servicio de acceso a Internet se encuentra exento conforme al artículo 8, fracción IV, inciso d) de la Ley del IEPS.</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44"/>
        <w:gridCol w:w="5271"/>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3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2010</w:t>
            </w:r>
          </w:p>
        </w:tc>
        <w:tc>
          <w:tcPr>
            <w:tcW w:w="533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 de diciembre de 2010, Anexo 3, publicado en el Diario Oficial de la Federación el 7 de diciembre de 2010.</w:t>
            </w:r>
          </w:p>
        </w:tc>
      </w:tr>
    </w:tbl>
    <w:p w:rsidR="00957B34" w:rsidRPr="00957B34" w:rsidRDefault="00957B34" w:rsidP="00957B34">
      <w:pPr>
        <w:spacing w:before="100" w:beforeAutospacing="1" w:after="100" w:afterAutospacing="1" w:line="223"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3/IEPS/NV</w:t>
      </w:r>
      <w:r w:rsidRPr="00957B34">
        <w:rPr>
          <w:rFonts w:ascii="Verdana" w:eastAsia="Times New Roman" w:hAnsi="Verdana" w:cs="Times New Roman"/>
          <w:b/>
          <w:sz w:val="20"/>
          <w:szCs w:val="20"/>
          <w:lang w:val="es-ES" w:eastAsia="es-MX"/>
        </w:rPr>
        <w:tab/>
        <w:t>Productos que por sus ingredientes se ubican en la definición de chocolate o productos derivados del cacao, independientemente de su denominación comercial o la forma en la que se sugiere sean consumidos, se encuentran gravados para efectos del IEPS.</w:t>
      </w:r>
    </w:p>
    <w:p w:rsidR="00957B34" w:rsidRPr="00957B34" w:rsidRDefault="00957B34" w:rsidP="00957B34">
      <w:pPr>
        <w:spacing w:after="100" w:line="22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 fracciones XXVIII y XXIX de la Ley referida, disponen que se entiende por chocolate, al producto obtenido por la mezcla homogénea de cantidades variables de pasta de cacao, o manteca de cacao, o cocoa con azúcares u otros edulcorantes, ingredientes opcionales y aditivos para alimentos, cualquiera que sea su presentación; y por derivados del cacao, la manteca de cacao, pasta o licor de cacao, torta de cacao, entre otros, respectivamente.</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términos del artículo 2, fracción I, inciso J), numeral 3 de la citada ley, siempre que al momento de su enajenación o importación contengan una densidad calórica de 275 kilocalorías o mayor por cada 100 gramos.</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Enajenar o importar chocolate o productos derivados del cacao, con una densidad calórica de 275 kilocalorías o mayor por cada 100 gramos y no pagar o trasladar el IEPS por considerar que:</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a) El nombre o denominación comercial de los alimentos que enajenan o importan no es el de chocolate o productos derivados del cacao o;</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b) 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43"/>
        <w:gridCol w:w="5272"/>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4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Quinta Resolución de Modificaciones a la RMF para 2014</w:t>
            </w:r>
          </w:p>
        </w:tc>
        <w:tc>
          <w:tcPr>
            <w:tcW w:w="534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16 de octubre de 2014, Anexo 3, publicado en el Diario Oficial de la Federación el 17 de octubre de 2014.</w:t>
            </w:r>
          </w:p>
        </w:tc>
      </w:tr>
    </w:tbl>
    <w:p w:rsidR="00957B34" w:rsidRPr="00957B34" w:rsidRDefault="00957B34" w:rsidP="00957B34">
      <w:pPr>
        <w:spacing w:before="100" w:beforeAutospacing="1" w:after="100"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4/IEPS/NV</w:t>
      </w:r>
      <w:r w:rsidRPr="00957B34">
        <w:rPr>
          <w:rFonts w:ascii="Verdana" w:eastAsia="Times New Roman" w:hAnsi="Verdana" w:cs="Times New Roman"/>
          <w:b/>
          <w:sz w:val="20"/>
          <w:szCs w:val="20"/>
          <w:lang w:val="es-ES" w:eastAsia="es-MX"/>
        </w:rPr>
        <w:tab/>
        <w:t>Base gravable del IEPS en la prestación de servicios de juegos con apuestas y sorteos.</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18 de la Ley del IEPS establece que para calcular el impuesto por la realización de las actividades a que se refiere el inciso B) de la fracción II del artículo 2 de la misma, se considerará como valor el total de las cantidades efectivamente percibidas de los participantes por dichas actividades. En los juegos o sorteos en los que se apueste, se considerará como valor el monto total de las apuestas.</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5,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rsidR="00957B34" w:rsidRPr="00957B34" w:rsidRDefault="00957B34" w:rsidP="00957B34">
      <w:pPr>
        <w:spacing w:after="100" w:line="240" w:lineRule="auto"/>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tratándose de juegos o sorteos en los que se apueste, se considera que realiza una práctica fiscal indebida, quien:</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Considere únicamente el efectivo para calcular la base gravable para efectos del IEPS.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Registre en el sistema central de apuestas y en el sistema de caja y control de efectivo, las cantidades percibidas antes de realizarse el juego o sorteo.</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No incluya como valor para calcular el impuesto, cualquier otra cantidad que se otorgue a los participantes con independencia de la denominación que se le dé (promociones, membresías, acceso a las instalaciones, entre otros) que otorgue a los participantes.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sz w:val="20"/>
          <w:szCs w:val="20"/>
          <w:lang w:val="es-ES" w:eastAsia="es-MX"/>
        </w:rPr>
        <w:t xml:space="preserve"> Quien asesore, aconseje, preste servicios o participe en la realización o la implementación de cualquiera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859"/>
        <w:gridCol w:w="5356"/>
      </w:tblGrid>
      <w:tr w:rsidR="00957B34" w:rsidRPr="00957B34" w:rsidTr="00957B34">
        <w:trPr>
          <w:trHeight w:val="20"/>
        </w:trPr>
        <w:tc>
          <w:tcPr>
            <w:tcW w:w="189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5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9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2016</w:t>
            </w:r>
          </w:p>
        </w:tc>
        <w:tc>
          <w:tcPr>
            <w:tcW w:w="545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14 de julio de 2016, Anexo 3, publicado en el Diario Oficial de la Federación el 15 de julio de 2016.</w:t>
            </w:r>
          </w:p>
        </w:tc>
      </w:tr>
    </w:tbl>
    <w:p w:rsidR="00957B34" w:rsidRPr="00957B34" w:rsidRDefault="00957B34" w:rsidP="00957B34">
      <w:pPr>
        <w:spacing w:before="100" w:beforeAutospacing="1" w:after="100" w:line="22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5/IEPS/NV</w:t>
      </w:r>
      <w:r w:rsidRPr="00957B34">
        <w:rPr>
          <w:rFonts w:ascii="Verdana" w:eastAsia="Times New Roman" w:hAnsi="Verdana" w:cs="Times New Roman"/>
          <w:b/>
          <w:sz w:val="20"/>
          <w:szCs w:val="20"/>
          <w:lang w:val="es-ES" w:eastAsia="es-MX"/>
        </w:rPr>
        <w:tab/>
        <w:t>Cantidades a disminuir como premios para determinar la base gravable del IEPS en la prestación de servicios de juegos con apuestas y sorteos.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 fracción II, inciso B) en relación con el 18, párrafo cuarto, fracción I de la Ley del IEPS considera dentro de los conceptos que podrán disminuirse de la base del impuesto, los premios efectivamente pagados o entregados conforme a las disposiciones aplicables.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Para efectos fiscales, los premios que obtengan los participantes en los juegos con apuestas y sorteos,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Disminuir de la base del IEPS, las promociones, membresías, acceso a las instalaciones, entre otros por no corresponder a la retribución que obtiene el ganador de un juego con apuestas y sorteos.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la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1944"/>
        <w:gridCol w:w="5271"/>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3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2017</w:t>
            </w:r>
          </w:p>
        </w:tc>
        <w:tc>
          <w:tcPr>
            <w:tcW w:w="533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2016, Anexo 3, publicado en el Diario Oficial de la Federación el 27 de diciembre de 2016.</w:t>
            </w:r>
          </w:p>
        </w:tc>
      </w:tr>
    </w:tbl>
    <w:p w:rsidR="00957B34" w:rsidRPr="00957B34" w:rsidRDefault="00957B34" w:rsidP="00957B34">
      <w:pPr>
        <w:spacing w:before="100" w:beforeAutospacing="1" w:after="100" w:afterAutospacing="1" w:line="22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line="220"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E. Criterios de la Ley de los Impuestos Generales de Importación y Exportación</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1/LIGIE/NV</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Regla General 2 a). Importación de mercancía sin montar. (Se reubica)</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Se han detectado prácticas fiscales indebidas derivadas de la inobservancia de la Regla General 2 a), contenida en el artículo 2,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obtención indebida de beneficios arancelarios derivados de los Tratados de Libre Comercio y Acuerdos Comerciales de los que México forma parte.</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En este tenor y con el fin de evitar dichas prácticas es necesario señalar que para efectos de la Regla General 2 a), contenida en el artículo 2, fracción I de la Ley de los Impuestos Generales de Importación y de Exportación, la mercancía que se importa a territorio nacional desensamblada, incluso cuando ésta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A manera de ejemplo, se citan los siguientes: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I. 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II. 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Lo anterior, es aplicable a operaciones de comercio exterior independientemente del régimen aduanero al que se destinen las mercancías, en uno o varios actos.</w:t>
      </w:r>
    </w:p>
    <w:tbl>
      <w:tblPr>
        <w:tblW w:w="7215" w:type="dxa"/>
        <w:tblInd w:w="1642" w:type="dxa"/>
        <w:tblLayout w:type="fixed"/>
        <w:tblCellMar>
          <w:left w:w="72" w:type="dxa"/>
          <w:right w:w="72" w:type="dxa"/>
        </w:tblCellMar>
        <w:tblLook w:val="04A0" w:firstRow="1" w:lastRow="0" w:firstColumn="1" w:lastColumn="0" w:noHBand="0" w:noVBand="1"/>
      </w:tblPr>
      <w:tblGrid>
        <w:gridCol w:w="2330"/>
        <w:gridCol w:w="4885"/>
      </w:tblGrid>
      <w:tr w:rsidR="00957B34" w:rsidRPr="00957B34" w:rsidTr="00957B34">
        <w:trPr>
          <w:trHeight w:val="20"/>
        </w:trPr>
        <w:tc>
          <w:tcPr>
            <w:tcW w:w="232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488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32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Quinta Resolución de Modificaciones a la RMF para 2014.</w:t>
            </w:r>
          </w:p>
        </w:tc>
        <w:tc>
          <w:tcPr>
            <w:tcW w:w="488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16 de octubre de 2014, Anexo 3, publicado en el Diario Oficial de la Federación el 17 de octubre de 2014.</w:t>
            </w:r>
          </w:p>
        </w:tc>
      </w:tr>
      <w:tr w:rsidR="00957B34" w:rsidRPr="00957B34" w:rsidTr="00957B34">
        <w:trPr>
          <w:trHeight w:val="20"/>
        </w:trPr>
        <w:tc>
          <w:tcPr>
            <w:tcW w:w="7207"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Reubicación</w:t>
            </w:r>
          </w:p>
        </w:tc>
      </w:tr>
      <w:tr w:rsidR="00957B34" w:rsidRPr="00957B34" w:rsidTr="00957B34">
        <w:trPr>
          <w:trHeight w:val="20"/>
        </w:trPr>
        <w:tc>
          <w:tcPr>
            <w:tcW w:w="7207"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 reubica en las Reglas Generales de Comercio Exterior para 2017 publicadas en el Diario Oficial de la Federación el 27 de enero de 2017, Anexo 5 publicado en el Diario Oficial de la Federación el 9 de febrero de 2017, en virtud de que el contenido es materia de Comercio Exterior y Aduanal.</w:t>
            </w:r>
          </w:p>
        </w:tc>
      </w:tr>
    </w:tbl>
    <w:p w:rsidR="00957B34" w:rsidRPr="00957B34" w:rsidRDefault="00957B34" w:rsidP="00957B34">
      <w:pPr>
        <w:spacing w:before="100" w:beforeAutospacing="1" w:after="100" w:line="22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line="220"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F. Criterios de la LISH</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1/LISH/NV</w:t>
      </w:r>
      <w:r w:rsidRPr="00957B34">
        <w:rPr>
          <w:rFonts w:ascii="Verdana" w:eastAsia="Times New Roman" w:hAnsi="Verdana" w:cs="Times New Roman"/>
          <w:b/>
          <w:sz w:val="20"/>
          <w:szCs w:val="20"/>
          <w:lang w:val="es-ES" w:eastAsia="es-MX"/>
        </w:rPr>
        <w:tab/>
        <w:t>Condensados y gas natural. Se trata de conceptos distintos para determinar la base de los derechos por la utilidad compartida y de extracción de hidrocarburos para los asignatarios.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Para tales efectos, el artículo 48, fracción I de la LISH considera como valor de los hidrocarburos extraídos, entre otros conceptos, a la suma del valor del gas natural y el valor de los condensados, según corresponda, extraídos en la región de que se trate, en el periodo por el que esté obligado al pago del derecho respectivo.</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este modo, y para efectos del cálculo de los derechos previstos en los artículos 39, primer párrafo; 42, primer párrafo y 44, primer párrafo de la LISH, el concepto de condensados es distinto del de gas natural.</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No incluir en la base de los derechos por la utilidad compartida y de extracción de hidrocarburos, el valor de los condensados extraídos o producidos en el área de asignación.</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Considerar a los condensados como otro tipo de hidrocarburos para calcular la base de los derechos por la utilidad compartida y de extracción de hidrocarburos.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 xml:space="preserve"> Asesorar, aconsejar, prestar servicios o participar en la realización o implementación de las prácticas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969"/>
        <w:gridCol w:w="5246"/>
      </w:tblGrid>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4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6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2015</w:t>
            </w:r>
          </w:p>
        </w:tc>
        <w:tc>
          <w:tcPr>
            <w:tcW w:w="524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 de julio de 2015, Anexo 3, publicado en el Diario Oficial de la Federación el 10 de julio de 2015.</w:t>
            </w:r>
          </w:p>
        </w:tc>
      </w:tr>
    </w:tbl>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2/LISH/NV</w:t>
      </w:r>
      <w:r w:rsidRPr="00957B34">
        <w:rPr>
          <w:rFonts w:ascii="Verdana" w:eastAsia="Times New Roman" w:hAnsi="Verdana" w:cs="Times New Roman"/>
          <w:b/>
          <w:sz w:val="20"/>
          <w:szCs w:val="20"/>
          <w:lang w:val="es-ES" w:eastAsia="es-MX"/>
        </w:rPr>
        <w:tab/>
        <w:t>Establecimiento permanente para los efectos de la LISH. La exploración y extracción de hidrocarburos no son las únicas actividades por las que se puede constituir.</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64, primer párrafo de la LISH dispone que para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w:t>
      </w:r>
      <w:r w:rsidRPr="00957B34">
        <w:rPr>
          <w:rFonts w:ascii="Verdana" w:eastAsia="Times New Roman" w:hAnsi="Verdana" w:cs="Times New Roman"/>
          <w:sz w:val="20"/>
          <w:szCs w:val="20"/>
          <w:lang w:val="es-ES" w:eastAsia="es-MX"/>
        </w:rPr>
        <w:lastRenderedPageBreak/>
        <w:t>México tenga derecho, en un periodo que sume en conjunto más de 30 días en cualquier periodo de 12 meses.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 de la Ley de Hidrocarburos indica que esa ley tiene por objeto regular las siguientes actividades en territorio nacional: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1.</w:t>
      </w:r>
      <w:r w:rsidRPr="00957B34">
        <w:rPr>
          <w:rFonts w:ascii="Verdana" w:eastAsia="Times New Roman" w:hAnsi="Verdana" w:cs="Times New Roman"/>
          <w:sz w:val="20"/>
          <w:szCs w:val="20"/>
          <w:lang w:val="es-ES" w:eastAsia="es-MX"/>
        </w:rPr>
        <w:t xml:space="preserve"> El reconocimiento y exploración superficial, y la exploración y extracción de hidrocarburos;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2.</w:t>
      </w:r>
      <w:r w:rsidRPr="00957B34">
        <w:rPr>
          <w:rFonts w:ascii="Verdana" w:eastAsia="Times New Roman" w:hAnsi="Verdana" w:cs="Times New Roman"/>
          <w:sz w:val="20"/>
          <w:szCs w:val="20"/>
          <w:lang w:val="es-ES" w:eastAsia="es-MX"/>
        </w:rPr>
        <w:t xml:space="preserve"> El tratamiento, refinación, enajenación, comercialización, transporte y almacenamiento del petróleo;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3.</w:t>
      </w:r>
      <w:r w:rsidRPr="00957B34">
        <w:rPr>
          <w:rFonts w:ascii="Verdana" w:eastAsia="Times New Roman" w:hAnsi="Verdana" w:cs="Times New Roman"/>
          <w:sz w:val="20"/>
          <w:szCs w:val="20"/>
          <w:lang w:val="es-ES" w:eastAsia="es-MX"/>
        </w:rPr>
        <w:t xml:space="preserve"> El procesamiento, compresión, licuefacción, descompresión y regasificación, así como el transporte, almacenamiento, distribución, comercialización y expendio al público de gas natural;</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4.</w:t>
      </w:r>
      <w:r w:rsidRPr="00957B34">
        <w:rPr>
          <w:rFonts w:ascii="Verdana" w:eastAsia="Times New Roman" w:hAnsi="Verdana" w:cs="Times New Roman"/>
          <w:sz w:val="20"/>
          <w:szCs w:val="20"/>
          <w:lang w:val="es-ES" w:eastAsia="es-MX"/>
        </w:rPr>
        <w:t xml:space="preserve"> El transporte, almacenamiento, distribución, comercialización y expendio al público de petrolíferos, y</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5.</w:t>
      </w:r>
      <w:r w:rsidRPr="00957B34">
        <w:rPr>
          <w:rFonts w:ascii="Verdana" w:eastAsia="Times New Roman" w:hAnsi="Verdana" w:cs="Times New Roman"/>
          <w:sz w:val="20"/>
          <w:szCs w:val="20"/>
          <w:lang w:val="es-ES" w:eastAsia="es-MX"/>
        </w:rPr>
        <w:t xml:space="preserve"> El transporte por ducto y el almacenamiento que se encuentre vinculado a ductos, de petroquímicos.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 diferencia del artículo 64, cuarto párrafo de la LISH que solo contempla a las actividades de los contratistas o asignatarios, el primer párrafo de dicho artículo incluye todas las actividades a que se refiere la Ley de Hidrocarburos.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se considera una práctica fiscal indebida: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Considerar que el artículo 64, primer párrafo de la LISH solo se refiere a las actividades de los contratistas o asignatarios previstas en la Ley de Hidrocarburos.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 xml:space="preserve"> Asesorar, aconsejar, prestar servicios o participar en la realización o implementación de la práctica anterior.</w:t>
      </w:r>
    </w:p>
    <w:tbl>
      <w:tblPr>
        <w:tblW w:w="7215" w:type="dxa"/>
        <w:tblInd w:w="1642" w:type="dxa"/>
        <w:tblLayout w:type="fixed"/>
        <w:tblCellMar>
          <w:left w:w="72" w:type="dxa"/>
          <w:right w:w="72" w:type="dxa"/>
        </w:tblCellMar>
        <w:tblLook w:val="04A0" w:firstRow="1" w:lastRow="0" w:firstColumn="1" w:lastColumn="0" w:noHBand="0" w:noVBand="1"/>
      </w:tblPr>
      <w:tblGrid>
        <w:gridCol w:w="2054"/>
        <w:gridCol w:w="5161"/>
      </w:tblGrid>
      <w:tr w:rsidR="00957B34" w:rsidRPr="00957B34" w:rsidTr="00957B34">
        <w:trPr>
          <w:trHeight w:val="20"/>
        </w:trPr>
        <w:tc>
          <w:tcPr>
            <w:tcW w:w="207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7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2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3, publicado en la misma fecha de la Modificación.</w:t>
            </w:r>
          </w:p>
        </w:tc>
      </w:tr>
    </w:tbl>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 </w:t>
      </w:r>
    </w:p>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 xml:space="preserve">SEGUNDO. </w:t>
      </w:r>
      <w:r w:rsidRPr="00957B34">
        <w:rPr>
          <w:rFonts w:ascii="Verdana" w:eastAsia="Times New Roman" w:hAnsi="Verdana" w:cs="Times New Roman"/>
          <w:sz w:val="20"/>
          <w:szCs w:val="20"/>
          <w:lang w:val="es-ES_tradnl" w:eastAsia="es-MX"/>
        </w:rPr>
        <w:t>Los criterios derogados no pierden su vigencia y aplicación respecto de las situaciones jurídicas o de hecho que en su momento regularon.</w:t>
      </w:r>
    </w:p>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Atentamente.</w:t>
      </w:r>
    </w:p>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Ciudad de México, 22 de abril de 2019.- La Jefa del Servicio de Administración Tributaria, </w:t>
      </w:r>
      <w:r w:rsidRPr="00957B34">
        <w:rPr>
          <w:rFonts w:ascii="Verdana" w:eastAsia="Times New Roman" w:hAnsi="Verdana" w:cs="Times New Roman"/>
          <w:b/>
          <w:sz w:val="20"/>
          <w:szCs w:val="20"/>
          <w:lang w:val="es-ES" w:eastAsia="es-MX"/>
        </w:rPr>
        <w:t>Ana Margarita Ríos Farjat</w:t>
      </w:r>
      <w:r w:rsidRPr="00957B34">
        <w:rPr>
          <w:rFonts w:ascii="Verdana" w:eastAsia="Times New Roman" w:hAnsi="Verdana" w:cs="Times New Roman"/>
          <w:sz w:val="20"/>
          <w:szCs w:val="20"/>
          <w:lang w:val="es-ES" w:eastAsia="es-MX"/>
        </w:rPr>
        <w:t>.- Rúbrica.</w:t>
      </w:r>
    </w:p>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Anexo 7 de la Resolución Miscelánea Fiscal para 2019</w:t>
      </w:r>
    </w:p>
    <w:p w:rsidR="00957B34" w:rsidRPr="00957B34" w:rsidRDefault="00957B34" w:rsidP="00957B34">
      <w:pPr>
        <w:spacing w:before="100" w:beforeAutospacing="1" w:after="100" w:line="240"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COMPILACIÓN DE CRITERIOS NORMATIVOS</w:t>
      </w:r>
    </w:p>
    <w:p w:rsidR="00957B34" w:rsidRPr="00957B34" w:rsidRDefault="00957B34" w:rsidP="00957B34">
      <w:pPr>
        <w:spacing w:before="100" w:beforeAutospacing="1" w:after="100" w:line="24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PRIMERO.</w:t>
      </w:r>
      <w:r w:rsidRPr="00957B34">
        <w:rPr>
          <w:rFonts w:ascii="Verdana" w:eastAsia="Times New Roman" w:hAnsi="Verdana" w:cs="Times New Roman"/>
          <w:sz w:val="20"/>
          <w:szCs w:val="20"/>
          <w:lang w:val="es-ES" w:eastAsia="es-MX"/>
        </w:rPr>
        <w:t xml:space="preserve"> De conformidad con los artículos 33, penúltimo párrafo y 35 del CFF, en relación con la regla 1.9., fracción VIII de la RMF 2019, se dan a conocer los criterios normativos en materia de impuestos internos, conforme a lo siguiente:</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blHeader/>
        </w:trPr>
        <w:tc>
          <w:tcPr>
            <w:tcW w:w="9212" w:type="dxa"/>
            <w:shd w:val="pct12" w:color="auto" w:fill="auto"/>
            <w:noWrap/>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CONTENIDO</w:t>
            </w:r>
          </w:p>
        </w:tc>
      </w:tr>
      <w:tr w:rsidR="00957B34" w:rsidRPr="00957B34" w:rsidTr="00957B34">
        <w:trPr>
          <w:trHeight w:val="20"/>
        </w:trPr>
        <w:tc>
          <w:tcPr>
            <w:tcW w:w="9212" w:type="dxa"/>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APARTADOS:</w:t>
            </w:r>
          </w:p>
        </w:tc>
      </w:tr>
      <w:tr w:rsidR="00957B34" w:rsidRPr="00957B34" w:rsidTr="00957B34">
        <w:trPr>
          <w:trHeight w:val="20"/>
        </w:trPr>
        <w:tc>
          <w:tcPr>
            <w:tcW w:w="9212" w:type="dxa"/>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A. Criterios del CFF</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1/CFF/N</w:t>
            </w:r>
            <w:r w:rsidRPr="00957B34">
              <w:rPr>
                <w:rFonts w:ascii="Verdana" w:eastAsia="Times New Roman" w:hAnsi="Verdana" w:cs="Arial"/>
                <w:sz w:val="20"/>
                <w:szCs w:val="20"/>
                <w:lang w:val="es-ES" w:eastAsia="es-MX"/>
              </w:rPr>
              <w:tab/>
              <w:t>Crédito fiscal. Es firme cuando han transcurrido los términos legales para su impugnación, exista desistimiento a éste o su resolución ya no admita medio de defensa alguno.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Normas sustantivas. Reúnen esta característica las aplicables para determinar la pérdida fiscal.</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Principios de contabilidad generalmente aceptados y normas de información financiera. Su aplicación.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Momento en que se lleva a cabo la fusión, para efectos de la presentación del aviso de cancelación en el RFC por fusión de sociedades.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Pesca deportiva. Los servicios turísticos que prestan las embarcaciones se consideran actividades comerciales.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7/CFF/N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Actualización de contribuciones, aprovechamientos y compensación de saldos a favor del contribuyente.</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8/CFF/N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Aplicación de las cantidades pagadas en devoluciones en cantidades menores a la cantidad solicitada.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9/CFF/N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Resolución de consultas relativas a la metodología utilizada en la determinación de los precios o montos de las contraprestaciones, en operaciones con partes relacionadas. Sujetos que pueden formularlas.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10/CFF/N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Medidas de apremio. Es necesario agotarlas en estricto orden, antes de proceder penalmente por los delitos de desobediencia o resistencia a un mandato de autoridad.</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11/CFF/N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Visitas domiciliarias para verificar el cumplimiento de obligaciones fiscales. No se requiere que se levanten actas parciales y acta final.</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12/CFF/N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Discrepancia fiscal. El resultado de la comprobación se dará a conocer mediante oficio y, en su caso, en la última acta parcial o complementaria.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13/CFF/N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Garantía del interés fiscal. Están relevadas de otorgarla las instituciones que conforman el Sistema Bancario Mexicano.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14/CFF/N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Suspensión del plazo de caducidad cuando se hacen valer medios de defensa.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15/CFF/N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Caducidad de las facultades de la autoridad fiscal. La suspensión del plazo con motivo de la interposición de algún recurso administrativo o juicio, debe considerarse independiente del plazo de diez años.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16/CFF/N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Infracciones. Aplicación de las multas establecidas en el CFF.</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17/CFF/N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Declaración de nulidad lisa y llana o la revocación de la resolución correspondiente no desvirtúa el cumplimiento espontáneo.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18/CFF/N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Imposición de multas. Determinación de la multa aplicable por la omisión en el entero de diversas contribuciones y en la presentación de declaraciones.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19/CFF/N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Supuestos de infracción relacionados con la obligación de presentar la información correspondiente sobre el pago, retención, acreditamiento y traslado del IVA en las operaciones con proveedores.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20/CFF/N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Recursos administrativos. Formulario múltiple de pago, cartas invitación o citatorio. No son resoluciones que afecten el interés jurídico de los contribuyentes.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21/CFF/N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Remoción del depositario. El recurso de revocación es improcedente.</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22/CFF/N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Notificación por correo certificado. Para su validez debe estarse a lo dispuesto en la Ley del Servicio Postal Mexicano.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23/CFF/N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Notificación en los términos del artículo 134, fracción I del CFF. Establece tres medios alternativos entre sí.</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24/CFF/N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Embargo en la vía administrativa. No es necesario volver a embargar el bien.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25/CFF/N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Suspensión del término de caducidad derivado de la interposición de un recurso administrativo o juicio.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26/CFF/N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Contribuciones retenidas. Cuando el retenedor las pague sin haber realizado el descuento o cobro correspondiente al sujeto obligado, podrá obtener los beneficios legales propios de los sujetos obligados.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27/CFF/N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Devoluciones indebidas, al tener su origen en una contribución, conservan la naturaleza jurídica de ésta.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28/CFF/N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Definiciones de saldo a favor y pago de lo indebido.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29/CFF/N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Acuerdo Conclusivo. Concepto de calificación de hechos u omisiones.</w:t>
            </w:r>
          </w:p>
        </w:tc>
      </w:tr>
      <w:tr w:rsidR="00957B34" w:rsidRPr="00957B34" w:rsidTr="00957B34">
        <w:trPr>
          <w:trHeight w:val="20"/>
        </w:trPr>
        <w:tc>
          <w:tcPr>
            <w:tcW w:w="9212" w:type="dxa"/>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B. Criterios de la Ley del ISR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Establecimiento permanente. Los ejemplos que pueden considerarse constitutivos de establecimiento permanente deben analizarse de conformidad con las características esenciales de dicho concepto.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Beneficios de los tratados para evitar la doble tributación. Es necesario el cumplimiento de las disposiciones de procedimiento para su aplicación.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Beneficios del tratado para evitar la doble tributación entre México y Barbados. Interpretación de los textos en español e inglés.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Residencia fiscal. Formas de acreditarla.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Orden en que se efectuará el acreditamiento del ISR pagado en el extranjero.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Acreditamiento del ISR pagado en el extranjero. Los contribuyentes sólo podrán acreditar el excedente cuando el procedimiento amistoso concluya con un acuerdo y lo acepten.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7/ISR/N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Devolución de cantidades realizada por la autoridad fiscal. Si se pagan </w:t>
            </w:r>
            <w:r w:rsidRPr="00957B34">
              <w:rPr>
                <w:rFonts w:ascii="Verdana" w:eastAsia="Times New Roman" w:hAnsi="Verdana" w:cs="Arial"/>
                <w:sz w:val="20"/>
                <w:szCs w:val="20"/>
                <w:lang w:val="es-ES" w:eastAsia="es-MX"/>
              </w:rPr>
              <w:lastRenderedPageBreak/>
              <w:t>intereses los mismos deben acumularse para efectos del ISR.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8/ISR/N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Ganancia en la enajenación de certificados bursátiles fiduciarios, colocados entre el gran público inversionista. Se debe considerar interés.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9/ISR/N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ISR por dividendos o utilidades. Casos en los cuales las personas </w:t>
            </w:r>
            <w:proofErr w:type="gramStart"/>
            <w:r w:rsidRPr="00957B34">
              <w:rPr>
                <w:rFonts w:ascii="Verdana" w:eastAsia="Times New Roman" w:hAnsi="Verdana" w:cs="Arial"/>
                <w:sz w:val="20"/>
                <w:szCs w:val="20"/>
                <w:lang w:val="es-ES" w:eastAsia="es-MX"/>
              </w:rPr>
              <w:t>morales</w:t>
            </w:r>
            <w:proofErr w:type="gramEnd"/>
            <w:r w:rsidRPr="00957B34">
              <w:rPr>
                <w:rFonts w:ascii="Verdana" w:eastAsia="Times New Roman" w:hAnsi="Verdana" w:cs="Arial"/>
                <w:sz w:val="20"/>
                <w:szCs w:val="20"/>
                <w:lang w:val="es-ES" w:eastAsia="es-MX"/>
              </w:rPr>
              <w:t xml:space="preserve"> no deberán calcular el impuesto por los montos que se consideran dividendos o utilidades distribuidos.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10/ISR/N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ISR por dividendos o utilidades. Orden en el que se efectuará su acreditamiento.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11/ISR/N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Declaración del ejercicio del ISR. La fiduciaria no está obligada a presentarla por las actividades realizadas a través de un fideicomiso.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12/ISR/N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Determinación del reparto adicional de participación de utilidades a los trabajadores de las empresas. Las autoridades fiscales no están obligadas a verificar la existencia de relación laboral alguna.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13/ISR/N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Ingresos acumulables por la prestación del servicio de emisión de vales o monederos electrónicos.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14/ISR/N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Ingresos acumulables de personas distintas a casas de cambio que se dedican a la compra y venta de divisas. Sólo debe tomarse en consideración la ganancia efectivamente percibida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15/ISR/N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Autorización para enajenar acciones a costo fiscal. La sociedad emisora de las acciones no requiere estar constituida en México.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16/ISR/N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Autorización para enajenar acciones a costo fiscal. No se actualiza el supuesto para otorgarla tratándose de aquéllas que no tengan costo promedio por acción.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17/ISR/N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Envases de bebidas embotelladas. Supuestos en los que se deben considerar activo fijo o mercancía.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18/ISR/N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Deducción de pérdidas por caso fortuito o fuerza mayor.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19/ISR/N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Intereses devengados. Supuesto en el que se acredita el requisito de la deducibilidad.</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20/ISR/N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21/ISR/N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Personas morales que concentren sus transacciones de tesorería. Excepción al requisito de deducibilidad previsto para la procedencia del acreditamiento del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22/ISR/N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Pérdidas por créditos incobrables. Notoria imposibilidad práctica de cobro.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23/ISR/N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Intereses no se consideran cantidades pagadas por concepto de ISR a cargo de terceros.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24/ISR/N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Dádivas a servidores públicos. No son deducibles para los efectos del ISR.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25/ISR/N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Crédito comercial. No es deducible el sobreprecio que paga el contribuyente por la adquisición de un bien. </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26/ISR/N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27/ISR/N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Deducciones del ISR. Los vehículos denominados pick up son camiones de carga.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28/ISR/N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Cálculo del ajuste anual por inflación. No debe considerarse el IVA acreditable.</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29/ISR/N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Operaciones financieras derivadas de capital referenciadas al tipo de cambio de una divisa. El hecho de estar previstas en una disposición que regula la no retención por el pago de intereses no altera su naturaleza.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30/ISR/N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Actualización de pérdidas fiscales. Factor aplicable.</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31/ISR/N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Aumento de la pérdida fiscal en declaraciones complementarias.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32/ISR/N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Personas morales que celebran operaciones con partes relacionadas residentes en México. Documentación e información comprobatoria que deben conservar.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33/ISR/N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Personas morales. Concepto de partes relacionadas.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34/ISR/N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Personas morales que celebran operaciones con partes relacionadas sin importar su residencia fiscal. Cumplimiento de obligaciones.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35/ISR/N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Personas morales que celebran operaciones con partes relacionadas. Aplicación de las Guías de la OCDE.</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36/ISR/N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Utilidad fiscal neta del ejercicio. En su determinación no debe restarse al resultado fiscal del ejercicio la participación de los trabajadores en las utilidades de la empresa.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37/ISR/N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Sociedades cooperativas de consumo. No están obligadas a pagar el ISR cuando enajenen bienes distintos de su activo fijo.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38/ISR/N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Instituciones de enseñanza, comprendidas en el Título III de la Ley del ISR. Son personas morales con fines no lucrativos cuando obtengan el reconocimiento de validez oficial de estudios.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39/ISR/N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40/ISR/N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Premios por asistencia y puntualidad. No son prestaciones de naturaleza análoga a la previsión social.</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41/ISR/N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Previsión Social. Cumplimiento del requisito de generalidad.</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42/ISR/N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Ingresos por enajenación de bienes inmuebles destinados a casa habitación.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43/ISR/N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Propinas. Constituyen un ingreso para el trabajador.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44/ISR/N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Subsidio para el empleo. Es factible recuperar vía devolución el remanente no acreditado.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45/ISR/N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Devolución de saldos a favor. No es requisito indispensable la </w:t>
            </w:r>
            <w:r w:rsidRPr="00957B34">
              <w:rPr>
                <w:rFonts w:ascii="Verdana" w:eastAsia="Times New Roman" w:hAnsi="Verdana" w:cs="Arial"/>
                <w:sz w:val="20"/>
                <w:szCs w:val="20"/>
                <w:lang w:val="es-ES" w:eastAsia="es-MX"/>
              </w:rPr>
              <w:lastRenderedPageBreak/>
              <w:t xml:space="preserve">presentación por parte del trabajador del escrito de aviso al patrón.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46/ISR/N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Acciones emitidas por sociedades extranjeras cotizadas en bolsas de valores concesionadas. Su enajenación está sujeta a la tasa del 10%.</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47/ISR/N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Dividendos o utilidades distribuidos. Acumulación a los demás ingresos por parte de las personas físicas.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48/ISR/N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Dividendos o utilidades distribuidos pagados por una sociedad. Acumulación de los demás ingresos de las personas físicas.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49/ISR/N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Dividendos o utilidades distribuidos. Momento de acumulación de los ingresos de las personas físicas.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50/ISR/N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Devolución de saldos a favor a personas físicas. Acreditamiento del ISR pagado por la persona que distribuyó los dividendos.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51/ISR/N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Préstamos a socios y accionistas. Se consideran dividendos.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52/ISR/N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53/ISR/N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Personas físicas. Ingresos percibidos por estímulos fiscales, se consideran percibidos en el momento que se incrementa el patrimonio.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54/ISR/N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Operaciones financieras derivadas en las que se liquiden diferencias durante su vigencia. Se considera que existe un vencimiento en cada liquidación respecto del monto de la diferencia liquidada.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55/ISR/N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Deducible del seguro de gastos médicos. No es una deducción personal.</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56/ISR/N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Ingresos por honorarios y en general por la prestación de un servicio profesional, para los efectos del Título V de la Ley del ISR.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57/ISR/N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Simulación de actos jurídicos en operaciones entre partes relacionadas. Puede determinarse para ingresos procedentes de fuente de riqueza en el país, de cualquier persona obligada al pago del impuesto.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58/ISR/N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Operación de maquila para los efectos de la Ley del ISR. Alcance del concepto transformación.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59/ISR/N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Operación de maquila para los efectos de la Ley del ISR. Mercancías con las que deben realizarse los procesos de transformación o reparación.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60/ISR/N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Operación de maquila para los efectos del Decreto IMMEX. Porcentaje de la maquinaria y equipo que se utiliza.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61/ISR/N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Actualización. No se considera ingreso acumulable para efectos del cálculo del ISR.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62/ISR/IETU/N</w:t>
            </w:r>
            <w:r w:rsidRPr="00957B34">
              <w:rPr>
                <w:rFonts w:ascii="Verdana" w:eastAsia="Times New Roman" w:hAnsi="Verdana" w:cs="Arial"/>
                <w:sz w:val="20"/>
                <w:szCs w:val="20"/>
                <w:lang w:val="es-ES" w:eastAsia="es-MX"/>
              </w:rPr>
              <w:tab/>
              <w:t>Acreditamiento del ISR contra el IETU a solicitud del contribuyente, cuando existan resoluciones determinantes.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63/ISR/N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64/ISR/N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Intereses pagados a residentes en el extranjero por sociedades financieras de objeto múltiple en operaciones entre personas relacionadas, que deriven de préstamos u otros créditos.</w:t>
            </w:r>
            <w:r w:rsidRPr="00957B34">
              <w:rPr>
                <w:rFonts w:ascii="Verdana" w:eastAsia="Times New Roman" w:hAnsi="Verdana" w:cs="Arial"/>
                <w:b/>
                <w:sz w:val="20"/>
                <w:szCs w:val="20"/>
                <w:lang w:val="es-ES" w:eastAsia="es-MX"/>
              </w:rPr>
              <w:t xml:space="preserve"> </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65/ISR/N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Gas de empaque. El utilizado en el servicio de transporte de gas natural tiene la naturaleza de activo fijo.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66/ISR/N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Beneficios empresariales para los efectos de los tratados para evitar la doble tributación y su relación con el artículo 175, fracción VI de la Ley del ISR.</w:t>
            </w:r>
          </w:p>
        </w:tc>
      </w:tr>
      <w:tr w:rsidR="00957B34" w:rsidRPr="00957B34" w:rsidTr="00957B34">
        <w:trPr>
          <w:trHeight w:val="20"/>
        </w:trPr>
        <w:tc>
          <w:tcPr>
            <w:tcW w:w="9212" w:type="dxa"/>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 Criterios de la Ley del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1/IVA/N</w:t>
            </w:r>
            <w:r w:rsidRPr="00957B34">
              <w:rPr>
                <w:rFonts w:ascii="Verdana" w:eastAsia="Times New Roman" w:hAnsi="Verdana" w:cs="Arial"/>
                <w:sz w:val="20"/>
                <w:szCs w:val="20"/>
                <w:lang w:val="es-ES" w:eastAsia="es-MX"/>
              </w:rPr>
              <w:tab/>
              <w:t>La contraprestación pagada con acciones o partes sociales por aportaciones en especie a sociedades mercantiles, se considera efectivamente cobrada con la entrega de las mismas.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2/IVA/N</w:t>
            </w:r>
            <w:r w:rsidRPr="00957B34">
              <w:rPr>
                <w:rFonts w:ascii="Verdana" w:eastAsia="Times New Roman" w:hAnsi="Verdana" w:cs="Arial"/>
                <w:sz w:val="20"/>
                <w:szCs w:val="20"/>
                <w:lang w:val="es-ES" w:eastAsia="es-MX"/>
              </w:rPr>
              <w:tab/>
              <w:t>Indemnización por cheque no pagado. El monto de la misma no es objeto del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3/IVA/N</w:t>
            </w:r>
            <w:r w:rsidRPr="00957B34">
              <w:rPr>
                <w:rFonts w:ascii="Verdana" w:eastAsia="Times New Roman" w:hAnsi="Verdana" w:cs="Arial"/>
                <w:sz w:val="20"/>
                <w:szCs w:val="20"/>
                <w:lang w:val="es-ES" w:eastAsia="es-MX"/>
              </w:rPr>
              <w:tab/>
              <w:t xml:space="preserve">Traslado de impuesto a una tasa incorrecta.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4/IVA/N</w:t>
            </w:r>
            <w:r w:rsidRPr="00957B34">
              <w:rPr>
                <w:rFonts w:ascii="Verdana" w:eastAsia="Times New Roman" w:hAnsi="Verdana" w:cs="Arial"/>
                <w:sz w:val="20"/>
                <w:szCs w:val="20"/>
                <w:lang w:val="es-ES" w:eastAsia="es-MX"/>
              </w:rPr>
              <w:tab/>
              <w:t>Retenciones del IVA. No proceden por servicios prestados como actividad empresarial.</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5/IVA/N</w:t>
            </w:r>
            <w:r w:rsidRPr="00957B34">
              <w:rPr>
                <w:rFonts w:ascii="Verdana" w:eastAsia="Times New Roman" w:hAnsi="Verdana" w:cs="Arial"/>
                <w:sz w:val="20"/>
                <w:szCs w:val="20"/>
                <w:lang w:val="es-ES" w:eastAsia="es-MX"/>
              </w:rPr>
              <w:tab/>
              <w:t>Servicios de mensajería y paquetería. No se encuentran sujetos a la retención del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6/IVA/N</w:t>
            </w:r>
            <w:r w:rsidRPr="00957B34">
              <w:rPr>
                <w:rFonts w:ascii="Verdana" w:eastAsia="Times New Roman" w:hAnsi="Verdana" w:cs="Arial"/>
                <w:sz w:val="20"/>
                <w:szCs w:val="20"/>
                <w:lang w:val="es-ES" w:eastAsia="es-MX"/>
              </w:rPr>
              <w:tab/>
              <w:t>Transmisión de deudas. Momento en que se considera efectivamente cobrada la contraprestación y pagado el impuesto.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7/IVA/N</w:t>
            </w:r>
            <w:r w:rsidRPr="00957B34">
              <w:rPr>
                <w:rFonts w:ascii="Verdana" w:eastAsia="Times New Roman" w:hAnsi="Verdana" w:cs="Arial"/>
                <w:sz w:val="20"/>
                <w:szCs w:val="20"/>
                <w:lang w:val="es-ES" w:eastAsia="es-MX"/>
              </w:rPr>
              <w:tab/>
              <w:t>Enajenación de colmenas polinizadoras.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8/IVA/N</w:t>
            </w:r>
            <w:r w:rsidRPr="00957B34">
              <w:rPr>
                <w:rFonts w:ascii="Verdana" w:eastAsia="Times New Roman" w:hAnsi="Verdana" w:cs="Arial"/>
                <w:sz w:val="20"/>
                <w:szCs w:val="20"/>
                <w:lang w:val="es-ES" w:eastAsia="es-MX"/>
              </w:rPr>
              <w:tab/>
              <w:t>Enajenación de pieles frescas.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9/IVA/N</w:t>
            </w:r>
            <w:r w:rsidRPr="00957B34">
              <w:rPr>
                <w:rFonts w:ascii="Verdana" w:eastAsia="Times New Roman" w:hAnsi="Verdana" w:cs="Arial"/>
                <w:sz w:val="20"/>
                <w:szCs w:val="20"/>
                <w:lang w:val="es-ES" w:eastAsia="es-MX"/>
              </w:rPr>
              <w:tab/>
              <w:t>Medicinas de patente.</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10/IVA/N</w:t>
            </w:r>
            <w:r w:rsidRPr="00957B34">
              <w:rPr>
                <w:rFonts w:ascii="Verdana" w:eastAsia="Times New Roman" w:hAnsi="Verdana" w:cs="Arial"/>
                <w:sz w:val="20"/>
                <w:szCs w:val="20"/>
                <w:lang w:val="es-ES" w:eastAsia="es-MX"/>
              </w:rPr>
              <w:tab/>
              <w:t>Suministro de medicamentos como parte de los servicios de un hospital. Se debe considerar la tasa general del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11/IVA/N</w:t>
            </w:r>
            <w:r w:rsidRPr="00957B34">
              <w:rPr>
                <w:rFonts w:ascii="Verdana" w:eastAsia="Times New Roman" w:hAnsi="Verdana" w:cs="Arial"/>
                <w:sz w:val="20"/>
                <w:szCs w:val="20"/>
                <w:lang w:val="es-ES" w:eastAsia="es-MX"/>
              </w:rPr>
              <w:tab/>
              <w:t>Productos destinados a la alimentación.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12/IVA/N</w:t>
            </w:r>
            <w:r w:rsidRPr="00957B34">
              <w:rPr>
                <w:rFonts w:ascii="Verdana" w:eastAsia="Times New Roman" w:hAnsi="Verdana" w:cs="Arial"/>
                <w:sz w:val="20"/>
                <w:szCs w:val="20"/>
                <w:lang w:val="es-ES" w:eastAsia="es-MX"/>
              </w:rPr>
              <w:tab/>
              <w:t>Suplementos alimenticios. No se consideran como productos destinados a la alimentación.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13/IVA/N</w:t>
            </w:r>
            <w:r w:rsidRPr="00957B34">
              <w:rPr>
                <w:rFonts w:ascii="Verdana" w:eastAsia="Times New Roman" w:hAnsi="Verdana" w:cs="Arial"/>
                <w:sz w:val="20"/>
                <w:szCs w:val="20"/>
                <w:lang w:val="es-ES" w:eastAsia="es-MX"/>
              </w:rPr>
              <w:tab/>
              <w:t>Concepto de leche para efectos del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14/IVA/N</w:t>
            </w:r>
            <w:r w:rsidRPr="00957B34">
              <w:rPr>
                <w:rFonts w:ascii="Verdana" w:eastAsia="Times New Roman" w:hAnsi="Verdana" w:cs="Arial"/>
                <w:sz w:val="20"/>
                <w:szCs w:val="20"/>
                <w:lang w:val="es-ES" w:eastAsia="es-MX"/>
              </w:rPr>
              <w:tab/>
              <w:t>Alimentos preparados.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15/IVA/N</w:t>
            </w:r>
            <w:r w:rsidRPr="00957B34">
              <w:rPr>
                <w:rFonts w:ascii="Verdana" w:eastAsia="Times New Roman" w:hAnsi="Verdana" w:cs="Arial"/>
                <w:sz w:val="20"/>
                <w:szCs w:val="20"/>
                <w:lang w:val="es-ES" w:eastAsia="es-MX"/>
              </w:rPr>
              <w:tab/>
              <w:t>Alimentos preparados para su consumo en el lugar de su enajenación.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16/IVA/N</w:t>
            </w:r>
            <w:r w:rsidRPr="00957B34">
              <w:rPr>
                <w:rFonts w:ascii="Verdana" w:eastAsia="Times New Roman" w:hAnsi="Verdana" w:cs="Arial"/>
                <w:sz w:val="20"/>
                <w:szCs w:val="20"/>
                <w:lang w:val="es-ES" w:eastAsia="es-MX"/>
              </w:rPr>
              <w:tab/>
              <w:t>Enajenación de refacciones para equipo agrícola.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17/IVA/N</w:t>
            </w:r>
            <w:r w:rsidRPr="00957B34">
              <w:rPr>
                <w:rFonts w:ascii="Verdana" w:eastAsia="Times New Roman" w:hAnsi="Verdana" w:cs="Arial"/>
                <w:sz w:val="20"/>
                <w:szCs w:val="20"/>
                <w:lang w:val="es-ES" w:eastAsia="es-MX"/>
              </w:rPr>
              <w:tab/>
              <w:t>Equipos integrados a invernaderos hidropónicos.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18/IVA/N</w:t>
            </w:r>
            <w:r w:rsidRPr="00957B34">
              <w:rPr>
                <w:rFonts w:ascii="Verdana" w:eastAsia="Times New Roman" w:hAnsi="Verdana" w:cs="Arial"/>
                <w:sz w:val="20"/>
                <w:szCs w:val="20"/>
                <w:lang w:val="es-ES" w:eastAsia="es-MX"/>
              </w:rPr>
              <w:tab/>
              <w:t>Libros contenidos en medios electrónicos, táctiles o auditivos. Tratamiento en materia de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19/IVA/N</w:t>
            </w:r>
            <w:r w:rsidRPr="00957B34">
              <w:rPr>
                <w:rFonts w:ascii="Verdana" w:eastAsia="Times New Roman" w:hAnsi="Verdana" w:cs="Arial"/>
                <w:sz w:val="20"/>
                <w:szCs w:val="20"/>
                <w:lang w:val="es-ES" w:eastAsia="es-MX"/>
              </w:rPr>
              <w:tab/>
              <w:t>Cargos entre líneas aéreas.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20/IVA/N</w:t>
            </w:r>
            <w:r w:rsidRPr="00957B34">
              <w:rPr>
                <w:rFonts w:ascii="Verdana" w:eastAsia="Times New Roman" w:hAnsi="Verdana" w:cs="Arial"/>
                <w:sz w:val="20"/>
                <w:szCs w:val="20"/>
                <w:lang w:val="es-ES" w:eastAsia="es-MX"/>
              </w:rPr>
              <w:tab/>
            </w:r>
            <w:r w:rsidRPr="00957B34">
              <w:rPr>
                <w:rFonts w:ascii="Verdana" w:eastAsia="Times New Roman" w:hAnsi="Verdana" w:cs="Arial"/>
                <w:color w:val="000000"/>
                <w:sz w:val="20"/>
                <w:szCs w:val="20"/>
                <w:lang w:val="es-ES" w:eastAsia="es-MX"/>
              </w:rPr>
              <w:t>Prestación de servicios a sociedades dedicadas a actividades agrícolas y ganaderas.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21/IVA/N</w:t>
            </w:r>
            <w:r w:rsidRPr="00957B34">
              <w:rPr>
                <w:rFonts w:ascii="Verdana" w:eastAsia="Times New Roman" w:hAnsi="Verdana" w:cs="Arial"/>
                <w:sz w:val="20"/>
                <w:szCs w:val="20"/>
                <w:lang w:val="es-ES" w:eastAsia="es-MX"/>
              </w:rPr>
              <w:tab/>
              <w:t>Prestación de servicios en invernaderos hidropónicos. Aplicación de la tasa del 0%.</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22/IVA/N</w:t>
            </w:r>
            <w:r w:rsidRPr="00957B34">
              <w:rPr>
                <w:rFonts w:ascii="Verdana" w:eastAsia="Times New Roman" w:hAnsi="Verdana" w:cs="Arial"/>
                <w:sz w:val="20"/>
                <w:szCs w:val="20"/>
                <w:lang w:val="es-ES" w:eastAsia="es-MX"/>
              </w:rPr>
              <w:tab/>
            </w:r>
            <w:proofErr w:type="gramStart"/>
            <w:r w:rsidRPr="00957B34">
              <w:rPr>
                <w:rFonts w:ascii="Verdana" w:eastAsia="Times New Roman" w:hAnsi="Verdana" w:cs="Arial"/>
                <w:sz w:val="20"/>
                <w:szCs w:val="20"/>
                <w:lang w:val="es-ES" w:eastAsia="es-MX"/>
              </w:rPr>
              <w:t>IVA</w:t>
            </w:r>
            <w:proofErr w:type="gramEnd"/>
            <w:r w:rsidRPr="00957B34">
              <w:rPr>
                <w:rFonts w:ascii="Verdana" w:eastAsia="Times New Roman" w:hAnsi="Verdana" w:cs="Arial"/>
                <w:sz w:val="20"/>
                <w:szCs w:val="20"/>
                <w:lang w:val="es-ES" w:eastAsia="es-MX"/>
              </w:rPr>
              <w:t xml:space="preserve"> en importaciones que realice la Federación, los Estados, los Municipios, así como sus organismos descentralizados y las instituciones públicas de seguridad social.</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23/IVA/N</w:t>
            </w:r>
            <w:r w:rsidRPr="00957B34">
              <w:rPr>
                <w:rFonts w:ascii="Verdana" w:eastAsia="Times New Roman" w:hAnsi="Verdana" w:cs="Arial"/>
                <w:sz w:val="20"/>
                <w:szCs w:val="20"/>
                <w:lang w:val="es-ES" w:eastAsia="es-MX"/>
              </w:rPr>
              <w:tab/>
            </w:r>
            <w:r w:rsidRPr="00957B34">
              <w:rPr>
                <w:rFonts w:ascii="Verdana" w:eastAsia="Times New Roman" w:hAnsi="Verdana" w:cs="Arial"/>
                <w:sz w:val="20"/>
                <w:szCs w:val="20"/>
                <w:lang w:val="es-ES_tradnl" w:eastAsia="es-MX"/>
              </w:rPr>
              <w:t>Cálculo de la proporción de acreditamiento cuando se realicen actividades exentas a título gratuito</w:t>
            </w:r>
            <w:r w:rsidRPr="00957B34">
              <w:rPr>
                <w:rFonts w:ascii="Verdana" w:eastAsia="Times New Roman" w:hAnsi="Verdana" w:cs="Arial"/>
                <w:sz w:val="20"/>
                <w:szCs w:val="20"/>
                <w:lang w:val="es-ES" w:eastAsia="es-MX"/>
              </w:rPr>
              <w:t xml:space="preserve">. </w:t>
            </w:r>
            <w:r w:rsidRPr="00957B34">
              <w:rPr>
                <w:rFonts w:ascii="Verdana" w:eastAsia="Times New Roman" w:hAnsi="Verdana" w:cs="Arial"/>
                <w:b/>
                <w:sz w:val="20"/>
                <w:szCs w:val="20"/>
                <w:lang w:val="es-ES" w:eastAsia="es-MX"/>
              </w:rPr>
              <w:t>(Se modifica)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24/IVA/N</w:t>
            </w:r>
            <w:r w:rsidRPr="00957B34">
              <w:rPr>
                <w:rFonts w:ascii="Verdana" w:eastAsia="Times New Roman" w:hAnsi="Verdana" w:cs="Arial"/>
                <w:sz w:val="20"/>
                <w:szCs w:val="20"/>
                <w:lang w:val="es-ES" w:eastAsia="es-MX"/>
              </w:rPr>
              <w:tab/>
              <w:t>Devolución de saldos a favor del IVA. No procede la devolución del remanente de un saldo a favor, si previamente se acreditó contra un pago posterior a la declaración en la que se determinó.</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25/IVA/N</w:t>
            </w:r>
            <w:r w:rsidRPr="00957B34">
              <w:rPr>
                <w:rFonts w:ascii="Verdana" w:eastAsia="Times New Roman" w:hAnsi="Verdana" w:cs="Arial"/>
                <w:sz w:val="20"/>
                <w:szCs w:val="20"/>
                <w:lang w:val="es-ES" w:eastAsia="es-MX"/>
              </w:rPr>
              <w:tab/>
              <w:t xml:space="preserve">Compensación del IVA. Casos en que procede.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26/IVA/N</w:t>
            </w:r>
            <w:r w:rsidRPr="00957B34">
              <w:rPr>
                <w:rFonts w:ascii="Verdana" w:eastAsia="Times New Roman" w:hAnsi="Verdana" w:cs="Arial"/>
                <w:sz w:val="20"/>
                <w:szCs w:val="20"/>
                <w:lang w:val="es-ES" w:eastAsia="es-MX"/>
              </w:rPr>
              <w:tab/>
              <w:t>Reembolsos o reintegros en especie. Constituyen enajenación.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27/IVA/N</w:t>
            </w:r>
            <w:r w:rsidRPr="00957B34">
              <w:rPr>
                <w:rFonts w:ascii="Verdana" w:eastAsia="Times New Roman" w:hAnsi="Verdana" w:cs="Arial"/>
                <w:sz w:val="20"/>
                <w:szCs w:val="20"/>
                <w:lang w:val="es-ES" w:eastAsia="es-MX"/>
              </w:rPr>
              <w:tab/>
              <w:t>Enajenación de piedra, arena y tierra. No son bienes inmuebles.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28/IVA/N</w:t>
            </w:r>
            <w:r w:rsidRPr="00957B34">
              <w:rPr>
                <w:rFonts w:ascii="Verdana" w:eastAsia="Times New Roman" w:hAnsi="Verdana" w:cs="Arial"/>
                <w:sz w:val="20"/>
                <w:szCs w:val="20"/>
                <w:lang w:val="es-ES" w:eastAsia="es-MX"/>
              </w:rPr>
              <w:tab/>
              <w:t>Enajenación de casa habitación. La disposición que establece que no se pagará el IVA no abarca a servicios parciales en su construcción.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29/IVA/N</w:t>
            </w:r>
            <w:r w:rsidRPr="00957B34">
              <w:rPr>
                <w:rFonts w:ascii="Verdana" w:eastAsia="Times New Roman" w:hAnsi="Verdana" w:cs="Arial"/>
                <w:sz w:val="20"/>
                <w:szCs w:val="20"/>
                <w:lang w:val="es-ES" w:eastAsia="es-MX"/>
              </w:rPr>
              <w:tab/>
              <w:t>Exención. Comisiones por el otorgamiento de créditos hipotecarios para vivienda.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30/IVA/N</w:t>
            </w:r>
            <w:r w:rsidRPr="00957B34">
              <w:rPr>
                <w:rFonts w:ascii="Verdana" w:eastAsia="Times New Roman" w:hAnsi="Verdana" w:cs="Arial"/>
                <w:sz w:val="20"/>
                <w:szCs w:val="20"/>
                <w:lang w:val="es-ES" w:eastAsia="es-MX"/>
              </w:rPr>
              <w:tab/>
              <w:t xml:space="preserve">Comisiones de agentes de seguros. No se ubican en el supuesto de exención del IVA las contraprestaciones a personas morales que no tengan el carácter de agentes de seguros.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31/IVA/N</w:t>
            </w:r>
            <w:r w:rsidRPr="00957B34">
              <w:rPr>
                <w:rFonts w:ascii="Verdana" w:eastAsia="Times New Roman" w:hAnsi="Verdana" w:cs="Arial"/>
                <w:sz w:val="20"/>
                <w:szCs w:val="20"/>
                <w:lang w:val="es-ES" w:eastAsia="es-MX"/>
              </w:rPr>
              <w:tab/>
              <w:t>Intereses moratorios.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32/IVA/N</w:t>
            </w:r>
            <w:r w:rsidRPr="00957B34">
              <w:rPr>
                <w:rFonts w:ascii="Verdana" w:eastAsia="Times New Roman" w:hAnsi="Verdana" w:cs="Arial"/>
                <w:sz w:val="20"/>
                <w:szCs w:val="20"/>
                <w:lang w:val="es-ES" w:eastAsia="es-MX"/>
              </w:rPr>
              <w:tab/>
              <w:t xml:space="preserve">Intereses en financiamientos de actos gravados a la tasa del 0% o exentos. </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33/IVA/N</w:t>
            </w:r>
            <w:r w:rsidRPr="00957B34">
              <w:rPr>
                <w:rFonts w:ascii="Verdana" w:eastAsia="Times New Roman" w:hAnsi="Verdana" w:cs="Arial"/>
                <w:sz w:val="20"/>
                <w:szCs w:val="20"/>
                <w:lang w:val="es-ES" w:eastAsia="es-MX"/>
              </w:rPr>
              <w:tab/>
              <w:t>Propinas. No forman parte de la base gravable del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34/IVA/N</w:t>
            </w:r>
            <w:r w:rsidRPr="00957B34">
              <w:rPr>
                <w:rFonts w:ascii="Verdana" w:eastAsia="Times New Roman" w:hAnsi="Verdana" w:cs="Arial"/>
                <w:sz w:val="20"/>
                <w:szCs w:val="20"/>
                <w:lang w:val="es-ES" w:eastAsia="es-MX"/>
              </w:rPr>
              <w:tab/>
            </w:r>
            <w:proofErr w:type="gramStart"/>
            <w:r w:rsidRPr="00957B34">
              <w:rPr>
                <w:rFonts w:ascii="Verdana" w:eastAsia="Times New Roman" w:hAnsi="Verdana" w:cs="Arial"/>
                <w:sz w:val="20"/>
                <w:szCs w:val="20"/>
                <w:lang w:val="es-ES" w:eastAsia="es-MX"/>
              </w:rPr>
              <w:t>IVA</w:t>
            </w:r>
            <w:proofErr w:type="gramEnd"/>
            <w:r w:rsidRPr="00957B34">
              <w:rPr>
                <w:rFonts w:ascii="Verdana" w:eastAsia="Times New Roman" w:hAnsi="Verdana" w:cs="Arial"/>
                <w:sz w:val="20"/>
                <w:szCs w:val="20"/>
                <w:lang w:val="es-ES" w:eastAsia="es-MX"/>
              </w:rPr>
              <w:t>. Base del impuesto por la prestación del servicio de emisión de vales y monederos electrónicos.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35/IVA/N</w:t>
            </w:r>
            <w:r w:rsidRPr="00957B34">
              <w:rPr>
                <w:rFonts w:ascii="Verdana" w:eastAsia="Times New Roman" w:hAnsi="Verdana" w:cs="Arial"/>
                <w:sz w:val="20"/>
                <w:szCs w:val="20"/>
                <w:lang w:val="es-ES" w:eastAsia="es-MX"/>
              </w:rPr>
              <w:tab/>
              <w:t>Impuesto por la importación de servicios prestados en territorio nacional por residentes en el extranjero. Se causa cuando se dé la prestación del servicio.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36/IVA/N</w:t>
            </w:r>
            <w:r w:rsidRPr="00957B34">
              <w:rPr>
                <w:rFonts w:ascii="Verdana" w:eastAsia="Times New Roman" w:hAnsi="Verdana" w:cs="Arial"/>
                <w:sz w:val="20"/>
                <w:szCs w:val="20"/>
                <w:lang w:val="es-ES" w:eastAsia="es-MX"/>
              </w:rPr>
              <w:tab/>
            </w:r>
            <w:proofErr w:type="gramStart"/>
            <w:r w:rsidRPr="00957B34">
              <w:rPr>
                <w:rFonts w:ascii="Verdana" w:eastAsia="Times New Roman" w:hAnsi="Verdana" w:cs="Arial"/>
                <w:sz w:val="20"/>
                <w:szCs w:val="20"/>
                <w:lang w:val="es-ES" w:eastAsia="es-MX"/>
              </w:rPr>
              <w:t>IVA</w:t>
            </w:r>
            <w:proofErr w:type="gramEnd"/>
            <w:r w:rsidRPr="00957B34">
              <w:rPr>
                <w:rFonts w:ascii="Verdana" w:eastAsia="Times New Roman" w:hAnsi="Verdana" w:cs="Arial"/>
                <w:sz w:val="20"/>
                <w:szCs w:val="20"/>
                <w:lang w:val="es-ES" w:eastAsia="es-MX"/>
              </w:rPr>
              <w:t>. Es exenta la importación de mercancías gravadas a la tasa del 0%.</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37/IVA/N</w:t>
            </w:r>
            <w:r w:rsidRPr="00957B34">
              <w:rPr>
                <w:rFonts w:ascii="Verdana" w:eastAsia="Times New Roman" w:hAnsi="Verdana" w:cs="Arial"/>
                <w:sz w:val="20"/>
                <w:szCs w:val="20"/>
                <w:lang w:val="es-ES" w:eastAsia="es-MX"/>
              </w:rPr>
              <w:tab/>
              <w:t>Disposición aplicable para determinar las importaciones de oro por las cuales no se pagará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38/IVA/N</w:t>
            </w:r>
            <w:r w:rsidRPr="00957B34">
              <w:rPr>
                <w:rFonts w:ascii="Verdana" w:eastAsia="Times New Roman" w:hAnsi="Verdana" w:cs="Arial"/>
                <w:sz w:val="20"/>
                <w:szCs w:val="20"/>
                <w:lang w:val="es-ES" w:eastAsia="es-MX"/>
              </w:rPr>
              <w:tab/>
              <w:t>Pago y acreditamiento del IVA por importaciones, cuando las actividades del importador estén gravadas a la tasa del 0%.</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39/IVA/N</w:t>
            </w:r>
            <w:r w:rsidRPr="00957B34">
              <w:rPr>
                <w:rFonts w:ascii="Verdana" w:eastAsia="Times New Roman" w:hAnsi="Verdana" w:cs="Arial"/>
                <w:sz w:val="20"/>
                <w:szCs w:val="20"/>
                <w:lang w:val="es-ES" w:eastAsia="es-MX"/>
              </w:rPr>
              <w:tab/>
              <w:t>Tasa del 0% del IVA. Resulta aplicable y no se pagará el IEPS, cuando las mercancías nacionales sean destinadas al régimen de depósito fiscal para su exposición y venta en las tiendas denominadas “Duty Free”.</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40/IVA/N</w:t>
            </w:r>
            <w:r w:rsidRPr="00957B34">
              <w:rPr>
                <w:rFonts w:ascii="Verdana" w:eastAsia="Times New Roman" w:hAnsi="Verdana" w:cs="Arial"/>
                <w:sz w:val="20"/>
                <w:szCs w:val="20"/>
                <w:lang w:val="es-ES" w:eastAsia="es-MX"/>
              </w:rPr>
              <w:tab/>
              <w:t>Seguros. Vehículos de residentes en el extranjero que ingresan temporalmente al país.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41/IVA/N</w:t>
            </w:r>
            <w:r w:rsidRPr="00957B34">
              <w:rPr>
                <w:rFonts w:ascii="Verdana" w:eastAsia="Times New Roman" w:hAnsi="Verdana" w:cs="Arial"/>
                <w:sz w:val="20"/>
                <w:szCs w:val="20"/>
                <w:lang w:val="es-ES" w:eastAsia="es-MX"/>
              </w:rPr>
              <w:tab/>
              <w:t xml:space="preserve">En la enajenación de artículos puestos a bordo de aeronaves. Aplicación del Convenio sobre Transportes Aéreos entre el Gobierno de los Estados Unidos Mexicanos y el Gobierno de los Estados Unidos de América y otros equivalentes.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42/IVA/IEPS/N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Impuestos trasladados. Cuando el contribuyente los pague sin </w:t>
            </w:r>
            <w:r w:rsidRPr="00957B34">
              <w:rPr>
                <w:rFonts w:ascii="Verdana" w:eastAsia="Times New Roman" w:hAnsi="Verdana" w:cs="Arial"/>
                <w:sz w:val="20"/>
                <w:szCs w:val="20"/>
                <w:lang w:val="es-ES" w:eastAsia="es-MX"/>
              </w:rPr>
              <w:lastRenderedPageBreak/>
              <w:t>haber realizado el cargo o cobro correspondiente al sujeto económico, podrá obtener beneficios legales sin las exclusiones aplicables a dichos impuestos.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43/IVA/N</w:t>
            </w:r>
            <w:r w:rsidRPr="00957B34">
              <w:rPr>
                <w:rFonts w:ascii="Verdana" w:eastAsia="Times New Roman" w:hAnsi="Verdana" w:cs="Arial"/>
                <w:sz w:val="20"/>
                <w:szCs w:val="20"/>
                <w:lang w:val="es-ES" w:eastAsia="es-MX"/>
              </w:rPr>
              <w:tab/>
              <w:t>Enajenación de sal tasa aplicable en IVA.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44/IVA/N</w:t>
            </w:r>
            <w:r w:rsidRPr="00957B34">
              <w:rPr>
                <w:rFonts w:ascii="Verdana" w:eastAsia="Times New Roman" w:hAnsi="Verdana" w:cs="Arial"/>
                <w:sz w:val="20"/>
                <w:szCs w:val="20"/>
                <w:lang w:val="es-ES" w:eastAsia="es-MX"/>
              </w:rPr>
              <w:tab/>
              <w:t>Rollos de película o acolchados plásticos. No son herbicidas ni plaguicidas.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45/IVA/N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Acreditamiento del IVA tratándose de contribuyentes que obtengan ingresos por actividades distintas de las establecidas en el artículo 1 de la Ley del IVA.</w:t>
            </w:r>
          </w:p>
        </w:tc>
      </w:tr>
      <w:tr w:rsidR="00957B34" w:rsidRPr="00957B34" w:rsidTr="00957B34">
        <w:trPr>
          <w:trHeight w:val="20"/>
        </w:trPr>
        <w:tc>
          <w:tcPr>
            <w:tcW w:w="9212" w:type="dxa"/>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 Criterios de la Ley del IEPS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1/IEPS/N</w:t>
            </w:r>
            <w:r w:rsidRPr="00957B34">
              <w:rPr>
                <w:rFonts w:ascii="Verdana" w:eastAsia="Times New Roman" w:hAnsi="Verdana" w:cs="Arial"/>
                <w:sz w:val="20"/>
                <w:szCs w:val="20"/>
                <w:lang w:val="es-ES" w:eastAsia="es-MX"/>
              </w:rPr>
              <w:tab/>
              <w:t>Enajenaciones subsecuentes de alcohol o alcohol desnaturalizado. Las personas que las efectúan, son contribuyentes del IEPS.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2/IEPS/N</w:t>
            </w:r>
            <w:r w:rsidRPr="00957B34">
              <w:rPr>
                <w:rFonts w:ascii="Verdana" w:eastAsia="Times New Roman" w:hAnsi="Verdana" w:cs="Arial"/>
                <w:sz w:val="20"/>
                <w:szCs w:val="20"/>
                <w:lang w:val="es-ES" w:eastAsia="es-MX"/>
              </w:rPr>
              <w:tab/>
              <w:t>Plaguicidas. Acreditamiento de la categoría de peligro de toxicidad aguda de los plaguicidas.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3/IEPS/N</w:t>
            </w:r>
            <w:r w:rsidRPr="00957B34">
              <w:rPr>
                <w:rFonts w:ascii="Verdana" w:eastAsia="Times New Roman" w:hAnsi="Verdana" w:cs="Arial"/>
                <w:sz w:val="20"/>
                <w:szCs w:val="20"/>
                <w:lang w:val="es-ES" w:eastAsia="es-MX"/>
              </w:rPr>
              <w:tab/>
              <w:t xml:space="preserve">Todos los tipos de gasolina que se importen, pagan el IEPS aún la de 100 a 115 octanos, utilizada solamente para vehículos deportivos especiales de carreras.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4/IEPS/N</w:t>
            </w:r>
            <w:r w:rsidRPr="00957B34">
              <w:rPr>
                <w:rFonts w:ascii="Verdana" w:eastAsia="Times New Roman" w:hAnsi="Verdana" w:cs="Arial"/>
                <w:sz w:val="20"/>
                <w:szCs w:val="20"/>
                <w:lang w:val="es-ES" w:eastAsia="es-MX"/>
              </w:rPr>
              <w:tab/>
              <w:t>Base gravable del IEPS. No debe ser considerado el derecho de trámite aduanero exento.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5/IEPS/N</w:t>
            </w:r>
            <w:r w:rsidRPr="00957B34">
              <w:rPr>
                <w:rFonts w:ascii="Verdana" w:eastAsia="Times New Roman" w:hAnsi="Verdana" w:cs="Arial"/>
                <w:sz w:val="20"/>
                <w:szCs w:val="20"/>
                <w:lang w:val="es-ES" w:eastAsia="es-MX"/>
              </w:rPr>
              <w:tab/>
              <w:t>Concepto de leche para efectos del IEPS.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6/IEPS</w:t>
            </w:r>
            <w:r w:rsidRPr="00957B34">
              <w:rPr>
                <w:rFonts w:ascii="Verdana" w:eastAsia="Times New Roman" w:hAnsi="Verdana" w:cs="Arial"/>
                <w:b/>
                <w:sz w:val="20"/>
                <w:szCs w:val="20"/>
                <w:lang w:val="es-ES" w:eastAsia="es-MX"/>
              </w:rPr>
              <w:t>/N</w:t>
            </w:r>
            <w:r w:rsidRPr="00957B34">
              <w:rPr>
                <w:rFonts w:ascii="Verdana" w:eastAsia="Times New Roman" w:hAnsi="Verdana" w:cs="Arial"/>
                <w:sz w:val="20"/>
                <w:szCs w:val="20"/>
                <w:lang w:val="es-ES" w:eastAsia="es-MX"/>
              </w:rPr>
              <w:tab/>
            </w:r>
            <w:r w:rsidRPr="00957B34">
              <w:rPr>
                <w:rFonts w:ascii="Verdana" w:eastAsia="Times New Roman" w:hAnsi="Verdana" w:cs="Arial"/>
                <w:noProof/>
                <w:sz w:val="20"/>
                <w:szCs w:val="20"/>
                <w:lang w:val="es-ES" w:eastAsia="es-MX"/>
              </w:rPr>
              <w:t>Productos lácteos y productos lácteos combinados. Están afectos al IEPS aplicable a bebidas saborizadas cuando en su proceso de elaboración se disuelvan azúcares en agua.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7/IEPS/N</w:t>
            </w:r>
            <w:r w:rsidRPr="00957B34">
              <w:rPr>
                <w:rFonts w:ascii="Verdana" w:eastAsia="Times New Roman" w:hAnsi="Verdana" w:cs="Arial"/>
                <w:sz w:val="20"/>
                <w:szCs w:val="20"/>
                <w:lang w:val="es-ES" w:eastAsia="es-MX"/>
              </w:rPr>
              <w:tab/>
              <w:t>Preparaciones alimenticias que requieren un proceso adicional para su consumo.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8/IEPS/N</w:t>
            </w:r>
            <w:r w:rsidRPr="00957B34">
              <w:rPr>
                <w:rFonts w:ascii="Verdana" w:eastAsia="Times New Roman" w:hAnsi="Verdana" w:cs="Arial"/>
                <w:sz w:val="20"/>
                <w:szCs w:val="20"/>
                <w:lang w:val="es-ES" w:eastAsia="es-MX"/>
              </w:rPr>
              <w:tab/>
              <w:t>Productos de confitería y helados cuyo insumo sea chicle o goma de mascar.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9/IEPS/N</w:t>
            </w:r>
            <w:r w:rsidRPr="00957B34">
              <w:rPr>
                <w:rFonts w:ascii="Verdana" w:eastAsia="Times New Roman" w:hAnsi="Verdana" w:cs="Arial"/>
                <w:sz w:val="20"/>
                <w:szCs w:val="20"/>
                <w:lang w:val="es-ES" w:eastAsia="es-MX"/>
              </w:rPr>
              <w:tab/>
              <w:t>Gelatina o grenetina de grado comestible. Su enajenación o importación está sujeta al pago del IEPS cuando contenga azúcares u otros edulcorantes con una densidad calórica de 275 kilocalorías o mayor por cada 100 gramos.</w:t>
            </w:r>
          </w:p>
        </w:tc>
      </w:tr>
      <w:tr w:rsidR="00957B34" w:rsidRPr="00957B34" w:rsidTr="00957B34">
        <w:trPr>
          <w:trHeight w:val="20"/>
        </w:trPr>
        <w:tc>
          <w:tcPr>
            <w:tcW w:w="9212" w:type="dxa"/>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E. Criterios de la LFD</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1/LFD/N</w:t>
            </w:r>
            <w:r w:rsidRPr="00957B34">
              <w:rPr>
                <w:rFonts w:ascii="Verdana" w:eastAsia="Times New Roman" w:hAnsi="Verdana" w:cs="Arial"/>
                <w:sz w:val="20"/>
                <w:szCs w:val="20"/>
                <w:lang w:val="es-ES" w:eastAsia="es-MX"/>
              </w:rPr>
              <w:tab/>
              <w:t>Derechos. Cuando se solicite la certificación de legajos o expedientes, se deberá pagar el derecho que corresponda por cada hoja tamaño carta u oficio.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2/LFD/N</w:t>
            </w:r>
            <w:r w:rsidRPr="00957B34">
              <w:rPr>
                <w:rFonts w:ascii="Verdana" w:eastAsia="Times New Roman" w:hAnsi="Verdana" w:cs="Arial"/>
                <w:sz w:val="20"/>
                <w:szCs w:val="20"/>
                <w:lang w:val="es-ES" w:eastAsia="es-MX"/>
              </w:rPr>
              <w:tab/>
              <w:t>Derechos por uso o goce de inmuebles federales. Casos en los que no aplica la exención.</w:t>
            </w:r>
          </w:p>
        </w:tc>
      </w:tr>
      <w:tr w:rsidR="00957B34" w:rsidRPr="00957B34" w:rsidTr="00957B34">
        <w:trPr>
          <w:trHeight w:val="20"/>
        </w:trPr>
        <w:tc>
          <w:tcPr>
            <w:tcW w:w="9212" w:type="dxa"/>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F. Criterios de la Ley de Ingresos de la Federación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1/LIF/N</w:t>
            </w:r>
            <w:r w:rsidRPr="00957B34">
              <w:rPr>
                <w:rFonts w:ascii="Verdana" w:eastAsia="Times New Roman" w:hAnsi="Verdana" w:cs="Arial"/>
                <w:sz w:val="20"/>
                <w:szCs w:val="20"/>
                <w:lang w:val="es-ES" w:eastAsia="es-MX"/>
              </w:rPr>
              <w:tab/>
              <w:t>Créditos fiscales previamente cubiertos e impugnados.</w:t>
            </w:r>
          </w:p>
        </w:tc>
      </w:tr>
      <w:tr w:rsidR="00957B34" w:rsidRPr="00957B34" w:rsidTr="00957B34">
        <w:trPr>
          <w:trHeight w:val="20"/>
        </w:trPr>
        <w:tc>
          <w:tcPr>
            <w:tcW w:w="9212" w:type="dxa"/>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G. Criterios de la LISH</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1/LISH/N</w:t>
            </w:r>
            <w:r w:rsidRPr="00957B34">
              <w:rPr>
                <w:rFonts w:ascii="Verdana" w:eastAsia="Times New Roman" w:hAnsi="Verdana" w:cs="Arial"/>
                <w:sz w:val="20"/>
                <w:szCs w:val="20"/>
                <w:lang w:val="es-ES" w:eastAsia="es-MX"/>
              </w:rPr>
              <w:tab/>
              <w:t>Devoluciones, descuentos y bonificaciones de periodos anteriores al 1 de enero de 2015. No son aplicables para los derechos previstos en el título tercero de la LISH para los asignatarios.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2/LISH/N</w:t>
            </w:r>
            <w:r w:rsidRPr="00957B34">
              <w:rPr>
                <w:rFonts w:ascii="Verdana" w:eastAsia="Times New Roman" w:hAnsi="Verdana" w:cs="Arial"/>
                <w:b/>
                <w:sz w:val="20"/>
                <w:szCs w:val="20"/>
                <w:lang w:val="es-ES" w:eastAsia="es-MX"/>
              </w:rPr>
              <w:tab/>
            </w:r>
            <w:r w:rsidRPr="00957B34">
              <w:rPr>
                <w:rFonts w:ascii="Verdana" w:eastAsia="Times New Roman" w:hAnsi="Verdana" w:cs="Arial"/>
                <w:sz w:val="20"/>
                <w:szCs w:val="20"/>
                <w:lang w:val="es-ES" w:eastAsia="es-MX"/>
              </w:rPr>
              <w:t xml:space="preserve">Contraprestaciones a favor de los contratistas en los contratos para la exploración y extracción de hidrocarburos. Momento de acumulación para los efectos del ISR. </w:t>
            </w:r>
            <w:r w:rsidRPr="00957B34">
              <w:rPr>
                <w:rFonts w:ascii="Verdana" w:eastAsia="Times New Roman" w:hAnsi="Verdana" w:cs="Arial"/>
                <w:b/>
                <w:sz w:val="20"/>
                <w:szCs w:val="20"/>
                <w:lang w:val="es-ES" w:eastAsia="es-MX"/>
              </w:rPr>
              <w:t>(Se deroga)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3/LISH/N</w:t>
            </w:r>
            <w:r w:rsidRPr="00957B34">
              <w:rPr>
                <w:rFonts w:ascii="Verdana" w:eastAsia="Times New Roman" w:hAnsi="Verdana" w:cs="Arial"/>
                <w:sz w:val="20"/>
                <w:szCs w:val="20"/>
                <w:lang w:val="es-ES" w:eastAsia="es-MX"/>
              </w:rPr>
              <w:tab/>
              <w:t>Porcentajes de deducción para contratistas y asignatarios. Su aplicación no constituye una opción.</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4/LISH/N</w:t>
            </w:r>
            <w:r w:rsidRPr="00957B34">
              <w:rPr>
                <w:rFonts w:ascii="Verdana" w:eastAsia="Times New Roman" w:hAnsi="Verdana" w:cs="Arial"/>
                <w:sz w:val="20"/>
                <w:szCs w:val="20"/>
                <w:lang w:val="es-ES" w:eastAsia="es-MX"/>
              </w:rPr>
              <w:tab/>
              <w:t>Porcentajes de deducción para contratistas y asignatarios. No resultan aplicables para otro tipo de contribuyentes.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5/LISH/N</w:t>
            </w:r>
            <w:r w:rsidRPr="00957B34">
              <w:rPr>
                <w:rFonts w:ascii="Verdana" w:eastAsia="Times New Roman" w:hAnsi="Verdana" w:cs="Arial"/>
                <w:sz w:val="20"/>
                <w:szCs w:val="20"/>
                <w:lang w:val="es-ES" w:eastAsia="es-MX"/>
              </w:rPr>
              <w:tab/>
              <w:t>Erogaciones necesarias para la exploración, extracción, transportación o entrega de hidrocarburos. Constituyen costos y gastos deducibles para la determinación del derecho por la utilidad compartida.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6/LISH/N</w:t>
            </w:r>
            <w:r w:rsidRPr="00957B34">
              <w:rPr>
                <w:rFonts w:ascii="Verdana" w:eastAsia="Times New Roman" w:hAnsi="Verdana" w:cs="Arial"/>
                <w:sz w:val="20"/>
                <w:szCs w:val="20"/>
                <w:lang w:val="es-ES" w:eastAsia="es-MX"/>
              </w:rPr>
              <w:tab/>
              <w:t>Derecho de exploración de hidrocarburos. Deducibilidad para la determinación de la base del derecho por la utilidad compartida.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7/LISH/N</w:t>
            </w:r>
            <w:r w:rsidRPr="00957B34">
              <w:rPr>
                <w:rFonts w:ascii="Verdana" w:eastAsia="Times New Roman" w:hAnsi="Verdana" w:cs="Arial"/>
                <w:sz w:val="20"/>
                <w:szCs w:val="20"/>
                <w:lang w:val="es-ES" w:eastAsia="es-MX"/>
              </w:rPr>
              <w:tab/>
              <w:t>Capitalización delgada. Su excepción sólo es aplicable para los asignatarios y contratistas a que se refiere la Ley de Hidrocarburos.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8/LISH/N</w:t>
            </w:r>
            <w:r w:rsidRPr="00957B34">
              <w:rPr>
                <w:rFonts w:ascii="Verdana" w:eastAsia="Times New Roman" w:hAnsi="Verdana" w:cs="Arial"/>
                <w:sz w:val="20"/>
                <w:szCs w:val="20"/>
                <w:lang w:val="es-ES" w:eastAsia="es-MX"/>
              </w:rPr>
              <w:tab/>
              <w:t>Establecimiento permanente para los efectos de las actividades a que se refiere la Ley de Hidrocarburos.</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9/LISH/N</w:t>
            </w:r>
            <w:r w:rsidRPr="00957B34">
              <w:rPr>
                <w:rFonts w:ascii="Verdana" w:eastAsia="Times New Roman" w:hAnsi="Verdana" w:cs="Arial"/>
                <w:sz w:val="20"/>
                <w:szCs w:val="20"/>
                <w:lang w:val="es-ES" w:eastAsia="es-MX"/>
              </w:rPr>
              <w:tab/>
              <w:t>Registro de operaciones contables de asignatarios y contratistas. Debe utilizarse la moneda nacional o de registro.</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10/LISH/N</w:t>
            </w:r>
            <w:r w:rsidRPr="00957B34">
              <w:rPr>
                <w:rFonts w:ascii="Verdana" w:eastAsia="Times New Roman" w:hAnsi="Verdana" w:cs="Arial"/>
                <w:sz w:val="20"/>
                <w:szCs w:val="20"/>
                <w:lang w:val="es-ES" w:eastAsia="es-MX"/>
              </w:rPr>
              <w:tab/>
              <w:t>Enajenación de bienes de activo fijo utilizados en actividades petroleras. Tratamiento fiscal en materia del ISR.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11/LISH/N</w:t>
            </w:r>
            <w:r w:rsidRPr="00957B34">
              <w:rPr>
                <w:rFonts w:ascii="Verdana" w:eastAsia="Times New Roman" w:hAnsi="Verdana" w:cs="Arial"/>
                <w:sz w:val="20"/>
                <w:szCs w:val="20"/>
                <w:lang w:val="es-ES" w:eastAsia="es-MX"/>
              </w:rPr>
              <w:tab/>
              <w:t>Transmisión al Estado de los activos generados o adquiridos al amparo de los Contratos de exploración y extracción. Tratamiento fiscal en materia del ISR.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12/LISH/N</w:t>
            </w:r>
            <w:r w:rsidRPr="00957B34">
              <w:rPr>
                <w:rFonts w:ascii="Verdana" w:eastAsia="Times New Roman" w:hAnsi="Verdana" w:cs="Arial"/>
                <w:sz w:val="20"/>
                <w:szCs w:val="20"/>
                <w:lang w:val="es-ES" w:eastAsia="es-MX"/>
              </w:rPr>
              <w:tab/>
              <w:t>Aportaciones a los fideicomisos de inversión para fondear las operaciones de abandono en el área contractual. El monto equivalente a los intereses que se disminuyen para calcular las aportaciones trimestrales, constituye un ingreso acumulable para el contratista.</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13/LISH/N</w:t>
            </w:r>
            <w:r w:rsidRPr="00957B34">
              <w:rPr>
                <w:rFonts w:ascii="Verdana" w:eastAsia="Times New Roman" w:hAnsi="Verdana" w:cs="Arial"/>
                <w:sz w:val="20"/>
                <w:szCs w:val="20"/>
                <w:lang w:val="es-ES" w:eastAsia="es-MX"/>
              </w:rPr>
              <w:tab/>
              <w:t>Provisión de reserva de abandono. No es deducible para los efectos del ISR.</w:t>
            </w:r>
          </w:p>
        </w:tc>
      </w:tr>
      <w:tr w:rsidR="00957B34" w:rsidRPr="00957B34" w:rsidTr="00957B34">
        <w:trPr>
          <w:trHeight w:val="20"/>
        </w:trPr>
        <w:tc>
          <w:tcPr>
            <w:tcW w:w="9212" w:type="dxa"/>
            <w:hideMark/>
          </w:tcPr>
          <w:p w:rsidR="00957B34" w:rsidRPr="00957B34" w:rsidRDefault="00957B34" w:rsidP="00957B34">
            <w:pPr>
              <w:spacing w:after="100" w:line="20" w:lineRule="atLeast"/>
              <w:ind w:left="1296" w:hanging="1296"/>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14/LISH/N</w:t>
            </w:r>
            <w:r w:rsidRPr="00957B34">
              <w:rPr>
                <w:rFonts w:ascii="Verdana" w:eastAsia="Times New Roman" w:hAnsi="Verdana" w:cs="Arial"/>
                <w:sz w:val="20"/>
                <w:szCs w:val="20"/>
                <w:lang w:val="es-ES" w:eastAsia="es-MX"/>
              </w:rPr>
              <w:tab/>
              <w:t>Porcentajes de deducción para contratistas y asignatarios. Únicamente son aplicables para las inversiones destinadas a las actividades señaladas en los mismos.</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line="235"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 Criterios del CFF</w:t>
      </w:r>
    </w:p>
    <w:p w:rsidR="00957B34" w:rsidRPr="00957B34" w:rsidRDefault="00957B34" w:rsidP="00957B34">
      <w:pPr>
        <w:spacing w:after="100" w:line="23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1/CFF/N</w:t>
      </w:r>
      <w:r w:rsidRPr="00957B34">
        <w:rPr>
          <w:rFonts w:ascii="Verdana" w:eastAsia="Times New Roman" w:hAnsi="Verdana" w:cs="Times New Roman"/>
          <w:b/>
          <w:sz w:val="20"/>
          <w:szCs w:val="20"/>
          <w:lang w:val="es-ES" w:eastAsia="es-MX"/>
        </w:rPr>
        <w:tab/>
        <w:t>Crédito fiscal. Es firme cuando han transcurrido los términos legales para su impugnación, exista desistimiento a éste o su resolución ya no admita medio de defensa alguno.</w:t>
      </w:r>
    </w:p>
    <w:p w:rsidR="00957B34" w:rsidRPr="00957B34" w:rsidRDefault="00957B34" w:rsidP="00957B34">
      <w:pPr>
        <w:spacing w:after="100" w:line="23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w:t>
      </w:r>
      <w:r w:rsidRPr="00957B34">
        <w:rPr>
          <w:rFonts w:ascii="Verdana" w:eastAsia="Times New Roman" w:hAnsi="Verdana" w:cs="Times New Roman"/>
          <w:sz w:val="20"/>
          <w:szCs w:val="20"/>
          <w:lang w:val="es-ES" w:eastAsia="es-MX"/>
        </w:rPr>
        <w:lastRenderedPageBreak/>
        <w:t>o sobresea el recurso o juicio, y ésta no admita otro medio de defensa o recurso procesal o, admitiéndolos, los mismos no se hayan promovido dentro de los plazos legales.</w:t>
      </w:r>
    </w:p>
    <w:tbl>
      <w:tblPr>
        <w:tblW w:w="7215" w:type="dxa"/>
        <w:tblInd w:w="1642" w:type="dxa"/>
        <w:tblLayout w:type="fixed"/>
        <w:tblCellMar>
          <w:left w:w="72" w:type="dxa"/>
          <w:right w:w="72" w:type="dxa"/>
        </w:tblCellMar>
        <w:tblLook w:val="04A0" w:firstRow="1" w:lastRow="0" w:firstColumn="1" w:lastColumn="0" w:noHBand="0" w:noVBand="1"/>
      </w:tblPr>
      <w:tblGrid>
        <w:gridCol w:w="1745"/>
        <w:gridCol w:w="5470"/>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3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2008</w:t>
            </w:r>
          </w:p>
        </w:tc>
        <w:tc>
          <w:tcPr>
            <w:tcW w:w="583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rsidR="00957B34" w:rsidRPr="00957B34" w:rsidRDefault="00957B34" w:rsidP="00957B34">
      <w:pPr>
        <w:spacing w:before="100" w:beforeAutospacing="1" w:after="100" w:afterAutospacing="1" w:line="235"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2/CFF/N</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Normas sustantivas. Reúnen esta característica las aplicables para determinar la pérdida fiscal.</w:t>
      </w:r>
    </w:p>
    <w:p w:rsidR="00957B34" w:rsidRPr="00957B34" w:rsidRDefault="00957B34" w:rsidP="00957B34">
      <w:pPr>
        <w:spacing w:after="100" w:line="23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lo dispuesto en el artículo 6 del CFF, las contribuciones se determinan conforme a las disposiciones vigentes en el momento de su causación.</w:t>
      </w:r>
    </w:p>
    <w:p w:rsidR="00957B34" w:rsidRPr="00957B34" w:rsidRDefault="00957B34" w:rsidP="00957B34">
      <w:pPr>
        <w:spacing w:after="100" w:line="23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Las disposiciones que establecen el derecho a un crédito o a un acreditamiento fiscal forman parte del mecanismo para determinar las contribuciones.</w:t>
      </w:r>
    </w:p>
    <w:p w:rsidR="00957B34" w:rsidRPr="00957B34" w:rsidRDefault="00957B34" w:rsidP="00957B34">
      <w:pPr>
        <w:spacing w:after="100" w:line="23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rsidR="00957B34" w:rsidRPr="00957B34" w:rsidRDefault="00957B34" w:rsidP="00957B34">
      <w:pPr>
        <w:spacing w:after="100" w:line="23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consiguiente, la pérdida fiscal disminuible se calculará conforme a las disposiciones vigentes al momento de causarse el ISR.</w:t>
      </w:r>
    </w:p>
    <w:tbl>
      <w:tblPr>
        <w:tblW w:w="7215" w:type="dxa"/>
        <w:tblInd w:w="1642" w:type="dxa"/>
        <w:tblLayout w:type="fixed"/>
        <w:tblCellMar>
          <w:left w:w="72" w:type="dxa"/>
          <w:right w:w="72" w:type="dxa"/>
        </w:tblCellMar>
        <w:tblLook w:val="04A0" w:firstRow="1" w:lastRow="0" w:firstColumn="1" w:lastColumn="0" w:noHBand="0" w:noVBand="1"/>
      </w:tblPr>
      <w:tblGrid>
        <w:gridCol w:w="1775"/>
        <w:gridCol w:w="5440"/>
      </w:tblGrid>
      <w:tr w:rsidR="00957B34" w:rsidRPr="00957B34" w:rsidTr="00957B34">
        <w:trPr>
          <w:trHeight w:val="20"/>
        </w:trPr>
        <w:tc>
          <w:tcPr>
            <w:tcW w:w="180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4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0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w:t>
            </w:r>
          </w:p>
        </w:tc>
        <w:tc>
          <w:tcPr>
            <w:tcW w:w="554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325-A-VII-10960 de 14 de octubre de 1996, a través del cual se hacen de conocimiento los criterios aprobados por el Comité de Normatividad en su sesión No. 21, celebrada el 10 de octubre de 1996.</w:t>
            </w:r>
          </w:p>
        </w:tc>
      </w:tr>
    </w:tbl>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3/CFF/N</w:t>
      </w:r>
      <w:r w:rsidRPr="00957B34">
        <w:rPr>
          <w:rFonts w:ascii="Verdana" w:eastAsia="Times New Roman" w:hAnsi="Verdana" w:cs="Times New Roman"/>
          <w:b/>
          <w:sz w:val="20"/>
          <w:szCs w:val="20"/>
          <w:lang w:val="es-ES" w:eastAsia="es-MX"/>
        </w:rPr>
        <w:tab/>
        <w:t>Principios de contabilidad generalmente aceptados y normas de información financiera. Su aplicación</w:t>
      </w:r>
      <w:r w:rsidRPr="00957B34">
        <w:rPr>
          <w:rFonts w:ascii="Verdana" w:eastAsia="Times New Roman" w:hAnsi="Verdana" w:cs="Times New Roman"/>
          <w:sz w:val="20"/>
          <w:szCs w:val="20"/>
          <w:lang w:val="es-ES" w:eastAsia="es-MX"/>
        </w:rPr>
        <w:t>.</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58-A, fracción III, inciso b) y 60, segundo párrafo del CFF remiten a los principios de contabilidad generalmente aceptados; los artículos 28, fracción XXVII, quinto párrafo; 78, segundo párrafo; 180, último párrafo y 182, fracción II, primer párrafo y numerales 3 y 5 de la Ley del ISR, hacen alusión a las normas de información financiera, y los artículos 28; 56, segundo párrafo del Reglamento de la Ley del ISR refieren a ambas.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Los artículos 254, fracción IV y 257 Quáter, fracción V de la LFD aluden a las normas de información financiera mexicanas, y el artículo 182, fracción I, inciso a), numeral 1, primer párrafo de la Ley del ISR a los </w:t>
      </w:r>
      <w:r w:rsidRPr="00957B34">
        <w:rPr>
          <w:rFonts w:ascii="Verdana" w:eastAsia="Times New Roman" w:hAnsi="Verdana" w:cs="Times New Roman"/>
          <w:sz w:val="20"/>
          <w:szCs w:val="20"/>
          <w:lang w:val="es-ES" w:eastAsia="es-MX"/>
        </w:rPr>
        <w:lastRenderedPageBreak/>
        <w:t>principios de contabilidad generalmente aceptados en los Estados Unidos de América o a los principios de contabilidad generalmente aceptados internacionalmente.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 que se deba determinar la contribución y que resulten aplicables al contribuyente de que se trate.</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4/CFF/N</w:t>
      </w:r>
      <w:r w:rsidRPr="00957B34">
        <w:rPr>
          <w:rFonts w:ascii="Verdana" w:eastAsia="Times New Roman" w:hAnsi="Verdana" w:cs="Times New Roman"/>
          <w:b/>
          <w:sz w:val="20"/>
          <w:szCs w:val="20"/>
          <w:lang w:val="es-ES" w:eastAsia="es-MX"/>
        </w:rPr>
        <w:tab/>
        <w:t>Momento en que se lleva a cabo la fusión, para efectos de la presentación del aviso de cancelación en el RFC por fusión de sociedades.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 anterior, con fundamento en los artículos 11, segundo párrafo del CFF; 178, 182, fracción VII, 200, 222 y 223 de la Ley General de Sociedades Mercantiles y 21, fracción V del Código de Comercio.</w:t>
      </w:r>
    </w:p>
    <w:tbl>
      <w:tblPr>
        <w:tblW w:w="7215" w:type="dxa"/>
        <w:tblInd w:w="1642" w:type="dxa"/>
        <w:tblLayout w:type="fixed"/>
        <w:tblCellMar>
          <w:left w:w="72" w:type="dxa"/>
          <w:right w:w="72" w:type="dxa"/>
        </w:tblCellMar>
        <w:tblLook w:val="04A0" w:firstRow="1" w:lastRow="0" w:firstColumn="1" w:lastColumn="0" w:noHBand="0" w:noVBand="1"/>
      </w:tblPr>
      <w:tblGrid>
        <w:gridCol w:w="1822"/>
        <w:gridCol w:w="5393"/>
      </w:tblGrid>
      <w:tr w:rsidR="00957B34" w:rsidRPr="00957B34" w:rsidTr="00957B34">
        <w:trPr>
          <w:trHeight w:val="20"/>
        </w:trPr>
        <w:tc>
          <w:tcPr>
            <w:tcW w:w="182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57/2002/CFF</w:t>
            </w:r>
          </w:p>
        </w:tc>
        <w:tc>
          <w:tcPr>
            <w:tcW w:w="5392"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325-SAT-IV-B-75015 de 16 de diciembre de 2002.</w:t>
            </w:r>
          </w:p>
        </w:tc>
      </w:tr>
    </w:tbl>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5/CFF/N</w:t>
      </w:r>
      <w:r w:rsidRPr="00957B34">
        <w:rPr>
          <w:rFonts w:ascii="Verdana" w:eastAsia="Times New Roman" w:hAnsi="Verdana" w:cs="Times New Roman"/>
          <w:b/>
          <w:sz w:val="20"/>
          <w:szCs w:val="20"/>
          <w:lang w:val="es-ES" w:eastAsia="es-MX"/>
        </w:rPr>
        <w:tab/>
        <w:t>Regalías por el uso o goce temporal de derechos de autor sobre obras literarias, artísticas o científicas. Los pagos que se realicen en virtud de cualquier acto jurídico que tenga por objeto la distribución de una obra tienen dicho carácter.</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15-B, primer párrafo del CFF establece que se consideran regalías, entre otros, los pagos de cualquier clase por el uso o goce temporal de derechos de autor sobre obras literarias, artísticas o científicas.</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5, segundo párrafo del CFF permite aplicar supletoriamente las disposiciones del derecho federal común, en ese sentido, los conceptos a que se refiere el párrafo anterior pueden ser interpretados de conformidad con la Ley Federal del Derecho de Autor.</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rsidR="00957B34" w:rsidRPr="00957B34" w:rsidRDefault="00957B34" w:rsidP="00957B34">
      <w:pPr>
        <w:spacing w:before="100" w:beforeAutospacing="1" w:after="80"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6/CFF/N</w:t>
      </w:r>
      <w:r w:rsidRPr="00957B34">
        <w:rPr>
          <w:rFonts w:ascii="Verdana" w:eastAsia="Times New Roman" w:hAnsi="Verdana" w:cs="Times New Roman"/>
          <w:b/>
          <w:sz w:val="20"/>
          <w:szCs w:val="20"/>
          <w:lang w:val="es-ES" w:eastAsia="es-MX"/>
        </w:rPr>
        <w:tab/>
        <w:t>Pesca deportiva. Los servicios turísticos que prestan las embarcaciones se consideran actividades comerciales.</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16, fracción I del CFF establece que son actividades comerciales, las que de conformidad con las leyes federales tienen ese carácter y no estén comprendidas en las fracciones siguientes del mismo artículo.</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 xml:space="preserve">El artículo 75, fracciones VIII y XV del Código de Comercio dispone que </w:t>
      </w:r>
      <w:proofErr w:type="gramStart"/>
      <w:r w:rsidRPr="00957B34">
        <w:rPr>
          <w:rFonts w:ascii="Verdana" w:eastAsia="Times New Roman" w:hAnsi="Verdana" w:cs="Times New Roman"/>
          <w:sz w:val="20"/>
          <w:szCs w:val="20"/>
          <w:lang w:val="es-ES" w:eastAsia="es-MX"/>
        </w:rPr>
        <w:t>son</w:t>
      </w:r>
      <w:proofErr w:type="gramEnd"/>
      <w:r w:rsidRPr="00957B34">
        <w:rPr>
          <w:rFonts w:ascii="Verdana" w:eastAsia="Times New Roman" w:hAnsi="Verdana" w:cs="Times New Roman"/>
          <w:sz w:val="20"/>
          <w:szCs w:val="20"/>
          <w:lang w:val="es-ES" w:eastAsia="es-MX"/>
        </w:rPr>
        <w:t xml:space="preserve"> actos de comercio las actividades de transporte de personas o cosas, por tierra o por agua, las empresas de turismo y los contratos relativos al comercio marítimo y a la navegación interior y exterior.</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5/2002/CFF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325-SAT-A-31676 de 24 de mayo de 2002.</w:t>
            </w:r>
          </w:p>
        </w:tc>
      </w:tr>
    </w:tbl>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7/CFF/N</w:t>
      </w:r>
      <w:r w:rsidRPr="00957B34">
        <w:rPr>
          <w:rFonts w:ascii="Verdana" w:eastAsia="Times New Roman" w:hAnsi="Verdana" w:cs="Times New Roman"/>
          <w:b/>
          <w:sz w:val="20"/>
          <w:szCs w:val="20"/>
          <w:lang w:val="es-ES" w:eastAsia="es-MX"/>
        </w:rPr>
        <w:tab/>
        <w:t>Actualización de contribuciones, aprovechamientos y compensación de saldos a favor del contribuyente.</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 de 1989.</w:t>
      </w:r>
    </w:p>
    <w:tbl>
      <w:tblPr>
        <w:tblW w:w="7215" w:type="dxa"/>
        <w:tblInd w:w="1642" w:type="dxa"/>
        <w:tblLayout w:type="fixed"/>
        <w:tblCellMar>
          <w:left w:w="72" w:type="dxa"/>
          <w:right w:w="72" w:type="dxa"/>
        </w:tblCellMar>
        <w:tblLook w:val="04A0" w:firstRow="1" w:lastRow="0" w:firstColumn="1" w:lastColumn="0" w:noHBand="0" w:noVBand="1"/>
      </w:tblPr>
      <w:tblGrid>
        <w:gridCol w:w="1915"/>
        <w:gridCol w:w="5300"/>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0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2.1.2.</w:t>
            </w:r>
          </w:p>
        </w:tc>
        <w:tc>
          <w:tcPr>
            <w:tcW w:w="550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325-SAT-IV-C-7363 de 23 de septiembre de 1997, a través del cual se emite la Primera Actualización de la Compilación Sustantiva de Impuestos Internos.</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8/CFF/N</w:t>
      </w:r>
      <w:r w:rsidRPr="00957B34">
        <w:rPr>
          <w:rFonts w:ascii="Verdana" w:eastAsia="Times New Roman" w:hAnsi="Verdana" w:cs="Times New Roman"/>
          <w:b/>
          <w:sz w:val="20"/>
          <w:szCs w:val="20"/>
          <w:lang w:val="es-ES" w:eastAsia="es-MX"/>
        </w:rPr>
        <w:tab/>
        <w:t>Aplicación de las cantidades pagadas en devoluciones en cantidades menores a la cantidad solicitada.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ningún caso procederá la aplicación del monto de la devolución realizada en cantidad menor a la solicitada contra los intereses que se generen con posterioridad al pago, correspondientes a la parte omitida en dicha devolución.</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50/2003/CFF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325-SAT-IV-F-84632 de 28 de noviembre de 2003, mediante el cual se emite la Compilación de Criterios Normativos. Se dan a conocer criterios.</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9/CFF/N</w:t>
      </w:r>
      <w:r w:rsidRPr="00957B34">
        <w:rPr>
          <w:rFonts w:ascii="Verdana" w:eastAsia="Times New Roman" w:hAnsi="Verdana" w:cs="Times New Roman"/>
          <w:b/>
          <w:sz w:val="20"/>
          <w:szCs w:val="20"/>
          <w:lang w:val="es-ES" w:eastAsia="es-MX"/>
        </w:rPr>
        <w:tab/>
        <w:t>Resolución de consultas relativas a la metodología utilizada en la determinación de los precios o montos de las contraprestaciones, en operaciones con partes relacionadas. Sujetos que pueden formularlas.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34-A del CFF establece que las autoridades fiscales podrán resolver las consultas que formulen los interesados </w:t>
      </w:r>
      <w:proofErr w:type="gramStart"/>
      <w:r w:rsidRPr="00957B34">
        <w:rPr>
          <w:rFonts w:ascii="Verdana" w:eastAsia="Times New Roman" w:hAnsi="Verdana" w:cs="Times New Roman"/>
          <w:sz w:val="20"/>
          <w:szCs w:val="20"/>
          <w:lang w:val="es-ES" w:eastAsia="es-MX"/>
        </w:rPr>
        <w:t>relativas</w:t>
      </w:r>
      <w:proofErr w:type="gramEnd"/>
      <w:r w:rsidRPr="00957B34">
        <w:rPr>
          <w:rFonts w:ascii="Verdana" w:eastAsia="Times New Roman" w:hAnsi="Verdana" w:cs="Times New Roman"/>
          <w:sz w:val="20"/>
          <w:szCs w:val="20"/>
          <w:lang w:val="es-ES" w:eastAsia="es-MX"/>
        </w:rPr>
        <w:t xml:space="preserve"> a la metodología utilizada en la determinación de los precios o montos de las contraprestaciones, en operaciones con partes relacionadas, en los términos del artículo 179 de la Ley del ISR.</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las personas morales que celebren operaciones con partes relacionadas residentes en México o en el extranjero, pueden ser sujetos interesados para formular las consultas a las que se refiere el artículo 34-A del CFF.</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15/2012/CFF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600-04-02-2012-57567 de 23 de julio de 2012 mediante el cual se dan a conocer los criterios normativos aprobados en el primer semestre 2012. Oficio 600-04-02-2012-69616 de 29 de noviembre de 2012 a través del cual se da </w:t>
            </w:r>
            <w:r w:rsidRPr="00957B34">
              <w:rPr>
                <w:rFonts w:ascii="Verdana" w:eastAsia="Times New Roman" w:hAnsi="Verdana" w:cs="Arial"/>
                <w:sz w:val="20"/>
                <w:szCs w:val="20"/>
                <w:lang w:val="es-ES" w:eastAsia="es-MX"/>
              </w:rPr>
              <w:lastRenderedPageBreak/>
              <w:t>a conocer el Boletín 2012, con el número de criterio normativo 15/2012/CFF.</w:t>
            </w:r>
          </w:p>
        </w:tc>
      </w:tr>
    </w:tbl>
    <w:p w:rsidR="00957B34" w:rsidRPr="00957B34" w:rsidRDefault="00957B34" w:rsidP="00957B34">
      <w:pPr>
        <w:spacing w:before="100" w:beforeAutospacing="1" w:after="100" w:line="22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10/CFF/N</w:t>
      </w:r>
      <w:r w:rsidRPr="00957B34">
        <w:rPr>
          <w:rFonts w:ascii="Verdana" w:eastAsia="Times New Roman" w:hAnsi="Verdana" w:cs="Times New Roman"/>
          <w:b/>
          <w:sz w:val="20"/>
          <w:szCs w:val="20"/>
          <w:lang w:val="es-ES" w:eastAsia="es-MX"/>
        </w:rPr>
        <w:tab/>
        <w:t>Medidas de apremio. Es necesario agotarlas en estricto orden, antes de proceder penalmente por los delitos de desobediencia o resistencia a un mandato de autoridad.</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 el orden siguiente:</w:t>
      </w:r>
    </w:p>
    <w:p w:rsidR="00957B34" w:rsidRPr="00957B34" w:rsidRDefault="00957B34" w:rsidP="00957B34">
      <w:pPr>
        <w:spacing w:after="100" w:line="222"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Solicitar el auxilio de la fuerza pública;</w:t>
      </w:r>
    </w:p>
    <w:p w:rsidR="00957B34" w:rsidRPr="00957B34" w:rsidRDefault="00957B34" w:rsidP="00957B34">
      <w:pPr>
        <w:spacing w:after="100" w:line="222"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Imponer la multa que corresponda en los términos del Código;</w:t>
      </w:r>
    </w:p>
    <w:p w:rsidR="00957B34" w:rsidRPr="00957B34" w:rsidRDefault="00957B34" w:rsidP="00957B34">
      <w:pPr>
        <w:spacing w:after="100" w:line="222"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rsidR="00957B34" w:rsidRPr="00957B34" w:rsidRDefault="00957B34" w:rsidP="00957B34">
      <w:pPr>
        <w:spacing w:after="100" w:line="222"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Solicitar a la autoridad competente se proceda por desobediencia o resistencia por parte del contribuyente, responsable solidario o tercero relacionado con ellos, a un mandato legítimo de autoridad competente.</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autoridad fiscal podrá proceder penalmente por el delito de desobediencia o resistencia, previsto en el artículo 178 del Código Penal Federal, cuando se hubieren agotado las medidas de apremio a que se refiere el artículo 183 del citado Código Penal Federal.</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4/2002/CFF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325-SAT-A-31676 de 24 de mayo de 2002.</w:t>
            </w:r>
          </w:p>
        </w:tc>
      </w:tr>
    </w:tbl>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11/CFF/N</w:t>
      </w:r>
      <w:r w:rsidRPr="00957B34">
        <w:rPr>
          <w:rFonts w:ascii="Verdana" w:eastAsia="Times New Roman" w:hAnsi="Verdana" w:cs="Times New Roman"/>
          <w:b/>
          <w:sz w:val="20"/>
          <w:szCs w:val="20"/>
          <w:lang w:val="es-ES" w:eastAsia="es-MX"/>
        </w:rPr>
        <w:tab/>
        <w:t>Visitas domiciliarias para verificar el cumplimiento de obligaciones fiscales. No se requiere que se levanten actas parciales y acta final.</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ab/>
      </w:r>
      <w:r w:rsidRPr="00957B34">
        <w:rPr>
          <w:rFonts w:ascii="Verdana" w:eastAsia="Times New Roman" w:hAnsi="Verdana" w:cs="Times New Roman"/>
          <w:sz w:val="20"/>
          <w:szCs w:val="20"/>
          <w:lang w:val="es-ES" w:eastAsia="es-MX"/>
        </w:rPr>
        <w:t>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 Reglamento y las Reglas Generales de Comercio Exterior que emita el SAT.</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49, fracción IV del ordenamiento en cita, dispone que en toda visita domiciliaria se </w:t>
      </w:r>
      <w:proofErr w:type="gramStart"/>
      <w:r w:rsidRPr="00957B34">
        <w:rPr>
          <w:rFonts w:ascii="Verdana" w:eastAsia="Times New Roman" w:hAnsi="Verdana" w:cs="Times New Roman"/>
          <w:sz w:val="20"/>
          <w:szCs w:val="20"/>
          <w:lang w:val="es-ES" w:eastAsia="es-MX"/>
        </w:rPr>
        <w:t>levantará</w:t>
      </w:r>
      <w:proofErr w:type="gramEnd"/>
      <w:r w:rsidRPr="00957B34">
        <w:rPr>
          <w:rFonts w:ascii="Verdana" w:eastAsia="Times New Roman" w:hAnsi="Verdana" w:cs="Times New Roman"/>
          <w:sz w:val="20"/>
          <w:szCs w:val="20"/>
          <w:lang w:val="es-ES" w:eastAsia="es-MX"/>
        </w:rPr>
        <w:t xml:space="preserve"> acta en la que se harán constar en forma circunstanciada los hechos u omisiones conocidos por los visitadores o, en su caso, las irregularidades detectadas durante la inspección, sin hacer mención expresa de que deban levantarse actas parciales y acta final.</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43/2003/CFF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325-SAT-IV-B-56119 de 15 de octubre de 2003, mediante el cual se emite la Compilación de Criterios Normativos. Se dan a conocer criterios.</w:t>
            </w:r>
          </w:p>
        </w:tc>
      </w:tr>
    </w:tbl>
    <w:p w:rsidR="00957B34" w:rsidRPr="00957B34" w:rsidRDefault="00957B34" w:rsidP="00957B34">
      <w:pPr>
        <w:spacing w:before="100" w:beforeAutospacing="1" w:after="100" w:line="22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12/CFF/N</w:t>
      </w:r>
      <w:r w:rsidRPr="00957B34">
        <w:rPr>
          <w:rFonts w:ascii="Verdana" w:eastAsia="Times New Roman" w:hAnsi="Verdana" w:cs="Times New Roman"/>
          <w:b/>
          <w:sz w:val="20"/>
          <w:szCs w:val="20"/>
          <w:lang w:val="es-ES" w:eastAsia="es-MX"/>
        </w:rPr>
        <w:tab/>
        <w:t>Discrepancia fiscal. El resultado de la comprobación se dará a conocer mediante oficio y, en su caso, en la última acta parcial o complementaria.</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91, en su primer y séptimo párrafos, fracciones I y II de la Ley del ISR, establece que las personas físicas podrán ser objeto de discrepancia fiscal cuando se compruebe que el monto de las erogaciones en un año de calendario sea superior a los ingresos </w:t>
      </w:r>
      <w:r w:rsidRPr="00957B34">
        <w:rPr>
          <w:rFonts w:ascii="Verdana" w:eastAsia="Times New Roman" w:hAnsi="Verdana" w:cs="Times New Roman"/>
          <w:sz w:val="20"/>
          <w:szCs w:val="20"/>
          <w:lang w:val="es-ES" w:eastAsia="es-MX"/>
        </w:rPr>
        <w:lastRenderedPageBreak/>
        <w:t>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rsidR="00957B34" w:rsidRPr="00957B34" w:rsidRDefault="00957B34" w:rsidP="00957B34">
      <w:pPr>
        <w:spacing w:after="100" w:line="22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en términos de las disposiciones antes citadas, las autoridades fiscales por una sola vez, podrán requerir información y documentación adicional al contribuyente, el cual la deberá proporcionar en el término previsto en el artículo 53, inciso c) del CFF.</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tabs>
                <w:tab w:val="left" w:pos="1035"/>
              </w:tabs>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20/2001/CFF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325-SAT-A-31123 de 14 de septiembre de 2001, mediante el cual se da a conocer la nueva Compilación de Criterios Normativos 2001.</w:t>
            </w:r>
          </w:p>
        </w:tc>
      </w:tr>
    </w:tbl>
    <w:p w:rsidR="00957B34" w:rsidRPr="00957B34" w:rsidRDefault="00957B34" w:rsidP="00957B34">
      <w:pPr>
        <w:spacing w:before="100" w:beforeAutospacing="1" w:after="100" w:line="23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13/CFF/N</w:t>
      </w:r>
      <w:r w:rsidRPr="00957B34">
        <w:rPr>
          <w:rFonts w:ascii="Verdana" w:eastAsia="Times New Roman" w:hAnsi="Verdana" w:cs="Times New Roman"/>
          <w:b/>
          <w:sz w:val="20"/>
          <w:szCs w:val="20"/>
          <w:lang w:val="es-ES" w:eastAsia="es-MX"/>
        </w:rPr>
        <w:tab/>
        <w:t>Garantía del interés fiscal. Están relevadas de otorgarla las instituciones que conforman el Sistema Bancario Mexicano.</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w:t>
      </w:r>
      <w:r w:rsidRPr="00957B34">
        <w:rPr>
          <w:rFonts w:ascii="Verdana" w:eastAsia="Times New Roman" w:hAnsi="Verdana" w:cs="Times New Roman"/>
          <w:sz w:val="20"/>
          <w:szCs w:val="20"/>
          <w:lang w:val="es-ES" w:eastAsia="es-MX"/>
        </w:rPr>
        <w:lastRenderedPageBreak/>
        <w:t>obligados a otorgar garantías, no así a aquéllos sujetos que por disposición legal expresa han sido relevados de dicha obligación.</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las instituciones integrantes del Sistema Bancario Mexicano a que se refiere la Ley de Instituciones de Crédito se encuentran relevadas de la obligación de otorgar la garantía del interés fiscal.</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tabs>
                <w:tab w:val="left" w:pos="1035"/>
              </w:tabs>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2010</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14/CFF/N</w:t>
      </w:r>
      <w:r w:rsidRPr="00957B34">
        <w:rPr>
          <w:rFonts w:ascii="Verdana" w:eastAsia="Times New Roman" w:hAnsi="Verdana" w:cs="Times New Roman"/>
          <w:b/>
          <w:sz w:val="20"/>
          <w:szCs w:val="20"/>
          <w:lang w:val="es-ES" w:eastAsia="es-MX"/>
        </w:rPr>
        <w:tab/>
        <w:t>Suspensión del plazo de caducidad cuando se hacen valer medios de defensa.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9/2002/CFF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325-SAT-A-31676 de 24 de mayo de 2002.</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15/CFF/N</w:t>
      </w:r>
      <w:r w:rsidRPr="00957B34">
        <w:rPr>
          <w:rFonts w:ascii="Verdana" w:eastAsia="Times New Roman" w:hAnsi="Verdana" w:cs="Times New Roman"/>
          <w:b/>
          <w:sz w:val="20"/>
          <w:szCs w:val="20"/>
          <w:lang w:val="es-ES" w:eastAsia="es-MX"/>
        </w:rPr>
        <w:tab/>
        <w:t>Caducidad de las facultades de la autoridad fiscal. La suspensión del plazo con motivo de la interposición de algún recurso administrativo o juicio, debe considerarse independiente del plazo de diez años.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67, antepenúltimo párrafo del CFF precisa que el plazo de caducidad que se suspende con motivo del ejercicio de las facultades </w:t>
      </w:r>
      <w:r w:rsidRPr="00957B34">
        <w:rPr>
          <w:rFonts w:ascii="Verdana" w:eastAsia="Times New Roman" w:hAnsi="Verdana" w:cs="Times New Roman"/>
          <w:sz w:val="20"/>
          <w:szCs w:val="20"/>
          <w:lang w:val="es-ES" w:eastAsia="es-MX"/>
        </w:rPr>
        <w:lastRenderedPageBreak/>
        <w:t>de comprobación, adicionado con el plazo por el que no se suspende dicha caducidad, no podrá exceder de diez años.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2/2005/CFF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325-SAT-09-IV-B-118532 de 19 de septiembre de 2005, mediante el cual se emite la Compilación de Criterios Normativos. Liberación de la primera parte del Boletín 2005. </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16/CFF/N</w:t>
      </w:r>
      <w:r w:rsidRPr="00957B34">
        <w:rPr>
          <w:rFonts w:ascii="Verdana" w:eastAsia="Times New Roman" w:hAnsi="Verdana" w:cs="Times New Roman"/>
          <w:b/>
          <w:sz w:val="20"/>
          <w:szCs w:val="20"/>
          <w:lang w:val="es-ES" w:eastAsia="es-MX"/>
        </w:rPr>
        <w:tab/>
        <w:t>Infracciones. Aplicación de las multas establecidas en el CFF.</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6, primer párrafo del Código en comento, establece que las contribuciones se causan conforme se realizan las situaciones jurídicas o de hecho, previstas en las leyes fiscales vigentes durante el lapso en que ocurran.</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la interpretación estricta a ambas disposiciones fiscales, la aplicación de las multas que dicho Código prevé, debe ser de acuerdo al ordenamiento legal que esté vigente en el ejercicio fiscal en el que se actualicen las situaciones jurídicas o de hecho que se sancionan, independientemente de que se impongan con posterioridad.</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w:t>
      </w:r>
      <w:r w:rsidRPr="00957B34">
        <w:rPr>
          <w:rFonts w:ascii="Verdana" w:eastAsia="Times New Roman" w:hAnsi="Verdana" w:cs="Times New Roman"/>
          <w:sz w:val="20"/>
          <w:szCs w:val="20"/>
          <w:lang w:val="es-ES" w:eastAsia="es-MX"/>
        </w:rPr>
        <w:lastRenderedPageBreak/>
        <w:t>de su imposición y en el caso señalado, al haber sido suprimida la infracción, no existe sanción vigente por aplicar.</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110/2001/CFF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325-SAT-A-31373 de 12 de diciembre de 2001. Compilación de Criterios Normativos. Se dan a conocer criterios.</w:t>
            </w:r>
          </w:p>
        </w:tc>
      </w:tr>
    </w:tbl>
    <w:p w:rsidR="00957B34" w:rsidRPr="00957B34" w:rsidRDefault="00957B34" w:rsidP="00957B34">
      <w:pPr>
        <w:spacing w:before="100" w:beforeAutospacing="1" w:after="100" w:line="23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17/CFF/N</w:t>
      </w:r>
      <w:r w:rsidRPr="00957B34">
        <w:rPr>
          <w:rFonts w:ascii="Verdana" w:eastAsia="Times New Roman" w:hAnsi="Verdana" w:cs="Times New Roman"/>
          <w:b/>
          <w:sz w:val="20"/>
          <w:szCs w:val="20"/>
          <w:lang w:val="es-ES" w:eastAsia="es-MX"/>
        </w:rPr>
        <w:tab/>
        <w:t>Declaración de nulidad lisa y llana o la revocación de la resolución correspondiente no desvirtúa el cumplimiento espontáneo.</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113/2001/CFF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325-SAT-A-31373 de 12 de diciembre de 2001 Compilación de Criterios Normativos. Se dan a conocer criterios.</w:t>
            </w:r>
          </w:p>
        </w:tc>
      </w:tr>
    </w:tbl>
    <w:p w:rsidR="00957B34" w:rsidRPr="00957B34" w:rsidRDefault="00957B34" w:rsidP="00957B34">
      <w:pPr>
        <w:spacing w:before="100" w:beforeAutospacing="1" w:after="100" w:line="23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18/CFF/N </w:t>
      </w:r>
      <w:r w:rsidRPr="00957B34">
        <w:rPr>
          <w:rFonts w:ascii="Verdana" w:eastAsia="Times New Roman" w:hAnsi="Verdana" w:cs="Times New Roman"/>
          <w:b/>
          <w:sz w:val="20"/>
          <w:szCs w:val="20"/>
          <w:lang w:val="es-ES" w:eastAsia="es-MX"/>
        </w:rPr>
        <w:tab/>
        <w:t>Imposición de multas. Determinación de la multa aplicable por la omisión en el entero de diversas contribuciones y en la presentación de declaraciones.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 </w:t>
      </w:r>
      <w:r w:rsidRPr="00957B34">
        <w:rPr>
          <w:rFonts w:ascii="Verdana" w:eastAsia="Times New Roman" w:hAnsi="Verdana" w:cs="Times New Roman"/>
          <w:sz w:val="20"/>
          <w:szCs w:val="20"/>
          <w:lang w:val="es-ES" w:eastAsia="es-MX"/>
        </w:rPr>
        <w:lastRenderedPageBreak/>
        <w:t>correspondan varias multas, sólo se aplicará la que corresponda a la infracción cuya multa sea mayor.</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 anterior con independencia de que las multas correspondientes se encuentren contenidas en diversos ordenamientos legales.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debe interpretarse que el último párrafo de la fracción V del artículo supracitado, contempla que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 contribución no declarada u obligación no cumplida.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orden de ideas, atendiendo a la naturaleza de la obligación, el no efectuar un pago implica la comisión de una infracción, de tal forma que con la omisión de diversos pagos, se incurre en varias infracciones.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 en cita.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No obstante, si además de infringirse disposiciones de carácter formal se omite total o parcialmente el pago de contribuciones, se estará a lo dispuesto por el artículo 75, fracción V, segundo párrafo del CFF para aplicar la multa mayor.</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37/2004/CFF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325-SAT-IV-B-91597 de 31 de agosto de 2004, mediante el cual se emite la liberación de la primera parte del Boletín 2004.</w:t>
            </w:r>
          </w:p>
        </w:tc>
      </w:tr>
    </w:tbl>
    <w:p w:rsidR="00957B34" w:rsidRPr="00957B34" w:rsidRDefault="00957B34" w:rsidP="00957B34">
      <w:pPr>
        <w:spacing w:before="100" w:beforeAutospacing="1" w:after="100" w:line="23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19/CFF/N</w:t>
      </w:r>
      <w:r w:rsidRPr="00957B34">
        <w:rPr>
          <w:rFonts w:ascii="Verdana" w:eastAsia="Times New Roman" w:hAnsi="Verdana" w:cs="Times New Roman"/>
          <w:b/>
          <w:sz w:val="20"/>
          <w:szCs w:val="20"/>
          <w:lang w:val="es-ES" w:eastAsia="es-MX"/>
        </w:rPr>
        <w:tab/>
        <w:t>Supuestos de infracción relacionados con la obligación de presentar la información correspondiente sobre el pago, retención, acreditamiento y traslado del IVA en las operaciones con proveedores.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artículo 32, fracción VIII de la Ley del IVA, se desprenden las siguientes conductas infractoras:</w:t>
      </w:r>
    </w:p>
    <w:p w:rsidR="00957B34" w:rsidRPr="00957B34" w:rsidRDefault="00957B34" w:rsidP="00957B34">
      <w:pPr>
        <w:spacing w:after="100" w:line="23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No proporcionar la información a través de los medios y formatos electrónicos correspondientes;</w:t>
      </w:r>
    </w:p>
    <w:p w:rsidR="00957B34" w:rsidRPr="00957B34" w:rsidRDefault="00957B34" w:rsidP="00957B34">
      <w:pPr>
        <w:spacing w:after="100" w:line="23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sz w:val="20"/>
          <w:szCs w:val="20"/>
          <w:lang w:val="es-ES" w:eastAsia="es-MX"/>
        </w:rPr>
        <w:tab/>
        <w:t>No presentar la información en los plazos establecidos en dicho ordenamiento;</w:t>
      </w:r>
    </w:p>
    <w:p w:rsidR="00957B34" w:rsidRPr="00957B34" w:rsidRDefault="00957B34" w:rsidP="00957B34">
      <w:pPr>
        <w:spacing w:after="100" w:line="23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sz w:val="20"/>
          <w:szCs w:val="20"/>
          <w:lang w:val="es-ES" w:eastAsia="es-MX"/>
        </w:rPr>
        <w:tab/>
        <w:t>Presentar la información incompleta o con errores; y,</w:t>
      </w:r>
    </w:p>
    <w:p w:rsidR="00957B34" w:rsidRPr="00957B34" w:rsidRDefault="00957B34" w:rsidP="00957B34">
      <w:pPr>
        <w:spacing w:after="100" w:line="23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IV.</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No proporcionar la información en relación a las operaciones de subcontratación laboral de la cantidad del impuesto al valor agregado que el contratista trasladó en forma específica a cada uno de sus clientes, así como el que pagó en la declaración mensual respectiva.</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2010</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20/CFF/N</w:t>
      </w:r>
      <w:r w:rsidRPr="00957B34">
        <w:rPr>
          <w:rFonts w:ascii="Verdana" w:eastAsia="Times New Roman" w:hAnsi="Verdana" w:cs="Times New Roman"/>
          <w:b/>
          <w:sz w:val="20"/>
          <w:szCs w:val="20"/>
          <w:lang w:val="es-ES" w:eastAsia="es-MX"/>
        </w:rPr>
        <w:tab/>
        <w:t>Recursos administrativos. Formulario múltiple de pago, cartas invitación o citatorio. No son resoluciones que afecten el interés jurídico de los contribuyentes.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117, fracción I, inciso d) del CFF establece que el recurso de revocación procede, entre otros supuestos, contra resoluciones definitivas dictadas por las autoridades fiscales que causen agravio al particular en materia fiscal.</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8/2001/CFF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325-SAT-A-31123 de 14 de septiembre de 2001, mediante el cual se da a conocer la nueva Compilación de Criterios Normativos 2001. </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21/CFF/N</w:t>
      </w:r>
      <w:r w:rsidRPr="00957B34">
        <w:rPr>
          <w:rFonts w:ascii="Verdana" w:eastAsia="Times New Roman" w:hAnsi="Verdana" w:cs="Times New Roman"/>
          <w:b/>
          <w:sz w:val="20"/>
          <w:szCs w:val="20"/>
          <w:lang w:val="es-ES" w:eastAsia="es-MX"/>
        </w:rPr>
        <w:tab/>
        <w:t>Remoción del depositario. El recurso de revocación es improcedente.</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117, fracción I, inciso d) del CFF establece que el recurso de revocación procede, entre otros supuestos, contra resoluciones definitivas dictadas por las autoridades fiscales que causen agravio al particular en materia fiscal.</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60/2002/CFF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325-SAT-IV-B-75015 de 16 de diciembre de 2002.</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22/CFF/N</w:t>
      </w:r>
      <w:r w:rsidRPr="00957B34">
        <w:rPr>
          <w:rFonts w:ascii="Verdana" w:eastAsia="Times New Roman" w:hAnsi="Verdana" w:cs="Times New Roman"/>
          <w:b/>
          <w:sz w:val="20"/>
          <w:szCs w:val="20"/>
          <w:lang w:val="es-ES" w:eastAsia="es-MX"/>
        </w:rPr>
        <w:tab/>
        <w:t>Notificación por correo certificado. Para su validez debe estarse a lo dispuesto en la Ley del Servicio Postal Mexicano.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w:t>
      </w:r>
      <w:r w:rsidRPr="00957B34">
        <w:rPr>
          <w:rFonts w:ascii="Verdana" w:eastAsia="Times New Roman" w:hAnsi="Verdana" w:cs="Times New Roman"/>
          <w:sz w:val="20"/>
          <w:szCs w:val="20"/>
          <w:lang w:val="es-ES" w:eastAsia="es-MX"/>
        </w:rPr>
        <w:lastRenderedPageBreak/>
        <w:t>los empleados de los citados departamentos para recibir la correspondencia.</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2/2002/CFF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325-SAT-A-31676 de 24 de mayo de 2002.</w:t>
            </w:r>
          </w:p>
        </w:tc>
      </w:tr>
    </w:tbl>
    <w:p w:rsidR="00957B34" w:rsidRPr="00957B34" w:rsidRDefault="00957B34" w:rsidP="00957B34">
      <w:pPr>
        <w:spacing w:before="100" w:beforeAutospacing="1" w:after="100" w:line="25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23/CFF/N</w:t>
      </w:r>
      <w:r w:rsidRPr="00957B34">
        <w:rPr>
          <w:rFonts w:ascii="Verdana" w:eastAsia="Times New Roman" w:hAnsi="Verdana" w:cs="Times New Roman"/>
          <w:b/>
          <w:sz w:val="20"/>
          <w:szCs w:val="20"/>
          <w:lang w:val="es-ES" w:eastAsia="es-MX"/>
        </w:rPr>
        <w:tab/>
        <w:t>Notificación en los términos del artículo 134, fracción I del CFF. Establece tres medios alternativos entre sí</w:t>
      </w:r>
      <w:r w:rsidRPr="00957B34">
        <w:rPr>
          <w:rFonts w:ascii="Verdana" w:eastAsia="Times New Roman" w:hAnsi="Verdana" w:cs="Times New Roman"/>
          <w:sz w:val="20"/>
          <w:szCs w:val="20"/>
          <w:lang w:val="es-ES" w:eastAsia="es-MX"/>
        </w:rPr>
        <w:t>.</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7215" w:type="dxa"/>
        <w:tblInd w:w="1642" w:type="dxa"/>
        <w:tblLayout w:type="fixed"/>
        <w:tblCellMar>
          <w:left w:w="72" w:type="dxa"/>
          <w:right w:w="72" w:type="dxa"/>
        </w:tblCellMar>
        <w:tblLook w:val="04A0" w:firstRow="1" w:lastRow="0" w:firstColumn="1" w:lastColumn="0" w:noHBand="0" w:noVBand="1"/>
      </w:tblPr>
      <w:tblGrid>
        <w:gridCol w:w="1915"/>
        <w:gridCol w:w="5300"/>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0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50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600-04-07-2014-6961 de 2 de octubre de 2014 mediante el cual se dan a conocer los criterios normativos aprobados en el tercer trimestre 2014. Oficio 600-04-07-2014-87371 de 17 de diciembre de 2014 a través del cual se da a conocer el Boletín 2014, con el número de criterio </w:t>
            </w:r>
            <w:r w:rsidRPr="00957B34">
              <w:rPr>
                <w:rFonts w:ascii="Verdana" w:eastAsia="Times New Roman" w:hAnsi="Verdana" w:cs="Arial"/>
                <w:sz w:val="20"/>
                <w:szCs w:val="20"/>
                <w:lang w:val="es-ES" w:eastAsia="es-MX"/>
              </w:rPr>
              <w:lastRenderedPageBreak/>
              <w:t>normativo 23/2014/CFF.</w:t>
            </w:r>
          </w:p>
        </w:tc>
      </w:tr>
    </w:tbl>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24/CFF/N</w:t>
      </w:r>
      <w:r w:rsidRPr="00957B34">
        <w:rPr>
          <w:rFonts w:ascii="Verdana" w:eastAsia="Times New Roman" w:hAnsi="Verdana" w:cs="Times New Roman"/>
          <w:b/>
          <w:sz w:val="20"/>
          <w:szCs w:val="20"/>
          <w:lang w:val="es-ES" w:eastAsia="es-MX"/>
        </w:rPr>
        <w:tab/>
        <w:t>Embargo en la vía administrativa. No es necesario volver a embargar el bien.</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141, fracción V del CFF señala que los contribuyentes podrán garantizar el interés fiscal mediante el embargo en la vía administrativa.</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41/2004/CFF</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325-SAT-IV-B-91597 de 31 de agosto de 2004, mediante el cual se emite la liberación de la primera parte del Boletín 2004.</w:t>
            </w:r>
          </w:p>
        </w:tc>
      </w:tr>
    </w:tbl>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25/CFF/N</w:t>
      </w:r>
      <w:r w:rsidRPr="00957B34">
        <w:rPr>
          <w:rFonts w:ascii="Verdana" w:eastAsia="Times New Roman" w:hAnsi="Verdana" w:cs="Times New Roman"/>
          <w:b/>
          <w:sz w:val="20"/>
          <w:szCs w:val="20"/>
          <w:lang w:val="es-ES" w:eastAsia="es-MX"/>
        </w:rPr>
        <w:tab/>
        <w:t>Suspensión del término de caducidad derivado de la interposición de un recurso administrativo o juicio.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67 del CFF señala que las facultades de las autoridades fiscales para determinar las contribuciones o aprovechamientos omitidos y sus accesorios, así como para imponer sanciones por infracciones a las disposiciones fiscales, se extinguen en el plazo de cinco años.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cuarto párrafo del mencionado artículo establece que dicho plazo no está sujeto a interrupción y sólo se suspenderá en determinados supuestos, entre los cuales se encuentra la interposición de algún recurso administrativo o juicio.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 actuando en materias diversas a las fiscales.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Primera Resolución de Modificaciones a la RMF para 2015</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 de marzo de 2015, Anexo 7, publicado en el Diario Oficial de la Federación el 6 de marzo de 2015.</w:t>
            </w:r>
          </w:p>
        </w:tc>
      </w:tr>
    </w:tbl>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26/CFF/N</w:t>
      </w:r>
      <w:r w:rsidRPr="00957B34">
        <w:rPr>
          <w:rFonts w:ascii="Verdana" w:eastAsia="Times New Roman" w:hAnsi="Verdana" w:cs="Times New Roman"/>
          <w:b/>
          <w:sz w:val="20"/>
          <w:szCs w:val="20"/>
          <w:lang w:val="es-ES" w:eastAsia="es-MX"/>
        </w:rPr>
        <w:tab/>
        <w:t>Contribuciones retenidas. Cuando el retenedor las pague sin haber realizado el descuento o cobro correspondiente al sujeto obligado, podrá obtener los beneficios legales propios de los sujetos obligados.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6 del CFF establece que en el caso de contribuciones que se deben pagar mediante retención, aun cuando quien deba efectuarla no retenga, el retenedor estará obligado a enterar una cantidad equivalente a la que debió haber retenido.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26, fracción I del CFF, señala que son responsables solidarios con los contribuyentes, los retenedores y las personas a quienes las leyes impongan la obligación de recaudar contribuciones a cargo de terceros, hasta por el monto de dichas contribuciones.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análisis a las disposiciones resumidas en los párrafos anteriores se desprende que los retenedores tienen la obligación de realizarla a los sujetos obligados, es decir, deben descontar o cobrar la cantidad prevista en Ley toda vez que de no hacerlo, en términos del artículo 6 del CFF y por su condición de responsables solidarios, el entero de las contribuciones deberá realizarse directamente o con cargo a su patrimonio.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7215" w:type="dxa"/>
        <w:tblInd w:w="1642" w:type="dxa"/>
        <w:tblLayout w:type="fixed"/>
        <w:tblCellMar>
          <w:left w:w="72" w:type="dxa"/>
          <w:right w:w="72" w:type="dxa"/>
        </w:tblCellMar>
        <w:tblLook w:val="04A0" w:firstRow="1" w:lastRow="0" w:firstColumn="1" w:lastColumn="0" w:noHBand="0" w:noVBand="1"/>
      </w:tblPr>
      <w:tblGrid>
        <w:gridCol w:w="1855"/>
        <w:gridCol w:w="5360"/>
      </w:tblGrid>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6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2015</w:t>
            </w:r>
          </w:p>
        </w:tc>
        <w:tc>
          <w:tcPr>
            <w:tcW w:w="546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14 de mayo de 2015, Anexo 7, publicado en el Diario Oficial de la Federación el 21 de mayo de 2015.</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27/CFF/N</w:t>
      </w:r>
      <w:r w:rsidRPr="00957B34">
        <w:rPr>
          <w:rFonts w:ascii="Verdana" w:eastAsia="Times New Roman" w:hAnsi="Verdana" w:cs="Times New Roman"/>
          <w:b/>
          <w:sz w:val="20"/>
          <w:szCs w:val="20"/>
          <w:lang w:val="es-ES" w:eastAsia="es-MX"/>
        </w:rPr>
        <w:tab/>
        <w:t>Devoluciones indebidas, al tener su origen en una contribución, conservan la naturaleza jurídica de ésta.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ab/>
      </w:r>
      <w:r w:rsidRPr="00957B34">
        <w:rPr>
          <w:rFonts w:ascii="Verdana" w:eastAsia="Times New Roman" w:hAnsi="Verdana" w:cs="Times New Roman"/>
          <w:sz w:val="20"/>
          <w:szCs w:val="20"/>
          <w:lang w:val="es-ES" w:eastAsia="es-MX"/>
        </w:rPr>
        <w:t>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éstos se sitúan en el presupuesto de hecho imponible previsto en la ley.</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los créditos fiscales por devoluciones de saldos a favor improcedentes conservan la naturaleza jurídica de las contribuciones establecidas en ley que las originaron.</w:t>
      </w:r>
    </w:p>
    <w:tbl>
      <w:tblPr>
        <w:tblW w:w="7215" w:type="dxa"/>
        <w:tblInd w:w="1642" w:type="dxa"/>
        <w:tblLayout w:type="fixed"/>
        <w:tblCellMar>
          <w:left w:w="72" w:type="dxa"/>
          <w:right w:w="72" w:type="dxa"/>
        </w:tblCellMar>
        <w:tblLook w:val="04A0" w:firstRow="1" w:lastRow="0" w:firstColumn="1" w:lastColumn="0" w:noHBand="0" w:noVBand="1"/>
      </w:tblPr>
      <w:tblGrid>
        <w:gridCol w:w="1822"/>
        <w:gridCol w:w="5393"/>
      </w:tblGrid>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0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60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bl>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28/CFF/N </w:t>
      </w:r>
      <w:r w:rsidRPr="00957B34">
        <w:rPr>
          <w:rFonts w:ascii="Verdana" w:eastAsia="Times New Roman" w:hAnsi="Verdana" w:cs="Times New Roman"/>
          <w:b/>
          <w:sz w:val="20"/>
          <w:szCs w:val="20"/>
          <w:lang w:val="es-ES" w:eastAsia="es-MX"/>
        </w:rPr>
        <w:tab/>
        <w:t>Definiciones de saldo a favor y pago de lo indebido.</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tal virtud, cuando se tengan que devolver cantidades, para determinar si su naturaleza corresponde a pago de lo indebido o saldo </w:t>
      </w:r>
      <w:r w:rsidRPr="00957B34">
        <w:rPr>
          <w:rFonts w:ascii="Verdana" w:eastAsia="Times New Roman" w:hAnsi="Verdana" w:cs="Times New Roman"/>
          <w:sz w:val="20"/>
          <w:szCs w:val="20"/>
          <w:lang w:val="es-ES" w:eastAsia="es-MX"/>
        </w:rPr>
        <w:lastRenderedPageBreak/>
        <w:t>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7215" w:type="dxa"/>
        <w:tblInd w:w="1642" w:type="dxa"/>
        <w:tblLayout w:type="fixed"/>
        <w:tblCellMar>
          <w:left w:w="72" w:type="dxa"/>
          <w:right w:w="72" w:type="dxa"/>
        </w:tblCellMar>
        <w:tblLook w:val="04A0" w:firstRow="1" w:lastRow="0" w:firstColumn="1" w:lastColumn="0" w:noHBand="0" w:noVBand="1"/>
      </w:tblPr>
      <w:tblGrid>
        <w:gridCol w:w="1838"/>
        <w:gridCol w:w="5377"/>
      </w:tblGrid>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3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RMF para 2016 </w:t>
            </w:r>
          </w:p>
        </w:tc>
        <w:tc>
          <w:tcPr>
            <w:tcW w:w="553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2015, Anexo 7, publicado en el Diario Oficial de la Federación el 12 de enero de 2016.</w:t>
            </w:r>
          </w:p>
        </w:tc>
      </w:tr>
    </w:tbl>
    <w:p w:rsidR="00957B34" w:rsidRPr="00957B34" w:rsidRDefault="00957B34" w:rsidP="00957B34">
      <w:pPr>
        <w:spacing w:before="100" w:beforeAutospacing="1" w:after="100" w:line="23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29/CFF/N </w:t>
      </w:r>
      <w:r w:rsidRPr="00957B34">
        <w:rPr>
          <w:rFonts w:ascii="Verdana" w:eastAsia="Times New Roman" w:hAnsi="Verdana" w:cs="Times New Roman"/>
          <w:b/>
          <w:sz w:val="20"/>
          <w:szCs w:val="20"/>
          <w:lang w:val="es-ES" w:eastAsia="es-MX"/>
        </w:rPr>
        <w:tab/>
        <w:t>Acuerdo Conclusivo. Concepto de calificación de hechos u omisiones.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 las contribuciones omitidas, siempre que la autoridad revisora ya haya realizado una calificación de hechos u omisiones.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Acorde con lo anterior, el artículo 14 de la Ley Federal de los Derechos del Contribuyente otorga a los particulares el derecho de corregir su situación fiscal a partir del momento en que dé inicio el ejercicio de las facultades de comprobación y hasta antes de que se les notifique la resolución que determine el monto de las contribuciones omitidas.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otras palabras, la referida calificación de hechos y omisiones es la afirmación de la autoridad en la cual señala que determinada circunstancia o hecho del contribuyente actualizó la hipótesis jurídica, </w:t>
      </w:r>
      <w:r w:rsidRPr="00957B34">
        <w:rPr>
          <w:rFonts w:ascii="Verdana" w:eastAsia="Times New Roman" w:hAnsi="Verdana" w:cs="Times New Roman"/>
          <w:sz w:val="20"/>
          <w:szCs w:val="20"/>
          <w:lang w:val="es-ES" w:eastAsia="es-MX"/>
        </w:rPr>
        <w:lastRenderedPageBreak/>
        <w:t>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7215" w:type="dxa"/>
        <w:tblInd w:w="1642" w:type="dxa"/>
        <w:tblLayout w:type="fixed"/>
        <w:tblCellMar>
          <w:left w:w="72" w:type="dxa"/>
          <w:right w:w="72" w:type="dxa"/>
        </w:tblCellMar>
        <w:tblLook w:val="04A0" w:firstRow="1" w:lastRow="0" w:firstColumn="1" w:lastColumn="0" w:noHBand="0" w:noVBand="1"/>
      </w:tblPr>
      <w:tblGrid>
        <w:gridCol w:w="1855"/>
        <w:gridCol w:w="5360"/>
      </w:tblGrid>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tabs>
                <w:tab w:val="left" w:pos="960"/>
              </w:tabs>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6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8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2016</w:t>
            </w:r>
          </w:p>
        </w:tc>
        <w:tc>
          <w:tcPr>
            <w:tcW w:w="546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6 de mayo de 2016, Anexo 7, publicado en el Diario Oficial de la Federación el 9 de mayo de 2016.</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line="232"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B. Criterios de la Ley del ISR</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Establecimiento permanente. Los ejemplos que pueden considerarse constitutivos de establecimiento permanente deben analizarse de conformidad con las características esenciales de dicho concepto.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40/2013/ISR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Beneficios de los tratados para evitar la doble tributación. Es necesario el cumplimiento de las disposiciones de procedimiento para su aplicación.</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haya ejercido la opción a que se refiere el artículo 32-A del citado Código y de designar representante legal.</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tanto, para los efectos del artículo 4, primer párrafo de la Ley del ISR, las personas que pretendan aplicar los beneficios de los tratados mencionados deben cumplir con las disposiciones de procedimiento que para tal efecto se contienen en dicha Ley.</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las personas que no cumplan con las mencionadas disposiciones, no podrán aplicar los beneficios de los tratados para evitar la doble tributación.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6"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6"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6"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6"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rsidR="00957B34" w:rsidRPr="00957B34" w:rsidRDefault="00957B34" w:rsidP="00957B34">
      <w:pPr>
        <w:spacing w:before="100" w:beforeAutospacing="1" w:after="86"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 </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3/ISR</w:t>
      </w:r>
      <w:r w:rsidRPr="00957B34">
        <w:rPr>
          <w:rFonts w:ascii="Verdana" w:eastAsia="Times New Roman" w:hAnsi="Verdana" w:cs="Times New Roman"/>
          <w:b/>
          <w:sz w:val="20"/>
          <w:szCs w:val="20"/>
          <w:lang w:val="es-ES" w:eastAsia="es-MX"/>
        </w:rPr>
        <w:t>/N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Beneficios del tratado para evitar la doble tributación entre México y Barbados. Interpretación de los textos en español e inglés.</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 xml:space="preserve">El artículo 4, primer párrafo de la Ley del ISR dispone que los beneficios de los tratados para evitar la doble tributación solo </w:t>
      </w:r>
      <w:proofErr w:type="gramStart"/>
      <w:r w:rsidRPr="00957B34">
        <w:rPr>
          <w:rFonts w:ascii="Verdana" w:eastAsia="Times New Roman" w:hAnsi="Verdana" w:cs="Times New Roman"/>
          <w:sz w:val="20"/>
          <w:szCs w:val="20"/>
          <w:lang w:val="es-ES" w:eastAsia="es-MX"/>
        </w:rPr>
        <w:t>serán</w:t>
      </w:r>
      <w:proofErr w:type="gramEnd"/>
      <w:r w:rsidRPr="00957B34">
        <w:rPr>
          <w:rFonts w:ascii="Verdana" w:eastAsia="Times New Roman" w:hAnsi="Verdana" w:cs="Times New Roman"/>
          <w:sz w:val="20"/>
          <w:szCs w:val="20"/>
          <w:lang w:val="es-ES" w:eastAsia="es-MX"/>
        </w:rPr>
        <w:t xml:space="preserve"> aplicables a los contribuyentes que cumplan, entre otras, con las disposiciones del propio tratado.</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w:t>
      </w:r>
      <w:r w:rsidRPr="00957B34">
        <w:rPr>
          <w:rFonts w:ascii="Verdana" w:eastAsia="Times New Roman" w:hAnsi="Verdana" w:cs="Times New Roman"/>
          <w:sz w:val="20"/>
          <w:szCs w:val="20"/>
          <w:lang w:val="es-ES" w:eastAsia="es-MX"/>
        </w:rPr>
        <w:lastRenderedPageBreak/>
        <w:t>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 person or other legal person”.</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los textos auténticos en español e inglés del párrafo señalado, se desprende una divergencia, ya que el texto en inglés contiene la frase “together with all persons who are related to the recipient”, mientras que el texto en español no contiene una traducción de dicha frase. Sin embargo, la parte final de los textos auténticos en español e inglés del Convenio en cita, establecen que, en caso de cualquier divergencia, prevalecerá el texto en inglés.</w:t>
      </w:r>
    </w:p>
    <w:p w:rsidR="00957B34" w:rsidRPr="00957B34" w:rsidRDefault="00957B34" w:rsidP="00957B34">
      <w:pPr>
        <w:spacing w:after="86"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6"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6"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6"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41/2012/ISR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6"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Residencia fiscal. Formas de acreditarla. (Se deroga)</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trike/>
          <w:sz w:val="20"/>
          <w:szCs w:val="20"/>
          <w:lang w:val="es-ES" w:eastAsia="es-MX"/>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7215" w:type="dxa"/>
        <w:tblInd w:w="1642" w:type="dxa"/>
        <w:tblLayout w:type="fixed"/>
        <w:tblCellMar>
          <w:left w:w="72" w:type="dxa"/>
          <w:right w:w="72" w:type="dxa"/>
        </w:tblCellMar>
        <w:tblLook w:val="04A0" w:firstRow="1" w:lastRow="0" w:firstColumn="1" w:lastColumn="0" w:noHBand="0" w:noVBand="1"/>
      </w:tblPr>
      <w:tblGrid>
        <w:gridCol w:w="1760"/>
        <w:gridCol w:w="164"/>
        <w:gridCol w:w="5291"/>
      </w:tblGrid>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tabs>
                <w:tab w:val="left" w:pos="960"/>
              </w:tabs>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2016</w:t>
            </w:r>
          </w:p>
        </w:tc>
        <w:tc>
          <w:tcPr>
            <w:tcW w:w="5526"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Publicada en el Diario Oficial de la Federación el 23 de diciembre de 2015. El Anexo 7 publicado en Diario Oficial de la Federación el 12 de enero de 2016. </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Ha sido incorporado en el artículo 6, primer párrafo del Reglamento de la Ley del Impuesto Sobre la Renta, publicado en el DOF el 8 de octubre de 2015.</w:t>
            </w:r>
          </w:p>
        </w:tc>
      </w:tr>
      <w:tr w:rsidR="00957B34" w:rsidRPr="00957B34" w:rsidTr="00957B34">
        <w:tc>
          <w:tcPr>
            <w:tcW w:w="180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3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5385"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r>
    </w:tbl>
    <w:p w:rsidR="00957B34" w:rsidRPr="00957B34" w:rsidRDefault="00957B34" w:rsidP="00957B34">
      <w:pPr>
        <w:spacing w:before="100" w:beforeAutospacing="1" w:after="100" w:line="25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Orden en que se efectuará el acreditamiento del ISR pagado en el extranjero.</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46/2007/ISR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325-SAT-09-04-B-90015 de 14 de diciembre de 2007, mediante el cual se da a conocer el Boletín 2007.</w:t>
            </w:r>
          </w:p>
        </w:tc>
      </w:tr>
    </w:tbl>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Acreditamiento del ISR pagado en el extranjero. Los contribuyentes sólo podrán acreditar el excedente cuando el procedimiento amistoso concluya con un acuerdo y lo acepten.</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 xml:space="preserve">El artículo 5, décimo quinto párrafo de la Ley del ISR establece que los contribuyentes que hayan pagado en el extranjero ISR en un monto </w:t>
      </w:r>
      <w:r w:rsidRPr="00957B34">
        <w:rPr>
          <w:rFonts w:ascii="Verdana" w:eastAsia="Times New Roman" w:hAnsi="Verdana" w:cs="Times New Roman"/>
          <w:sz w:val="20"/>
          <w:szCs w:val="20"/>
          <w:lang w:val="es-ES" w:eastAsia="es-MX"/>
        </w:rPr>
        <w:lastRenderedPageBreak/>
        <w:t>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conformidad con lo señalado en el párrafo anterior, se trata solo de un procedimiento amistoso; esto es, constituye la ejecución de un pacto que implica para las partes la mera obligación de negociar, pero no la de llegar a un acuerdo.</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un procedimiento amistoso puede concluir con o sin un acuerdo, cuya ejecución, en su caso, normalmente estaría subordinada a la aceptación de tal acuerdo amistoso por el contribuyente.</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45/2013/ISR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rsidR="00957B34" w:rsidRPr="00957B34" w:rsidRDefault="00957B34" w:rsidP="00957B34">
      <w:pPr>
        <w:spacing w:before="100" w:beforeAutospacing="1" w:after="100" w:line="261"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7/ISR/N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Devolución de cantidades realizada por la autoridad fiscal. Si se pagan intereses los mismos deben acumularse para efectos del ISR.</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8 de la Ley del ISR establece que se consideran intereses, cualquiera que sea el nombre con que se les designe, a los rendimientos de créditos de cualquier clase.</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18, fracción IX de la Ley en cita dispone que tratándose de personas morales, se consideran ingresos acumulables, entre otros, los intereses devengados a favor en el ejercicio, sin ajuste alguno.</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Para el caso de personas físicas, los artículos 133 y 135 de la Ley del ISR, precisan que se consideran ingresos los intereses establecidos en </w:t>
      </w:r>
      <w:r w:rsidRPr="00957B34">
        <w:rPr>
          <w:rFonts w:ascii="Verdana" w:eastAsia="Times New Roman" w:hAnsi="Verdana" w:cs="Times New Roman"/>
          <w:sz w:val="20"/>
          <w:szCs w:val="20"/>
          <w:lang w:val="es-ES" w:eastAsia="es-MX"/>
        </w:rPr>
        <w:lastRenderedPageBreak/>
        <w:t>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rsidR="00957B34" w:rsidRPr="00957B34" w:rsidRDefault="00957B34" w:rsidP="00957B34">
      <w:pPr>
        <w:spacing w:after="100" w:line="261"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2009</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 </w:t>
            </w:r>
          </w:p>
        </w:tc>
      </w:tr>
    </w:tbl>
    <w:p w:rsidR="00957B34" w:rsidRPr="00957B34" w:rsidRDefault="00957B34" w:rsidP="00957B34">
      <w:pPr>
        <w:spacing w:before="100" w:beforeAutospacing="1" w:after="100" w:line="22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Ganancia en la enajenación de certificados bursátiles fiduciarios, colocados entre el gran público inversionista. Se debe considerar interés.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La regla 3.2.12. </w:t>
      </w:r>
      <w:proofErr w:type="gramStart"/>
      <w:r w:rsidRPr="00957B34">
        <w:rPr>
          <w:rFonts w:ascii="Verdana" w:eastAsia="Times New Roman" w:hAnsi="Verdana" w:cs="Times New Roman"/>
          <w:sz w:val="20"/>
          <w:szCs w:val="20"/>
          <w:lang w:val="es-ES" w:eastAsia="es-MX"/>
        </w:rPr>
        <w:t>de</w:t>
      </w:r>
      <w:proofErr w:type="gramEnd"/>
      <w:r w:rsidRPr="00957B34">
        <w:rPr>
          <w:rFonts w:ascii="Verdana" w:eastAsia="Times New Roman" w:hAnsi="Verdana" w:cs="Times New Roman"/>
          <w:sz w:val="20"/>
          <w:szCs w:val="20"/>
          <w:lang w:val="es-ES" w:eastAsia="es-MX"/>
        </w:rPr>
        <w:t xml:space="preserve"> la RMF para 2019, establece que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w:t>
      </w:r>
      <w:r w:rsidRPr="00957B34">
        <w:rPr>
          <w:rFonts w:ascii="Verdana" w:eastAsia="Times New Roman" w:hAnsi="Verdana" w:cs="Times New Roman"/>
          <w:sz w:val="20"/>
          <w:szCs w:val="20"/>
          <w:lang w:val="es-ES" w:eastAsia="es-MX"/>
        </w:rPr>
        <w:lastRenderedPageBreak/>
        <w:t>fideicomiso deberán denominarse certificados bursátiles fiduciarios. Algunos certificados bursátiles fiduciarios son conocidos bursátilmente como certificados de capital de desarrollo o CCD por sus siglas.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consecuencia, para los efectos de la Ley del ISR y conforme a la regla 3.2.12. </w:t>
      </w:r>
      <w:proofErr w:type="gramStart"/>
      <w:r w:rsidRPr="00957B34">
        <w:rPr>
          <w:rFonts w:ascii="Verdana" w:eastAsia="Times New Roman" w:hAnsi="Verdana" w:cs="Times New Roman"/>
          <w:sz w:val="20"/>
          <w:szCs w:val="20"/>
          <w:lang w:val="es-ES" w:eastAsia="es-MX"/>
        </w:rPr>
        <w:t>de</w:t>
      </w:r>
      <w:proofErr w:type="gramEnd"/>
      <w:r w:rsidRPr="00957B34">
        <w:rPr>
          <w:rFonts w:ascii="Verdana" w:eastAsia="Times New Roman" w:hAnsi="Verdana" w:cs="Times New Roman"/>
          <w:sz w:val="20"/>
          <w:szCs w:val="20"/>
          <w:lang w:val="es-ES" w:eastAsia="es-MX"/>
        </w:rPr>
        <w:t xml:space="preserve"> la RMF para 2019, se considera interés la ganancia en la enajenación de certificados bursátiles fiduciarios colocados entre el gran público inversionista.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2010</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rsidR="00957B34" w:rsidRPr="00957B34" w:rsidRDefault="00957B34" w:rsidP="00957B34">
      <w:pPr>
        <w:spacing w:before="100" w:beforeAutospacing="1" w:after="100" w:line="22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9/ISR/N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 xml:space="preserve">ISR por dividendos o utilidades. Casos en los cuales las personas </w:t>
      </w:r>
      <w:proofErr w:type="gramStart"/>
      <w:r w:rsidRPr="00957B34">
        <w:rPr>
          <w:rFonts w:ascii="Verdana" w:eastAsia="Times New Roman" w:hAnsi="Verdana" w:cs="Times New Roman"/>
          <w:b/>
          <w:sz w:val="20"/>
          <w:szCs w:val="20"/>
          <w:lang w:val="es-ES_tradnl" w:eastAsia="es-MX"/>
        </w:rPr>
        <w:t>morales</w:t>
      </w:r>
      <w:proofErr w:type="gramEnd"/>
      <w:r w:rsidRPr="00957B34">
        <w:rPr>
          <w:rFonts w:ascii="Verdana" w:eastAsia="Times New Roman" w:hAnsi="Verdana" w:cs="Times New Roman"/>
          <w:b/>
          <w:sz w:val="20"/>
          <w:szCs w:val="20"/>
          <w:lang w:val="es-ES_tradnl" w:eastAsia="es-MX"/>
        </w:rPr>
        <w:t xml:space="preserve"> no deberán calcular el impuesto por los montos que se consideran dividendos o utilidades distribuidos.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10, primer párrafo, primera oración de la Ley del ISR establece que las personas morales que distribuyan dividendos o utilidades, deberán calcular y enterar el impuesto que corresponda a los mismos.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mismo artículo, en su último párrafo, dispone que las personas morales que distribuyan los dividendos o utilidades a que se refiere el artículo 140, fracciones I y II de la Ley citada, </w:t>
      </w:r>
      <w:proofErr w:type="gramStart"/>
      <w:r w:rsidRPr="00957B34">
        <w:rPr>
          <w:rFonts w:ascii="Verdana" w:eastAsia="Times New Roman" w:hAnsi="Verdana" w:cs="Times New Roman"/>
          <w:sz w:val="20"/>
          <w:szCs w:val="20"/>
          <w:lang w:val="es-ES" w:eastAsia="es-MX"/>
        </w:rPr>
        <w:t>calcularán</w:t>
      </w:r>
      <w:proofErr w:type="gramEnd"/>
      <w:r w:rsidRPr="00957B34">
        <w:rPr>
          <w:rFonts w:ascii="Verdana" w:eastAsia="Times New Roman" w:hAnsi="Verdana" w:cs="Times New Roman"/>
          <w:sz w:val="20"/>
          <w:szCs w:val="20"/>
          <w:lang w:val="es-ES" w:eastAsia="es-MX"/>
        </w:rPr>
        <w:t xml:space="preserve"> el impuesto sobre dichos dividendos o utilidades.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2010</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rsidR="00957B34" w:rsidRPr="00957B34" w:rsidRDefault="00957B34" w:rsidP="00957B34">
      <w:pPr>
        <w:spacing w:before="100" w:beforeAutospacing="1" w:after="100" w:line="23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10/ISR/N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ISR por dividendos o utilidades. Orden en el que se efectuará su acreditamiento.</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 xml:space="preserve">El artículo 10, fracción I, primer párrafo de la Ley del ISR, dispone que cuando las personas morales distribuyan dividendos o utilidades y como consecuencia de ello, paguen el impuesto que establece el artículo citado, podrán efectuar el acreditamiento correspondiente </w:t>
      </w:r>
      <w:r w:rsidRPr="00957B34">
        <w:rPr>
          <w:rFonts w:ascii="Verdana" w:eastAsia="Times New Roman" w:hAnsi="Verdana" w:cs="Times New Roman"/>
          <w:sz w:val="20"/>
          <w:szCs w:val="20"/>
          <w:lang w:val="es-ES" w:eastAsia="es-MX"/>
        </w:rPr>
        <w:lastRenderedPageBreak/>
        <w:t>únicamente contra el ISR del ejercicio que resulte a cargo de la persona moral en el ejercicio en el que se haya efectuado el pago del impuesto correspondiente a los dividendos o utilidades distribuidos.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la distribución de dividendos o utilidades, contra el impuesto causado en el mismo ejercicio y en los dos siguientes.</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rsidR="00957B34" w:rsidRPr="00957B34" w:rsidRDefault="00957B34" w:rsidP="00957B34">
      <w:pPr>
        <w:spacing w:before="100" w:beforeAutospacing="1" w:after="100" w:line="23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11/ISR/N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Declaración del ejercicio del ISR. La fiduciaria no está obligada a presentarla por las actividades realizadas a través de un fideicomiso.</w:t>
      </w:r>
    </w:p>
    <w:p w:rsidR="00957B34" w:rsidRPr="00957B34" w:rsidRDefault="00957B34" w:rsidP="00957B34">
      <w:pPr>
        <w:spacing w:after="100" w:line="23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w:t>
      </w:r>
      <w:r w:rsidRPr="00957B34">
        <w:rPr>
          <w:rFonts w:ascii="Verdana" w:eastAsia="Times New Roman" w:hAnsi="Verdana" w:cs="Times New Roman"/>
          <w:sz w:val="20"/>
          <w:szCs w:val="20"/>
          <w:lang w:val="es-ES" w:eastAsia="es-MX"/>
        </w:rPr>
        <w:lastRenderedPageBreak/>
        <w:t>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penúltimo párrafo del referido artículo determina que en los casos en que no se hayan designado fideicomisarios o éstos no puedan identificarse, se entenderá que las actividades empresariales realizadas a través del fideicomiso las realiza el fideicomitente.</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117 y 118 de la multireferida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158, cuarto párrafo de la supracitada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Igualmente, los artículos 187, 188, 192 y 193 de la Ley del ISR, establecen el tratamiento fiscal aplicable a ciertas operaciones realizadas a través de fideicomisos sin imputar a la fiduciaria la obligación de formular la declaración del ejercicio.</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32-B, fracción VIII del CFF, refiere a las fiduciarias que participen en fideicomisos por los que se generen ingresos, la obligación de presentar por cada uno de dichos fideicomisos diversa información.</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En ese sentido, al no señalar las disposiciones legales antes transcritas expresamente la obligación, la fiduciaria no debe presentar la declaración del ejercicio del ISR por las actividades realizadas a través de un fideicomiso.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2009</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12/ISR/N</w:t>
      </w:r>
      <w:r w:rsidRPr="00957B34">
        <w:rPr>
          <w:rFonts w:ascii="Verdana" w:eastAsia="Times New Roman" w:hAnsi="Verdana" w:cs="Times New Roman"/>
          <w:b/>
          <w:sz w:val="20"/>
          <w:szCs w:val="20"/>
          <w:lang w:val="es-ES" w:eastAsia="es-MX"/>
        </w:rPr>
        <w:tab/>
        <w:t>Determinación del reparto adicional de participación de utilidades a los trabajadores de las empresas. Las autoridades fiscales no están obligadas a verificar la existencia de relación laboral alguna.</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artículos 9, penúltimo y último párrafos y 109, antepenúltimo, penúltimo y último párrafos de la Ley del ISR establecen el procedimiento para determinar la renta gravable para la participación de los trabajadores en las utilidades de las empresas.</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7215" w:type="dxa"/>
        <w:tblInd w:w="1642" w:type="dxa"/>
        <w:tblLayout w:type="fixed"/>
        <w:tblCellMar>
          <w:left w:w="72" w:type="dxa"/>
          <w:right w:w="72" w:type="dxa"/>
        </w:tblCellMar>
        <w:tblLook w:val="04A0" w:firstRow="1" w:lastRow="0" w:firstColumn="1" w:lastColumn="0" w:noHBand="0" w:noVBand="1"/>
      </w:tblPr>
      <w:tblGrid>
        <w:gridCol w:w="1696"/>
        <w:gridCol w:w="5519"/>
      </w:tblGrid>
      <w:tr w:rsidR="00957B34" w:rsidRPr="00957B34" w:rsidTr="00957B34">
        <w:trPr>
          <w:trHeight w:val="20"/>
        </w:trPr>
        <w:tc>
          <w:tcPr>
            <w:tcW w:w="17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13/2001/CFF</w:t>
            </w:r>
          </w:p>
        </w:tc>
        <w:tc>
          <w:tcPr>
            <w:tcW w:w="56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325-SAT-A-31123 de 14 de septiembre de 2001, mediante el cual se da a conocer la nueva Compilación de Criterios Normativos 2001.</w:t>
            </w:r>
          </w:p>
        </w:tc>
      </w:tr>
    </w:tbl>
    <w:p w:rsidR="00957B34" w:rsidRPr="00957B34" w:rsidRDefault="00957B34" w:rsidP="00957B34">
      <w:pPr>
        <w:spacing w:before="100" w:beforeAutospacing="1" w:after="100" w:line="243"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13/ISR/N</w:t>
      </w:r>
      <w:r w:rsidRPr="00957B34">
        <w:rPr>
          <w:rFonts w:ascii="Verdana" w:eastAsia="Times New Roman" w:hAnsi="Verdana" w:cs="Times New Roman"/>
          <w:b/>
          <w:sz w:val="20"/>
          <w:szCs w:val="20"/>
          <w:lang w:val="es-ES" w:eastAsia="es-MX"/>
        </w:rPr>
        <w:tab/>
        <w:t>Ingresos acumulables por la prestación del servicio de emisión de vales o monederos electrónicos.</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90, primer párrafo de la citada Ley, establece que están obligadas al pago del impuesto establecido en el Título IV del mismo ordenamiento legal, las personas físicas residentes en México que obtengan ingresos en efectivo, en bienes, en crédito, en servicios, o de cualquier otro tipo.</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Dado lo anterior, se considera que el patrimonio de las personas físicas y morales que prestan el servicio de emisión de vales o </w:t>
      </w:r>
      <w:proofErr w:type="gramStart"/>
      <w:r w:rsidRPr="00957B34">
        <w:rPr>
          <w:rFonts w:ascii="Verdana" w:eastAsia="Times New Roman" w:hAnsi="Verdana" w:cs="Times New Roman"/>
          <w:sz w:val="20"/>
          <w:szCs w:val="20"/>
          <w:lang w:val="es-ES" w:eastAsia="es-MX"/>
        </w:rPr>
        <w:t>monederos</w:t>
      </w:r>
      <w:proofErr w:type="gramEnd"/>
      <w:r w:rsidRPr="00957B34">
        <w:rPr>
          <w:rFonts w:ascii="Verdana" w:eastAsia="Times New Roman" w:hAnsi="Verdana" w:cs="Times New Roman"/>
          <w:sz w:val="20"/>
          <w:szCs w:val="20"/>
          <w:lang w:val="es-ES" w:eastAsia="es-MX"/>
        </w:rPr>
        <w:t xml:space="preserve"> electrónicos, se modifica positivamente cuando perciben ingresos por los conceptos siguientes:</w:t>
      </w:r>
    </w:p>
    <w:p w:rsidR="00957B34" w:rsidRPr="00957B34" w:rsidRDefault="00957B34" w:rsidP="00957B34">
      <w:pPr>
        <w:spacing w:after="100" w:line="243"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monto de la contraprestación por dicho servicio, conocida como comisión;</w:t>
      </w:r>
    </w:p>
    <w:p w:rsidR="00957B34" w:rsidRPr="00957B34" w:rsidRDefault="00957B34" w:rsidP="00957B34">
      <w:pPr>
        <w:spacing w:after="100" w:line="243"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rsidR="00957B34" w:rsidRPr="00957B34" w:rsidRDefault="00957B34" w:rsidP="00957B34">
      <w:pPr>
        <w:spacing w:after="100" w:line="240"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rendimientos que se generen a favor del emisor de vales o monederos electrónicos, respecto del importe o valor nominal de éstos.</w:t>
      </w:r>
    </w:p>
    <w:tbl>
      <w:tblPr>
        <w:tblW w:w="7215" w:type="dxa"/>
        <w:tblInd w:w="1642" w:type="dxa"/>
        <w:tblLayout w:type="fixed"/>
        <w:tblCellMar>
          <w:left w:w="72" w:type="dxa"/>
          <w:right w:w="72" w:type="dxa"/>
        </w:tblCellMar>
        <w:tblLook w:val="04A0" w:firstRow="1" w:lastRow="0" w:firstColumn="1" w:lastColumn="0" w:noHBand="0" w:noVBand="1"/>
      </w:tblPr>
      <w:tblGrid>
        <w:gridCol w:w="1950"/>
        <w:gridCol w:w="5265"/>
      </w:tblGrid>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tabs>
                <w:tab w:val="left" w:pos="960"/>
              </w:tabs>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36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8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2010</w:t>
            </w:r>
          </w:p>
        </w:tc>
        <w:tc>
          <w:tcPr>
            <w:tcW w:w="536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14/ISR/N</w:t>
      </w:r>
      <w:r w:rsidRPr="00957B34">
        <w:rPr>
          <w:rFonts w:ascii="Verdana" w:eastAsia="Times New Roman" w:hAnsi="Verdana" w:cs="Times New Roman"/>
          <w:b/>
          <w:sz w:val="20"/>
          <w:szCs w:val="20"/>
          <w:lang w:val="es-ES" w:eastAsia="es-MX"/>
        </w:rPr>
        <w:tab/>
        <w:t>Ingresos acumulables de personas distintas a casas de cambio que se dedican a la compra y venta de divisas. Sólo debe tomarse en consideración la ganancia efectivamente percibida. (Se deroga)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ab/>
      </w:r>
      <w:r w:rsidRPr="00957B34">
        <w:rPr>
          <w:rFonts w:ascii="Verdana" w:eastAsia="Times New Roman" w:hAnsi="Verdana" w:cs="Times New Roman"/>
          <w:strike/>
          <w:sz w:val="20"/>
          <w:szCs w:val="20"/>
          <w:lang w:val="es-ES" w:eastAsia="es-MX"/>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Ello, con independencia de los demás ingresos que perciban, mismos que se deberán de acumular de conformidad con los artículos 16 y 90 del ordenamiento citado.</w:t>
      </w:r>
    </w:p>
    <w:tbl>
      <w:tblPr>
        <w:tblW w:w="7215" w:type="dxa"/>
        <w:tblInd w:w="1642" w:type="dxa"/>
        <w:tblLayout w:type="fixed"/>
        <w:tblCellMar>
          <w:left w:w="72" w:type="dxa"/>
          <w:right w:w="72" w:type="dxa"/>
        </w:tblCellMar>
        <w:tblLook w:val="04A0" w:firstRow="1" w:lastRow="0" w:firstColumn="1" w:lastColumn="0" w:noHBand="0" w:noVBand="1"/>
      </w:tblPr>
      <w:tblGrid>
        <w:gridCol w:w="1760"/>
        <w:gridCol w:w="164"/>
        <w:gridCol w:w="5291"/>
      </w:tblGrid>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15/2001/ISR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325-SAT-A-31123 de 14 de septiembre de 2001, mediante el cual se da a conocer la nueva Compilación de Criterios Normativos 2001.</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2016</w:t>
            </w:r>
          </w:p>
        </w:tc>
        <w:tc>
          <w:tcPr>
            <w:tcW w:w="5526"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Publicada en el Diario Oficial de la Federación el 23 de diciembre de 2015. El Anexo 7 publicado en Diario Oficial de la Federación el 12 de enero de 2016. </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Ha sido incorporado en el artículo 12 del Reglamento de la Ley del Impuesto Sobre la Renta, publicado en el DOF el 8 de octubre de 2015.</w:t>
            </w:r>
          </w:p>
        </w:tc>
      </w:tr>
      <w:tr w:rsidR="00957B34" w:rsidRPr="00957B34" w:rsidTr="00957B34">
        <w:tc>
          <w:tcPr>
            <w:tcW w:w="180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3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5385"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15/ISR/N</w:t>
      </w:r>
      <w:r w:rsidRPr="00957B34">
        <w:rPr>
          <w:rFonts w:ascii="Verdana" w:eastAsia="Times New Roman" w:hAnsi="Verdana" w:cs="Times New Roman"/>
          <w:b/>
          <w:sz w:val="20"/>
          <w:szCs w:val="20"/>
          <w:lang w:val="es-ES" w:eastAsia="es-MX"/>
        </w:rPr>
        <w:tab/>
        <w:t>Autorización para enajenar acciones a costo fiscal. La sociedad emisora de las acciones no requiere estar constituida en México. (Se deroga)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957B34">
        <w:rPr>
          <w:rFonts w:ascii="Verdana" w:eastAsia="Times New Roman" w:hAnsi="Verdana" w:cs="Times New Roman"/>
          <w:b/>
          <w:strike/>
          <w:sz w:val="20"/>
          <w:szCs w:val="20"/>
          <w:lang w:val="es-ES" w:eastAsia="es-MX"/>
        </w:rPr>
        <w:t xml:space="preserve"> </w:t>
      </w:r>
      <w:r w:rsidRPr="00957B34">
        <w:rPr>
          <w:rFonts w:ascii="Verdana" w:eastAsia="Times New Roman" w:hAnsi="Verdana" w:cs="Times New Roman"/>
          <w:strike/>
          <w:sz w:val="20"/>
          <w:szCs w:val="20"/>
          <w:lang w:val="es-ES" w:eastAsia="es-MX"/>
        </w:rPr>
        <w:t xml:space="preserve">pertenecer a un mismo grupo y se cumplan los </w:t>
      </w:r>
      <w:r w:rsidRPr="00957B34">
        <w:rPr>
          <w:rFonts w:ascii="Verdana" w:eastAsia="Times New Roman" w:hAnsi="Verdana" w:cs="Times New Roman"/>
          <w:strike/>
          <w:sz w:val="20"/>
          <w:szCs w:val="20"/>
          <w:lang w:val="es-ES" w:eastAsia="es-MX"/>
        </w:rPr>
        <w:lastRenderedPageBreak/>
        <w:t>requisitos a que se refiere el artículo 24 de la Ley del ISR y sus disposiciones reglamentarias.</w:t>
      </w:r>
    </w:p>
    <w:tbl>
      <w:tblPr>
        <w:tblW w:w="7215" w:type="dxa"/>
        <w:tblInd w:w="1642" w:type="dxa"/>
        <w:tblLayout w:type="fixed"/>
        <w:tblCellMar>
          <w:left w:w="72" w:type="dxa"/>
          <w:right w:w="72" w:type="dxa"/>
        </w:tblCellMar>
        <w:tblLook w:val="04A0" w:firstRow="1" w:lastRow="0" w:firstColumn="1" w:lastColumn="0" w:noHBand="0" w:noVBand="1"/>
      </w:tblPr>
      <w:tblGrid>
        <w:gridCol w:w="1760"/>
        <w:gridCol w:w="164"/>
        <w:gridCol w:w="5291"/>
      </w:tblGrid>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2016</w:t>
            </w:r>
          </w:p>
        </w:tc>
        <w:tc>
          <w:tcPr>
            <w:tcW w:w="5526"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Publicada en el Diario Oficial de la Federación el 23 de diciembre de 2015. El Anexo 7 publicado en Diario Oficial de la Federación el 12 de enero de 2016. </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Ha sido incorporado en el artículo 27 del Reglamento de la Ley del Impuesto Sobre la Renta, publicado en el DOF el 8 de octubre de 2015.</w:t>
            </w:r>
          </w:p>
        </w:tc>
      </w:tr>
      <w:tr w:rsidR="00957B34" w:rsidRPr="00957B34" w:rsidTr="00957B34">
        <w:tc>
          <w:tcPr>
            <w:tcW w:w="180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3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5385"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r>
    </w:tbl>
    <w:p w:rsidR="00957B34" w:rsidRPr="00957B34" w:rsidRDefault="00957B34" w:rsidP="00957B34">
      <w:pPr>
        <w:spacing w:before="100" w:beforeAutospacing="1" w:after="100" w:line="22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16/ISR/N</w:t>
      </w:r>
      <w:r w:rsidRPr="00957B34">
        <w:rPr>
          <w:rFonts w:ascii="Verdana" w:eastAsia="Times New Roman" w:hAnsi="Verdana" w:cs="Times New Roman"/>
          <w:b/>
          <w:sz w:val="20"/>
          <w:szCs w:val="20"/>
          <w:lang w:val="es-ES" w:eastAsia="es-MX"/>
        </w:rPr>
        <w:tab/>
        <w:t>Autorización para enajenar acciones a costo fiscal. No se actualiza el supuesto para otorgarla tratándose de aquéllas que no tengan costo promedio por acción.</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22, fracción III, tercer párrafo, segunda oración de la Ley del ISR prevé la hipótesis en la cual las acciones no tendrán costo promedio por acción; es decir, el supuesto en que no tendrán costo fiscal.</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tabs>
                <w:tab w:val="left" w:pos="1005"/>
              </w:tabs>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600-04-02-2013-12915 de 25 de junio de 2013, mediante el cual se dan a conocer los criterios normativos aprobados en el segundo trimestre 2013. Oficio 600-04-07-2013-16549 de </w:t>
            </w:r>
            <w:r w:rsidRPr="00957B34">
              <w:rPr>
                <w:rFonts w:ascii="Verdana" w:eastAsia="Times New Roman" w:hAnsi="Verdana" w:cs="Arial"/>
                <w:sz w:val="20"/>
                <w:szCs w:val="20"/>
                <w:lang w:val="es-ES" w:eastAsia="es-MX"/>
              </w:rPr>
              <w:lastRenderedPageBreak/>
              <w:t>10 de diciembre de 2013 a través del cual se da a conocer el Boletín 2013, con el número de criterio normativo 57/2013/ISR.</w:t>
            </w:r>
          </w:p>
        </w:tc>
      </w:tr>
    </w:tbl>
    <w:p w:rsidR="00957B34" w:rsidRPr="00957B34" w:rsidRDefault="00957B34" w:rsidP="00957B34">
      <w:pPr>
        <w:spacing w:before="100" w:beforeAutospacing="1" w:after="100" w:line="22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17/ISR/N</w:t>
      </w:r>
      <w:r w:rsidRPr="00957B34">
        <w:rPr>
          <w:rFonts w:ascii="Verdana" w:eastAsia="Times New Roman" w:hAnsi="Verdana" w:cs="Times New Roman"/>
          <w:b/>
          <w:sz w:val="20"/>
          <w:szCs w:val="20"/>
          <w:lang w:val="es-ES" w:eastAsia="es-MX"/>
        </w:rPr>
        <w:tab/>
        <w:t>Envases de bebidas embotelladas. Supuestos en los que se deben considerar activo fijo o mercancía.</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acuerdo con lo establecido por el artículo 25, fracción II de la Ley del ISR, los contribuyentes pueden deducir el costo de lo vendido, dentro del cual pueden considerar los productos terminados o semiterminados que formen parte de las mercancías, de conformidad con lo dispuesto en el artículo 39, tercer párrafo, inciso a) de la citada Ley.</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contexto, los envases utilizados en la enajenación de bebidas embotelladas deben ser considerados como parte del costo de lo vendido, ya que dichos envases son parte del producto terminado que las embotelladoras utilizan para enajenar sus bebidas.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16/2002/ISR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325-SAT-A-31676 de 24 de mayo de 2002.</w:t>
            </w:r>
          </w:p>
        </w:tc>
      </w:tr>
    </w:tbl>
    <w:p w:rsidR="00957B34" w:rsidRPr="00957B34" w:rsidRDefault="00957B34" w:rsidP="00957B34">
      <w:pPr>
        <w:spacing w:before="100" w:beforeAutospacing="1" w:after="100" w:line="25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18/ISR/N</w:t>
      </w:r>
      <w:r w:rsidRPr="00957B34">
        <w:rPr>
          <w:rFonts w:ascii="Verdana" w:eastAsia="Times New Roman" w:hAnsi="Verdana" w:cs="Times New Roman"/>
          <w:b/>
          <w:sz w:val="20"/>
          <w:szCs w:val="20"/>
          <w:lang w:val="es-ES" w:eastAsia="es-MX"/>
        </w:rPr>
        <w:tab/>
        <w:t>Deducción de pérdidas por caso fortuito o fuerza mayor.</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t xml:space="preserve">A. </w:t>
      </w:r>
      <w:r w:rsidRPr="00957B34">
        <w:rPr>
          <w:rFonts w:ascii="Verdana" w:eastAsia="Times New Roman" w:hAnsi="Verdana" w:cs="Times New Roman"/>
          <w:sz w:val="20"/>
          <w:szCs w:val="20"/>
          <w:lang w:val="es-ES" w:eastAsia="es-MX"/>
        </w:rPr>
        <w:t>Una pérdida de dinero en efectivo derivada de un robo o fraude podrá ser deducida en los términos del artículo 25, fracción V de la Ley del ISR, como caso de fuerza mayor siempre que se reúnan los siguientes requisitos:</w:t>
      </w:r>
    </w:p>
    <w:p w:rsidR="00957B34" w:rsidRPr="00957B34" w:rsidRDefault="00957B34" w:rsidP="00957B34">
      <w:pPr>
        <w:spacing w:after="100" w:line="252"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I.</w:t>
      </w:r>
      <w:r w:rsidRPr="00957B34">
        <w:rPr>
          <w:rFonts w:ascii="Verdana" w:eastAsia="Times New Roman" w:hAnsi="Verdana" w:cs="Times New Roman"/>
          <w:sz w:val="20"/>
          <w:szCs w:val="20"/>
          <w:lang w:val="es-ES_tradnl" w:eastAsia="es-MX"/>
        </w:rPr>
        <w:t xml:space="preserve"> </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Que las cantidades perdidas, cuya deducción se pretenda, se hubieren acumulado para los efectos del ISR, y</w:t>
      </w:r>
    </w:p>
    <w:p w:rsidR="00957B34" w:rsidRPr="00957B34" w:rsidRDefault="00957B34" w:rsidP="00957B34">
      <w:pPr>
        <w:spacing w:after="100" w:line="252"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xml:space="preserve">II. </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Que se acredite el cuerpo del delito. Para ello, el contribuyente deberá denunciar el delito y contar con copia certificada del auto de radicación, emitido por el juez competente. Dicha copia certificada deberá exhibirse a requerimiento de la autoridad fiscal.</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Las cantidades que se recuperen por seguros, fianzas o responsabilidades a cargo de terceros se acumularán de conformidad con el artículo 18, fracción VI de la Ley del ISR.</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b/>
          <w:sz w:val="20"/>
          <w:szCs w:val="20"/>
          <w:lang w:val="es-ES" w:eastAsia="es-MX"/>
        </w:rPr>
        <w:t>B.</w:t>
      </w:r>
      <w:r w:rsidRPr="00957B34">
        <w:rPr>
          <w:rFonts w:ascii="Verdana" w:eastAsia="Times New Roman" w:hAnsi="Verdana" w:cs="Times New Roman"/>
          <w:sz w:val="20"/>
          <w:szCs w:val="20"/>
          <w:lang w:val="es-ES" w:eastAsia="es-MX"/>
        </w:rPr>
        <w:t xml:space="preserve">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3.2.5.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325-A-VII-B-23300 de 20 de diciembre de 1995.</w:t>
            </w:r>
          </w:p>
        </w:tc>
      </w:tr>
    </w:tbl>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19/ISR/N</w:t>
      </w:r>
      <w:r w:rsidRPr="00957B34">
        <w:rPr>
          <w:rFonts w:ascii="Verdana" w:eastAsia="Times New Roman" w:hAnsi="Verdana" w:cs="Times New Roman"/>
          <w:b/>
          <w:sz w:val="20"/>
          <w:szCs w:val="20"/>
          <w:lang w:val="es-ES" w:eastAsia="es-MX"/>
        </w:rPr>
        <w:tab/>
        <w:t>Intereses devengados. Supuesto en el que se acredita el requisito de la deducibilidad.</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25, fracción VII de la Ley del ISR establece que son deducibles los intereses devengados a cargo en el ejercicio, sin ajuste alguno, salvo en el caso de los intereses moratorios.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w:t>
      </w:r>
      <w:r w:rsidRPr="00957B34">
        <w:rPr>
          <w:rFonts w:ascii="Verdana" w:eastAsia="Times New Roman" w:hAnsi="Verdana" w:cs="Times New Roman"/>
          <w:sz w:val="20"/>
          <w:szCs w:val="20"/>
          <w:lang w:val="es-ES" w:eastAsia="es-MX"/>
        </w:rPr>
        <w:lastRenderedPageBreak/>
        <w:t>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tabs>
                <w:tab w:val="left" w:pos="975"/>
              </w:tabs>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20/ISR/N</w:t>
      </w:r>
      <w:r w:rsidRPr="00957B34">
        <w:rPr>
          <w:rFonts w:ascii="Verdana" w:eastAsia="Times New Roman" w:hAnsi="Verdana" w:cs="Times New Roman"/>
          <w:b/>
          <w:sz w:val="20"/>
          <w:szCs w:val="20"/>
          <w:lang w:val="es-ES" w:eastAsia="es-MX"/>
        </w:rPr>
        <w:tab/>
        <w:t>Actos u operaciones prohibidos por la Ley Federal para la Prevención e Identificación de Operaciones con Recursos de Procedencia Ilícita. La realización de dichos actos u operaciones implica la no deducción de las erogaciones relacionadas con aquéllos.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ese sentido, el realizar cualquiera de los actos u operaciones a que se refiere el mencionado artículo 32 de la Ley Federal para la Prevención e Identificación de Operaciones con Recursos de Procedencia Ilícita, implica que las erogaciones efectuadas por </w:t>
      </w:r>
      <w:proofErr w:type="gramStart"/>
      <w:r w:rsidRPr="00957B34">
        <w:rPr>
          <w:rFonts w:ascii="Verdana" w:eastAsia="Times New Roman" w:hAnsi="Verdana" w:cs="Times New Roman"/>
          <w:sz w:val="20"/>
          <w:szCs w:val="20"/>
          <w:lang w:val="es-ES" w:eastAsia="es-MX"/>
        </w:rPr>
        <w:t>el contribuyente relacionadas</w:t>
      </w:r>
      <w:proofErr w:type="gramEnd"/>
      <w:r w:rsidRPr="00957B34">
        <w:rPr>
          <w:rFonts w:ascii="Verdana" w:eastAsia="Times New Roman" w:hAnsi="Verdana" w:cs="Times New Roman"/>
          <w:sz w:val="20"/>
          <w:szCs w:val="20"/>
          <w:lang w:val="es-ES" w:eastAsia="es-MX"/>
        </w:rPr>
        <w:t xml:space="preserve"> con dichos actos y operaciones, habrán sido efectuadas en contravención a una Ley de orden público.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Por lo tanto, las erogaciones relacionadas con actos u operaciones prohibidos por el artículo 32 de la Ley Federal para la Prevención e </w:t>
      </w:r>
      <w:r w:rsidRPr="00957B34">
        <w:rPr>
          <w:rFonts w:ascii="Verdana" w:eastAsia="Times New Roman" w:hAnsi="Verdana" w:cs="Times New Roman"/>
          <w:sz w:val="20"/>
          <w:szCs w:val="20"/>
          <w:lang w:val="es-ES" w:eastAsia="es-MX"/>
        </w:rPr>
        <w:lastRenderedPageBreak/>
        <w:t>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7215" w:type="dxa"/>
        <w:tblInd w:w="1642" w:type="dxa"/>
        <w:tblLayout w:type="fixed"/>
        <w:tblCellMar>
          <w:left w:w="72" w:type="dxa"/>
          <w:right w:w="72" w:type="dxa"/>
        </w:tblCellMar>
        <w:tblLook w:val="04A0" w:firstRow="1" w:lastRow="0" w:firstColumn="1" w:lastColumn="0" w:noHBand="0" w:noVBand="1"/>
      </w:tblPr>
      <w:tblGrid>
        <w:gridCol w:w="1719"/>
        <w:gridCol w:w="5496"/>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96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2013</w:t>
            </w:r>
          </w:p>
        </w:tc>
        <w:tc>
          <w:tcPr>
            <w:tcW w:w="596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21/ISR/N</w:t>
      </w:r>
      <w:r w:rsidRPr="00957B34">
        <w:rPr>
          <w:rFonts w:ascii="Verdana" w:eastAsia="Times New Roman" w:hAnsi="Verdana" w:cs="Times New Roman"/>
          <w:b/>
          <w:sz w:val="20"/>
          <w:szCs w:val="20"/>
          <w:lang w:val="es-ES" w:eastAsia="es-MX"/>
        </w:rPr>
        <w:tab/>
        <w:t>Personas morales que concentren sus transacciones de tesorería. Excepción al requisito de deducibilidad previsto para la procedencia del acreditamiento del IVA.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Asimismo, la regla 3.3.1.3. </w:t>
      </w:r>
      <w:proofErr w:type="gramStart"/>
      <w:r w:rsidRPr="00957B34">
        <w:rPr>
          <w:rFonts w:ascii="Verdana" w:eastAsia="Times New Roman" w:hAnsi="Verdana" w:cs="Times New Roman"/>
          <w:sz w:val="20"/>
          <w:szCs w:val="20"/>
          <w:lang w:val="es-ES" w:eastAsia="es-MX"/>
        </w:rPr>
        <w:t>de</w:t>
      </w:r>
      <w:proofErr w:type="gramEnd"/>
      <w:r w:rsidRPr="00957B34">
        <w:rPr>
          <w:rFonts w:ascii="Verdana" w:eastAsia="Times New Roman" w:hAnsi="Verdana" w:cs="Times New Roman"/>
          <w:sz w:val="20"/>
          <w:szCs w:val="20"/>
          <w:lang w:val="es-ES" w:eastAsia="es-MX"/>
        </w:rPr>
        <w:t xml:space="preserve"> la RMF para 2019, señala que lo previsto en el artículo 27, fracción III de la Ley del ISR solo es aplicable a las obligaciones que se cumplan o se extingan con la entrega de una cantidad en dinero.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cuando se dé el supuesto señalado en el párrafo anterior, se tendrá por cumplido el requisito de deducibilidad previsto en el artículo 27, fracción III de la Ley del ISR y, por ende, se tendrá por cumplido el relativo al acreditamiento señalado en el diverso 5, fracción I de la Ley del IVA.</w:t>
      </w:r>
    </w:p>
    <w:tbl>
      <w:tblPr>
        <w:tblW w:w="7215" w:type="dxa"/>
        <w:tblInd w:w="1642" w:type="dxa"/>
        <w:tblLayout w:type="fixed"/>
        <w:tblCellMar>
          <w:left w:w="72" w:type="dxa"/>
          <w:right w:w="72" w:type="dxa"/>
        </w:tblCellMar>
        <w:tblLook w:val="04A0" w:firstRow="1" w:lastRow="0" w:firstColumn="1" w:lastColumn="0" w:noHBand="0" w:noVBand="1"/>
      </w:tblPr>
      <w:tblGrid>
        <w:gridCol w:w="1719"/>
        <w:gridCol w:w="5496"/>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96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2008</w:t>
            </w:r>
          </w:p>
        </w:tc>
        <w:tc>
          <w:tcPr>
            <w:tcW w:w="596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22/ISR/N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Pérdidas por créditos incobrables. Notoria imposibilidad práctica de cobro.</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haya demandado ante la autoridad judicial el pago del crédito o se haya iniciado el procedimiento arbitral convenido para su cobro y además se cumpla con lo previsto en el párrafo final del inciso a) de la misma fracción.</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 párrafo citado, deberán informar a más tardar el 15 de febrero de cada año de los créditos incobrables que dedujeron en los términos de ese párrafo en el año calendario inmediato anterior.</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la expresión -se cumpla- utilizada en el inciso b), al referirse al párrafo final del inciso a), alude a una obligación.</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7215" w:type="dxa"/>
        <w:tblInd w:w="1642" w:type="dxa"/>
        <w:tblLayout w:type="fixed"/>
        <w:tblCellMar>
          <w:left w:w="72" w:type="dxa"/>
          <w:right w:w="72" w:type="dxa"/>
        </w:tblCellMar>
        <w:tblLook w:val="04A0" w:firstRow="1" w:lastRow="0" w:firstColumn="1" w:lastColumn="0" w:noHBand="0" w:noVBand="1"/>
      </w:tblPr>
      <w:tblGrid>
        <w:gridCol w:w="1719"/>
        <w:gridCol w:w="5496"/>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96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2009</w:t>
            </w:r>
          </w:p>
        </w:tc>
        <w:tc>
          <w:tcPr>
            <w:tcW w:w="596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rsidR="00957B34" w:rsidRPr="00957B34" w:rsidRDefault="00957B34" w:rsidP="00957B34">
      <w:pPr>
        <w:spacing w:before="100" w:beforeAutospacing="1" w:after="100" w:line="22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23/ISR/N</w:t>
      </w:r>
      <w:r w:rsidRPr="00957B34">
        <w:rPr>
          <w:rFonts w:ascii="Verdana" w:eastAsia="Times New Roman" w:hAnsi="Verdana" w:cs="Times New Roman"/>
          <w:b/>
          <w:sz w:val="20"/>
          <w:szCs w:val="20"/>
          <w:lang w:val="es-ES" w:eastAsia="es-MX"/>
        </w:rPr>
        <w:tab/>
        <w:t>Intereses no se consideran cantidades pagadas por concepto de ISR a cargo de terceros.</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28, fracción I, primer párrafo, de la Ley del ISR establece que no serán deducibles para los efectos del Título II de dicha Ley, los pagos por ISR a cargo de terceros.</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153, tercer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para los efectos del artículo 28, fracción I de la Ley del ISR, las cantidades adicionales señaladas en el párrafo anterior, no se consideran pago del ISR a cargo de tercero.</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rsidR="00957B34" w:rsidRPr="00957B34" w:rsidRDefault="00957B34" w:rsidP="00957B34">
      <w:pPr>
        <w:spacing w:before="100" w:beforeAutospacing="1" w:after="100" w:line="25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24/ISR/N</w:t>
      </w:r>
      <w:r w:rsidRPr="00957B34">
        <w:rPr>
          <w:rFonts w:ascii="Verdana" w:eastAsia="Times New Roman" w:hAnsi="Verdana" w:cs="Times New Roman"/>
          <w:b/>
          <w:sz w:val="20"/>
          <w:szCs w:val="20"/>
          <w:lang w:val="es-ES" w:eastAsia="es-MX"/>
        </w:rPr>
        <w:tab/>
        <w:t>Dádivas a servidores públicos. No son deducibles para los efectos del ISR.</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28, fracción III de la Ley del ISR establece que no serán deducibles los obsequios, atenciones y otros gastos de naturaleza análoga, con excepción de aquéllos referidos en la propia disposición.</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 los artículos 222 y 222 bis del Código Penal Federal se desprende que los delitos de cohecho y de cohecho a servidores públicos </w:t>
      </w:r>
      <w:r w:rsidRPr="00957B34">
        <w:rPr>
          <w:rFonts w:ascii="Verdana" w:eastAsia="Times New Roman" w:hAnsi="Verdana" w:cs="Times New Roman"/>
          <w:sz w:val="20"/>
          <w:szCs w:val="20"/>
          <w:lang w:val="es-ES" w:eastAsia="es-MX"/>
        </w:rPr>
        <w:lastRenderedPageBreak/>
        <w:t>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Dicha conducta implica que cualquier erogación efectuada por el contribuyente que se ubique en los supuestos de los tipos penales señalados, habrá sido efectuada en contravención a las leyes de orden público.</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las erogaciones, para ser consideradas deducciones autorizadas, no deben ser contrarias a las leyes de orden público, incluso cuando se realicen en el extranjero.</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25/ISR/N</w:t>
      </w:r>
      <w:r w:rsidRPr="00957B34">
        <w:rPr>
          <w:rFonts w:ascii="Verdana" w:eastAsia="Times New Roman" w:hAnsi="Verdana" w:cs="Times New Roman"/>
          <w:b/>
          <w:sz w:val="20"/>
          <w:szCs w:val="20"/>
          <w:lang w:val="es-ES" w:eastAsia="es-MX"/>
        </w:rPr>
        <w:tab/>
        <w:t>Crédito comercial. No es deducible el sobreprecio que paga el contribuyente por la adquisición de un bien.</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el artículo 28, fracción XII de la Ley del ISR no es deducible el crédito comercial, aun cuando sea adquirido de terceros.</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Ahora bien, por crédito comercial debe entenderse el sobreprecio que respecto de su valor real, nominal o de mercado, paga el contribuyente por una adquisición.</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ello, el sobreprecio que paga el contribuyente por la adquisición de un bien, por encima de su valor real, nominal o de mercado, no es deducible para efectos del ISR.</w:t>
      </w:r>
    </w:p>
    <w:tbl>
      <w:tblPr>
        <w:tblW w:w="7215" w:type="dxa"/>
        <w:tblInd w:w="1642" w:type="dxa"/>
        <w:tblLayout w:type="fixed"/>
        <w:tblCellMar>
          <w:left w:w="72" w:type="dxa"/>
          <w:right w:w="72" w:type="dxa"/>
        </w:tblCellMar>
        <w:tblLook w:val="04A0" w:firstRow="1" w:lastRow="0" w:firstColumn="1" w:lastColumn="0" w:noHBand="0" w:noVBand="1"/>
      </w:tblPr>
      <w:tblGrid>
        <w:gridCol w:w="1715"/>
        <w:gridCol w:w="5500"/>
      </w:tblGrid>
      <w:tr w:rsidR="00957B34" w:rsidRPr="00957B34" w:rsidTr="00957B34">
        <w:trPr>
          <w:trHeight w:val="20"/>
        </w:trPr>
        <w:tc>
          <w:tcPr>
            <w:tcW w:w="176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7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6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2008</w:t>
            </w:r>
          </w:p>
        </w:tc>
        <w:tc>
          <w:tcPr>
            <w:tcW w:w="567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600-04-02-2008-75872 de 1 de septiembre de 2008 mediante el cual se dan a conocer los criterios normativos aprobados a agosto de 2008. Oficio 600-04-02-2009-73416 de 7 de enero de </w:t>
            </w:r>
            <w:r w:rsidRPr="00957B34">
              <w:rPr>
                <w:rFonts w:ascii="Verdana" w:eastAsia="Times New Roman" w:hAnsi="Verdana" w:cs="Arial"/>
                <w:sz w:val="20"/>
                <w:szCs w:val="20"/>
                <w:lang w:val="es-ES" w:eastAsia="es-MX"/>
              </w:rPr>
              <w:lastRenderedPageBreak/>
              <w:t>2009, a través del cual se da a conocer el Boletín 2008, con número de criterio normativo 5/2008/ISR.</w:t>
            </w:r>
          </w:p>
        </w:tc>
      </w:tr>
    </w:tbl>
    <w:p w:rsidR="00957B34" w:rsidRPr="00957B34" w:rsidRDefault="00957B34" w:rsidP="00957B34">
      <w:pPr>
        <w:spacing w:before="100" w:beforeAutospacing="1" w:after="100" w:line="233"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26/ISR/N</w:t>
      </w:r>
      <w:r w:rsidRPr="00957B34">
        <w:rPr>
          <w:rFonts w:ascii="Verdana" w:eastAsia="Times New Roman" w:hAnsi="Verdana" w:cs="Times New Roman"/>
          <w:b/>
          <w:sz w:val="20"/>
          <w:szCs w:val="20"/>
          <w:lang w:val="es-ES" w:eastAsia="es-MX"/>
        </w:rPr>
        <w:tab/>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rsidR="00957B34" w:rsidRPr="00957B34" w:rsidRDefault="00957B34" w:rsidP="00957B34">
      <w:pPr>
        <w:spacing w:before="100" w:beforeAutospacing="1" w:after="100" w:line="233"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27/ISR/N</w:t>
      </w:r>
      <w:r w:rsidRPr="00957B34">
        <w:rPr>
          <w:rFonts w:ascii="Verdana" w:eastAsia="Times New Roman" w:hAnsi="Verdana" w:cs="Times New Roman"/>
          <w:b/>
          <w:sz w:val="20"/>
          <w:szCs w:val="20"/>
          <w:lang w:val="es-ES" w:eastAsia="es-MX"/>
        </w:rPr>
        <w:tab/>
        <w:t>Deducciones del ISR. Los vehículos denominados pick up son camiones de carga.</w:t>
      </w:r>
    </w:p>
    <w:p w:rsidR="00957B34" w:rsidRPr="00957B34" w:rsidRDefault="00957B34" w:rsidP="00957B34">
      <w:pPr>
        <w:spacing w:after="100" w:line="23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34, fracción VI de la misma Ley dispone que tratándose de automóviles, autobuses, camiones de carga, tractocamiones, </w:t>
      </w:r>
      <w:r w:rsidRPr="00957B34">
        <w:rPr>
          <w:rFonts w:ascii="Verdana" w:eastAsia="Times New Roman" w:hAnsi="Verdana" w:cs="Times New Roman"/>
          <w:sz w:val="20"/>
          <w:szCs w:val="20"/>
          <w:lang w:val="es-ES" w:eastAsia="es-MX"/>
        </w:rPr>
        <w:lastRenderedPageBreak/>
        <w:t>montacargas y remolques, el porciento máximo autorizado como deducción es del 25%.</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los vehículos denominados pick up son camiones de carga destinados al transporte de mercancías, por lo que no deben ser considerados como automóviles para efectos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2009</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28/ISR/N</w:t>
      </w:r>
      <w:r w:rsidRPr="00957B34">
        <w:rPr>
          <w:rFonts w:ascii="Verdana" w:eastAsia="Times New Roman" w:hAnsi="Verdana" w:cs="Times New Roman"/>
          <w:b/>
          <w:sz w:val="20"/>
          <w:szCs w:val="20"/>
          <w:lang w:val="es-ES" w:eastAsia="es-MX"/>
        </w:rPr>
        <w:tab/>
        <w:t>Cálculo del ajuste anual por inflación. No debe considerarse el IVA acreditable.</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ajuste anual por inflación de créditos se determina de conformidad con lo establecido por los artículos 44 y 45 de la Ley del ISR.</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conformidad con el artículo 4 de la Ley del IVA, se entiende por impuesto acreditable el monto equivalente al IVA que hubiera sido trasladado al contribuyente y el propio impuesto que este hubiese pagado con motivo de la importación de bienes o servicios, en el mes que corresponda.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ello, el IVA acreditable al no ser un crédito no debe considerarse en la determinación del ajuste anual por inflación.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6.</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325-A-VII-10973 de 3 de diciembre de 1996, a través del cual se hacen del conocimiento diversos criterios normativos.</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29/ISR/N</w:t>
      </w:r>
      <w:r w:rsidRPr="00957B34">
        <w:rPr>
          <w:rFonts w:ascii="Verdana" w:eastAsia="Times New Roman" w:hAnsi="Verdana" w:cs="Times New Roman"/>
          <w:b/>
          <w:sz w:val="20"/>
          <w:szCs w:val="20"/>
          <w:lang w:val="es-ES" w:eastAsia="es-MX"/>
        </w:rPr>
        <w:tab/>
        <w:t>Operaciones financieras derivadas de capital referenciadas al tipo de cambio de una divisa. El hecho de estar previstas en una disposición que regula la no retención por el pago de intereses no altera su naturaleza.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 a divisas.</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7215" w:type="dxa"/>
        <w:tblInd w:w="1642" w:type="dxa"/>
        <w:tblLayout w:type="fixed"/>
        <w:tblCellMar>
          <w:left w:w="72" w:type="dxa"/>
          <w:right w:w="72" w:type="dxa"/>
        </w:tblCellMar>
        <w:tblLook w:val="04A0" w:firstRow="1" w:lastRow="0" w:firstColumn="1" w:lastColumn="0" w:noHBand="0" w:noVBand="1"/>
      </w:tblPr>
      <w:tblGrid>
        <w:gridCol w:w="1719"/>
        <w:gridCol w:w="5496"/>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96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96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rsidR="00957B34" w:rsidRPr="00957B34" w:rsidRDefault="00957B34" w:rsidP="00957B34">
      <w:pPr>
        <w:spacing w:before="100" w:beforeAutospacing="1" w:after="100" w:line="25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30/ISR/N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Actualización de pérdidas fiscales. Factor aplicable.</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 xml:space="preserve">De conformidad con el artículo 57 de la Ley del ISR, el monto de la pérdida fiscal ocurrida en un ejercicio debe ser actualizado multiplicándolo por el factor correspondiente al periodo comprendido </w:t>
      </w:r>
      <w:r w:rsidRPr="00957B34">
        <w:rPr>
          <w:rFonts w:ascii="Verdana" w:eastAsia="Times New Roman" w:hAnsi="Verdana" w:cs="Times New Roman"/>
          <w:sz w:val="20"/>
          <w:szCs w:val="20"/>
          <w:lang w:val="es-ES" w:eastAsia="es-MX"/>
        </w:rPr>
        <w:lastRenderedPageBreak/>
        <w:t>desde el primer mes de la segunda mitad del ejercicio en que ocurrió, hasta el último mes del propio ejercicio.</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7215" w:type="dxa"/>
        <w:tblInd w:w="1642" w:type="dxa"/>
        <w:tblLayout w:type="fixed"/>
        <w:tblCellMar>
          <w:left w:w="72" w:type="dxa"/>
          <w:right w:w="72" w:type="dxa"/>
        </w:tblCellMar>
        <w:tblLook w:val="04A0" w:firstRow="1" w:lastRow="0" w:firstColumn="1" w:lastColumn="0" w:noHBand="0" w:noVBand="1"/>
      </w:tblPr>
      <w:tblGrid>
        <w:gridCol w:w="1859"/>
        <w:gridCol w:w="5356"/>
      </w:tblGrid>
      <w:tr w:rsidR="00957B34" w:rsidRPr="00957B34" w:rsidTr="00957B34">
        <w:trPr>
          <w:trHeight w:val="20"/>
        </w:trPr>
        <w:tc>
          <w:tcPr>
            <w:tcW w:w="33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985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33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w:t>
            </w:r>
          </w:p>
        </w:tc>
        <w:tc>
          <w:tcPr>
            <w:tcW w:w="985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325-A-VII-10973 de 3 de diciembre de 1996, a través del cual se hacen del conocimiento diversos criterios normativos.</w:t>
            </w:r>
          </w:p>
        </w:tc>
      </w:tr>
    </w:tbl>
    <w:p w:rsidR="00957B34" w:rsidRPr="00957B34" w:rsidRDefault="00957B34" w:rsidP="00957B34">
      <w:pPr>
        <w:spacing w:before="100" w:beforeAutospacing="1" w:after="100" w:line="25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31/ISR/N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Aumento de la pérdida fiscal en declaraciones complementarias.</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segundo párrafo del mencionado artículo refiere que sólo podrá disminuirse la pérdida fiscal ocurrida en un ejercicio, contra la utilidad fiscal de los diez ejercicios siguientes hasta agotarla.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X/95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Boletín de Normatividad 1 mayo-junio de 1995.</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32/ISR/N</w:t>
      </w:r>
      <w:r w:rsidRPr="00957B34">
        <w:rPr>
          <w:rFonts w:ascii="Verdana" w:eastAsia="Times New Roman" w:hAnsi="Verdana" w:cs="Times New Roman"/>
          <w:b/>
          <w:sz w:val="20"/>
          <w:szCs w:val="20"/>
          <w:lang w:val="es-ES" w:eastAsia="es-MX"/>
        </w:rPr>
        <w:tab/>
        <w:t>Personas morales que celebran operaciones con partes relacionadas residentes en México. Documentación e información comprobatoria que deben conservar.</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76, fracción I de la Ley del ISR establece la obligación de llevar la contabilidad de conformidad con el CFF, su Reglamento y el </w:t>
      </w:r>
      <w:r w:rsidRPr="00957B34">
        <w:rPr>
          <w:rFonts w:ascii="Verdana" w:eastAsia="Times New Roman" w:hAnsi="Verdana" w:cs="Times New Roman"/>
          <w:sz w:val="20"/>
          <w:szCs w:val="20"/>
          <w:lang w:val="es-ES" w:eastAsia="es-MX"/>
        </w:rPr>
        <w:lastRenderedPageBreak/>
        <w:t>Reglamento de la Ley del ISR, así como efectuar los registros en la misma contabilidad.</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28, fracción I del CFF señala que en los casos en que las disposiciones fiscales hagan referencia a la contabilidad, se entenderá que la misma se integra, entre otros conceptos, por documentación comprobatoria de ingresos y deducciones.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las personas morales que celebren operaciones con partes relacionadas residentes en territorio nacional, en cumplimiento del artículo 76, fracciones I y XII de la Ley del ISR y 28 del CFF, deberán obtener y conservar la documentación comprobatoria con la que demuestren que:</w:t>
      </w:r>
    </w:p>
    <w:p w:rsidR="00957B34" w:rsidRPr="00957B34" w:rsidRDefault="00957B34" w:rsidP="00957B34">
      <w:pPr>
        <w:spacing w:after="100" w:line="240"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monto de sus ingresos acumulables y sus deducciones autorizadas se efectuaron considerando para esas operaciones los precios y montos de contraprestaciones que hubieran utilizado con o entre partes independientes en operaciones comparables, y</w:t>
      </w:r>
    </w:p>
    <w:p w:rsidR="00957B34" w:rsidRPr="00957B34" w:rsidRDefault="00957B34" w:rsidP="00957B34">
      <w:pPr>
        <w:spacing w:after="100" w:line="240"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Aplicaron los métodos establecidos en el artículo 180 de la Ley del ISR, en el orden que </w:t>
      </w:r>
      <w:proofErr w:type="gramStart"/>
      <w:r w:rsidRPr="00957B34">
        <w:rPr>
          <w:rFonts w:ascii="Verdana" w:eastAsia="Times New Roman" w:hAnsi="Verdana" w:cs="Times New Roman"/>
          <w:sz w:val="20"/>
          <w:szCs w:val="20"/>
          <w:lang w:val="es-ES" w:eastAsia="es-MX"/>
        </w:rPr>
        <w:t>el propio</w:t>
      </w:r>
      <w:proofErr w:type="gramEnd"/>
      <w:r w:rsidRPr="00957B34">
        <w:rPr>
          <w:rFonts w:ascii="Verdana" w:eastAsia="Times New Roman" w:hAnsi="Verdana" w:cs="Times New Roman"/>
          <w:sz w:val="20"/>
          <w:szCs w:val="20"/>
          <w:lang w:val="es-ES" w:eastAsia="es-MX"/>
        </w:rPr>
        <w:t xml:space="preserve"> numeral señala.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33/ISR/N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Personas morales. Concepto de partes relacionadas.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179, quinto párrafo de la Ley del ISR dispone que dos o más personas </w:t>
      </w:r>
      <w:proofErr w:type="gramStart"/>
      <w:r w:rsidRPr="00957B34">
        <w:rPr>
          <w:rFonts w:ascii="Verdana" w:eastAsia="Times New Roman" w:hAnsi="Verdana" w:cs="Times New Roman"/>
          <w:sz w:val="20"/>
          <w:szCs w:val="20"/>
          <w:lang w:val="es-ES" w:eastAsia="es-MX"/>
        </w:rPr>
        <w:t>son</w:t>
      </w:r>
      <w:proofErr w:type="gramEnd"/>
      <w:r w:rsidRPr="00957B34">
        <w:rPr>
          <w:rFonts w:ascii="Verdana" w:eastAsia="Times New Roman" w:hAnsi="Verdana" w:cs="Times New Roman"/>
          <w:sz w:val="20"/>
          <w:szCs w:val="20"/>
          <w:lang w:val="es-ES" w:eastAsia="es-MX"/>
        </w:rPr>
        <w:t xml:space="preserve">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w:t>
      </w:r>
      <w:r w:rsidRPr="00957B34">
        <w:rPr>
          <w:rFonts w:ascii="Verdana" w:eastAsia="Times New Roman" w:hAnsi="Verdana" w:cs="Times New Roman"/>
          <w:sz w:val="20"/>
          <w:szCs w:val="20"/>
          <w:lang w:val="es-ES" w:eastAsia="es-MX"/>
        </w:rPr>
        <w:lastRenderedPageBreak/>
        <w:t>conforme al párrafo citado se consideren partes relacionadas de dicho integrante.</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el concepto de partes relacionadas contenido en el multicitado artículo 179, quinto párrafo, es aplicable a la Ley del ISR y concretamente a la obligación prevista en el artículo 76, fracción XII de dicha Ley.</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2"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2"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2"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2"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bl>
    <w:p w:rsidR="00957B34" w:rsidRPr="00957B34" w:rsidRDefault="00957B34" w:rsidP="00957B34">
      <w:pPr>
        <w:spacing w:before="100" w:beforeAutospacing="1" w:after="82"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34/ISR/N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Personas morales que celebran operaciones con partes relacionadas sin importar su residencia fiscal. Cumplimiento de obligaciones.</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Adicionalmente, la fracción citada dispone que las personas morales </w:t>
      </w:r>
      <w:proofErr w:type="gramStart"/>
      <w:r w:rsidRPr="00957B34">
        <w:rPr>
          <w:rFonts w:ascii="Verdana" w:eastAsia="Times New Roman" w:hAnsi="Verdana" w:cs="Times New Roman"/>
          <w:sz w:val="20"/>
          <w:szCs w:val="20"/>
          <w:lang w:val="es-ES" w:eastAsia="es-MX"/>
        </w:rPr>
        <w:t>deberán</w:t>
      </w:r>
      <w:proofErr w:type="gramEnd"/>
      <w:r w:rsidRPr="00957B34">
        <w:rPr>
          <w:rFonts w:ascii="Verdana" w:eastAsia="Times New Roman" w:hAnsi="Verdana" w:cs="Times New Roman"/>
          <w:sz w:val="20"/>
          <w:szCs w:val="20"/>
          <w:lang w:val="es-ES" w:eastAsia="es-MX"/>
        </w:rPr>
        <w:t xml:space="preserve"> aplicar los métodos establecidos en el artículo 180 de la misma Ley, en el orden referido en dicho artículo.</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rsidR="00957B34" w:rsidRPr="00957B34" w:rsidRDefault="00957B34" w:rsidP="00957B34">
      <w:pPr>
        <w:spacing w:after="82" w:line="220"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 xml:space="preserve"> </w:t>
      </w:r>
      <w:r w:rsidRPr="00957B34">
        <w:rPr>
          <w:rFonts w:ascii="Verdana" w:eastAsia="Times New Roman" w:hAnsi="Verdana" w:cs="Times New Roman"/>
          <w:sz w:val="20"/>
          <w:szCs w:val="20"/>
          <w:lang w:val="es-ES" w:eastAsia="es-MX"/>
        </w:rPr>
        <w:tab/>
        <w:t>Determinar sus ingresos acumulables y sus deducciones autorizadas, considerando los precios y montos de contraprestaciones que hubieran utilizado con o entre partes independientes en operaciones comparables, y</w:t>
      </w:r>
    </w:p>
    <w:p w:rsidR="00957B34" w:rsidRPr="00957B34" w:rsidRDefault="00957B34" w:rsidP="00957B34">
      <w:pPr>
        <w:spacing w:after="82" w:line="220"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II. </w:t>
      </w:r>
      <w:r w:rsidRPr="00957B34">
        <w:rPr>
          <w:rFonts w:ascii="Verdana" w:eastAsia="Times New Roman" w:hAnsi="Verdana" w:cs="Times New Roman"/>
          <w:sz w:val="20"/>
          <w:szCs w:val="20"/>
          <w:lang w:val="es-ES" w:eastAsia="es-MX"/>
        </w:rPr>
        <w:tab/>
        <w:t>Aplicar los métodos establecidos en el artículo 180 de la Ley del ISR, en el orden establecido en dicho artículo.</w:t>
      </w:r>
    </w:p>
    <w:p w:rsidR="00957B34" w:rsidRPr="00957B34" w:rsidRDefault="00957B34" w:rsidP="00957B34">
      <w:pPr>
        <w:spacing w:after="82"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lastRenderedPageBreak/>
        <w:tab/>
      </w:r>
      <w:r w:rsidRPr="00957B34">
        <w:rPr>
          <w:rFonts w:ascii="Verdana" w:eastAsia="Times New Roman" w:hAnsi="Verdana" w:cs="Times New Roman"/>
          <w:sz w:val="20"/>
          <w:szCs w:val="20"/>
          <w:lang w:val="es-ES" w:eastAsia="es-MX"/>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7215" w:type="dxa"/>
        <w:tblInd w:w="1642" w:type="dxa"/>
        <w:tblLayout w:type="fixed"/>
        <w:tblCellMar>
          <w:left w:w="72" w:type="dxa"/>
          <w:right w:w="72" w:type="dxa"/>
        </w:tblCellMar>
        <w:tblLook w:val="04A0" w:firstRow="1" w:lastRow="0" w:firstColumn="1" w:lastColumn="0" w:noHBand="0" w:noVBand="1"/>
      </w:tblPr>
      <w:tblGrid>
        <w:gridCol w:w="1716"/>
        <w:gridCol w:w="5499"/>
      </w:tblGrid>
      <w:tr w:rsidR="00957B34" w:rsidRPr="00957B34" w:rsidTr="00957B34">
        <w:trPr>
          <w:trHeight w:val="20"/>
        </w:trPr>
        <w:tc>
          <w:tcPr>
            <w:tcW w:w="177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2"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9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2"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7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2"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69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2"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bl>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35/ISR/N</w:t>
      </w:r>
      <w:r w:rsidRPr="00957B34">
        <w:rPr>
          <w:rFonts w:ascii="Verdana" w:eastAsia="Times New Roman" w:hAnsi="Verdana" w:cs="Times New Roman"/>
          <w:b/>
          <w:sz w:val="20"/>
          <w:szCs w:val="20"/>
          <w:lang w:val="es-ES" w:eastAsia="es-MX"/>
        </w:rPr>
        <w:tab/>
        <w:t>Personas morales que celebran operaciones con partes relacionadas. Aplicación de las Guías de la OCDE.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7215" w:type="dxa"/>
        <w:tblInd w:w="1642" w:type="dxa"/>
        <w:tblLayout w:type="fixed"/>
        <w:tblCellMar>
          <w:left w:w="72" w:type="dxa"/>
          <w:right w:w="72" w:type="dxa"/>
        </w:tblCellMar>
        <w:tblLook w:val="04A0" w:firstRow="1" w:lastRow="0" w:firstColumn="1" w:lastColumn="0" w:noHBand="0" w:noVBand="1"/>
      </w:tblPr>
      <w:tblGrid>
        <w:gridCol w:w="1716"/>
        <w:gridCol w:w="5499"/>
      </w:tblGrid>
      <w:tr w:rsidR="00957B34" w:rsidRPr="00957B34" w:rsidTr="00957B34">
        <w:trPr>
          <w:trHeight w:val="20"/>
        </w:trPr>
        <w:tc>
          <w:tcPr>
            <w:tcW w:w="177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9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7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69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36/ISR/N</w:t>
      </w:r>
      <w:r w:rsidRPr="00957B34">
        <w:rPr>
          <w:rFonts w:ascii="Verdana" w:eastAsia="Times New Roman" w:hAnsi="Verdana" w:cs="Times New Roman"/>
          <w:b/>
          <w:sz w:val="20"/>
          <w:szCs w:val="20"/>
          <w:lang w:val="es-ES" w:eastAsia="es-MX"/>
        </w:rPr>
        <w:tab/>
        <w:t>Utilidad fiscal neta del ejercicio. En su determinación no debe restarse al resultado fiscal del ejercicio la participación de los trabajadores en las utilidades de la empresa.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ab/>
      </w:r>
      <w:r w:rsidRPr="00957B34">
        <w:rPr>
          <w:rFonts w:ascii="Verdana" w:eastAsia="Times New Roman" w:hAnsi="Verdana" w:cs="Times New Roman"/>
          <w:sz w:val="20"/>
          <w:szCs w:val="20"/>
          <w:lang w:val="es-ES" w:eastAsia="es-MX"/>
        </w:rPr>
        <w:t>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7215" w:type="dxa"/>
        <w:tblInd w:w="1642" w:type="dxa"/>
        <w:tblLayout w:type="fixed"/>
        <w:tblCellMar>
          <w:left w:w="72" w:type="dxa"/>
          <w:right w:w="72" w:type="dxa"/>
        </w:tblCellMar>
        <w:tblLook w:val="04A0" w:firstRow="1" w:lastRow="0" w:firstColumn="1" w:lastColumn="0" w:noHBand="0" w:noVBand="1"/>
      </w:tblPr>
      <w:tblGrid>
        <w:gridCol w:w="1790"/>
        <w:gridCol w:w="5425"/>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3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63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bl>
    <w:p w:rsidR="00957B34" w:rsidRPr="00957B34" w:rsidRDefault="00957B34" w:rsidP="00957B34">
      <w:pPr>
        <w:spacing w:before="100" w:beforeAutospacing="1" w:after="100" w:line="24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37/ISR/N</w:t>
      </w:r>
      <w:r w:rsidRPr="00957B34">
        <w:rPr>
          <w:rFonts w:ascii="Verdana" w:eastAsia="Times New Roman" w:hAnsi="Verdana" w:cs="Times New Roman"/>
          <w:b/>
          <w:sz w:val="20"/>
          <w:szCs w:val="20"/>
          <w:lang w:val="es-ES" w:eastAsia="es-MX"/>
        </w:rPr>
        <w:tab/>
        <w:t>Sociedades cooperativas de consumo. No están obligadas a pagar el ISR cuando enajenen bienes distintos de su activo fijo.</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w:t>
      </w:r>
      <w:r w:rsidRPr="00957B34">
        <w:rPr>
          <w:rFonts w:ascii="Verdana" w:eastAsia="Times New Roman" w:hAnsi="Verdana" w:cs="Times New Roman"/>
          <w:sz w:val="20"/>
          <w:szCs w:val="20"/>
          <w:lang w:val="es-ES" w:eastAsia="es-MX"/>
        </w:rPr>
        <w:lastRenderedPageBreak/>
        <w:t>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18/2001/ISR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 A-31123 de 14 de septiembre de 2001, mediante el cual se da a conocer la nueva Compilación de Criterios Normativos 2001.</w:t>
            </w:r>
          </w:p>
        </w:tc>
      </w:tr>
    </w:tbl>
    <w:p w:rsidR="00957B34" w:rsidRPr="00957B34" w:rsidRDefault="00957B34" w:rsidP="00957B34">
      <w:pPr>
        <w:spacing w:before="100" w:beforeAutospacing="1" w:after="100" w:line="24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38/ISR/N</w:t>
      </w:r>
      <w:r w:rsidRPr="00957B34">
        <w:rPr>
          <w:rFonts w:ascii="Verdana" w:eastAsia="Times New Roman" w:hAnsi="Verdana" w:cs="Times New Roman"/>
          <w:b/>
          <w:sz w:val="20"/>
          <w:szCs w:val="20"/>
          <w:lang w:val="es-ES" w:eastAsia="es-MX"/>
        </w:rPr>
        <w:tab/>
        <w:t>Instituciones de enseñanza, comprendidas en el Título III de la Ley del ISR. Son personas morales con fines no lucrativos cuando obtengan el reconocimiento de validez oficial de estudios.</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virtud de lo anterior, las sociedades o asociaciones de carácter civil dedicadas a la enseñanza que tengan el reconocimiento de validez oficial de estudios, son personas morales con fines no lucrativos, independientemente de que conforme a la Ley General de Educación no sea obligatorio obtener dicho reconocimiento.</w:t>
      </w:r>
    </w:p>
    <w:tbl>
      <w:tblPr>
        <w:tblW w:w="7215" w:type="dxa"/>
        <w:tblInd w:w="1642" w:type="dxa"/>
        <w:tblLayout w:type="fixed"/>
        <w:tblCellMar>
          <w:left w:w="72" w:type="dxa"/>
          <w:right w:w="72" w:type="dxa"/>
        </w:tblCellMar>
        <w:tblLook w:val="04A0" w:firstRow="1" w:lastRow="0" w:firstColumn="1" w:lastColumn="0" w:noHBand="0" w:noVBand="1"/>
      </w:tblPr>
      <w:tblGrid>
        <w:gridCol w:w="1824"/>
        <w:gridCol w:w="5391"/>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8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52/2002/ISR</w:t>
            </w:r>
          </w:p>
        </w:tc>
        <w:tc>
          <w:tcPr>
            <w:tcW w:w="548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325-SAT-IV-B-75015 de 16 de diciembre de 2002.</w:t>
            </w:r>
          </w:p>
        </w:tc>
      </w:tr>
    </w:tbl>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39/ISR/N</w:t>
      </w:r>
      <w:r w:rsidRPr="00957B34">
        <w:rPr>
          <w:rFonts w:ascii="Verdana" w:eastAsia="Times New Roman" w:hAnsi="Verdana" w:cs="Times New Roman"/>
          <w:b/>
          <w:sz w:val="20"/>
          <w:szCs w:val="20"/>
          <w:lang w:val="es-ES" w:eastAsia="es-MX"/>
        </w:rPr>
        <w:tab/>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79, fracción X de la Ley del ISR, establece que no son contribuyentes del impuesto las sociedades o asociaciones de carácter civil que se dediquen a la enseñanza, con autorización o con reconocimiento de validez oficial de estudios en los términos de la Ley </w:t>
      </w:r>
      <w:r w:rsidRPr="00957B34">
        <w:rPr>
          <w:rFonts w:ascii="Verdana" w:eastAsia="Times New Roman" w:hAnsi="Verdana" w:cs="Times New Roman"/>
          <w:sz w:val="20"/>
          <w:szCs w:val="20"/>
          <w:lang w:val="es-ES" w:eastAsia="es-MX"/>
        </w:rPr>
        <w:lastRenderedPageBreak/>
        <w:t>General de Educación, siempre que sean consideradas como instituciones autorizadas para recibir donativos deducibles en términos de la Ley del ISR.</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80, sexto párrafo de la Ley del ISR refiere que en el caso de que las personas 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53/2002/ISR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325-SAT-IV-B-75015 de 16 de diciembre de 2002.</w:t>
            </w:r>
          </w:p>
        </w:tc>
      </w:tr>
    </w:tbl>
    <w:p w:rsidR="00957B34" w:rsidRPr="00957B34" w:rsidRDefault="00957B34" w:rsidP="00957B34">
      <w:pPr>
        <w:spacing w:before="100" w:beforeAutospacing="1" w:after="100" w:line="25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40/ISR/N</w:t>
      </w:r>
      <w:r w:rsidRPr="00957B34">
        <w:rPr>
          <w:rFonts w:ascii="Verdana" w:eastAsia="Times New Roman" w:hAnsi="Verdana" w:cs="Times New Roman"/>
          <w:b/>
          <w:sz w:val="20"/>
          <w:szCs w:val="20"/>
          <w:lang w:val="es-ES" w:eastAsia="es-MX"/>
        </w:rPr>
        <w:tab/>
        <w:t>Premios por asistencia y puntualidad. No son prestaciones de naturaleza análoga a la previsión social.</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w:t>
      </w:r>
      <w:r w:rsidRPr="00957B34">
        <w:rPr>
          <w:rFonts w:ascii="Verdana" w:eastAsia="Times New Roman" w:hAnsi="Verdana" w:cs="Times New Roman"/>
          <w:sz w:val="20"/>
          <w:szCs w:val="20"/>
          <w:lang w:val="es-ES" w:eastAsia="es-MX"/>
        </w:rPr>
        <w:lastRenderedPageBreak/>
        <w:t>93, fracción VIII de la Ley del ISR, porque su finalidad no es hacer frente a contingencias futuras ni son conferidos de manera general.</w:t>
      </w:r>
    </w:p>
    <w:tbl>
      <w:tblPr>
        <w:tblW w:w="7215" w:type="dxa"/>
        <w:tblInd w:w="1642" w:type="dxa"/>
        <w:tblLayout w:type="fixed"/>
        <w:tblCellMar>
          <w:left w:w="72" w:type="dxa"/>
          <w:right w:w="72" w:type="dxa"/>
        </w:tblCellMar>
        <w:tblLook w:val="04A0" w:firstRow="1" w:lastRow="0" w:firstColumn="1" w:lastColumn="0" w:noHBand="0" w:noVBand="1"/>
      </w:tblPr>
      <w:tblGrid>
        <w:gridCol w:w="1791"/>
        <w:gridCol w:w="5424"/>
      </w:tblGrid>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118/2001/ISR</w:t>
            </w:r>
          </w:p>
        </w:tc>
        <w:tc>
          <w:tcPr>
            <w:tcW w:w="55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325-SAT-A-31373 de 12 de diciembre de 2001. Compilación de Criterios Normativos. Se dan a conocer criterios.</w:t>
            </w:r>
          </w:p>
        </w:tc>
      </w:tr>
    </w:tbl>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41/ISR/N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Previsión Social. Cumplimiento del requisito de generalidad.</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93, fracción VIII de la Ley del ISR establece que no se pagará ISR por aquéllos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Se considera que el requisito de generalidad a que se refiere el artículo antes citado, se cumple cuando determinadas prestaciones de previsión social se concedan a la totalidad de los trabajadores que se coloquen en el supuesto que dio origen a dicho beneficio.</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2008</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rsidR="00957B34" w:rsidRPr="00957B34" w:rsidRDefault="00957B34" w:rsidP="00957B34">
      <w:pPr>
        <w:spacing w:before="100" w:beforeAutospacing="1" w:after="100" w:line="24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42/ISR/N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Ingresos por enajenación de bienes inmuebles destinados a casa habitación.</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El artículo 129 del Reglamento de la Ley del ISR dispone que, para los efectos de ésta misma exención, la casa habitación comprende también al terreno donde se encuentre esta construida, siempre que la superficie de dicho terreno no exceda de tres veces el área cubierta por las construcciones que integran la casa habitación.</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para efectuar el cálculo de la superficie del terreno precisado en el párrafo anterior, no deberá tomarse en cuenta el área cubierta por las construcciones destinadas a un fin diverso al habitacional.</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325-A-VII-10973 de 3 diciembre de 1996, a través del cual se hacen del conocimiento diversos criterios normativos.</w:t>
            </w:r>
          </w:p>
        </w:tc>
      </w:tr>
    </w:tbl>
    <w:p w:rsidR="00957B34" w:rsidRPr="00957B34" w:rsidRDefault="00957B34" w:rsidP="00957B34">
      <w:pPr>
        <w:spacing w:before="100" w:beforeAutospacing="1" w:after="100" w:line="24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43/ISR/N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Propinas. Constituyen un ingreso para el trabajador.</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346 de la Ley Federal del Trabajo señala que las propinas percibidas por los trabajadores en hoteles, casas de asistencia, restaurantes, fondas, cafés, bares y otros establecimientos análogos, son parte del salario del trabajador.</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9/93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325-A-VII-5840 de 25 de junio de 1993.</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44/ISR/N</w:t>
      </w:r>
      <w:r w:rsidRPr="00957B34">
        <w:rPr>
          <w:rFonts w:ascii="Verdana" w:eastAsia="Times New Roman" w:hAnsi="Verdana" w:cs="Times New Roman"/>
          <w:b/>
          <w:sz w:val="20"/>
          <w:szCs w:val="20"/>
          <w:lang w:val="es-ES" w:eastAsia="es-MX"/>
        </w:rPr>
        <w:tab/>
        <w:t>Subsidio para el empleo. Es factible recuperar vía devolución el remanente no acreditado.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w:t>
      </w:r>
      <w:r w:rsidRPr="00957B34">
        <w:rPr>
          <w:rFonts w:ascii="Verdana" w:eastAsia="Times New Roman" w:hAnsi="Verdana" w:cs="Times New Roman"/>
          <w:sz w:val="20"/>
          <w:szCs w:val="20"/>
          <w:lang w:val="es-ES" w:eastAsia="es-MX"/>
        </w:rPr>
        <w:lastRenderedPageBreak/>
        <w:t>contribuyentes por dicho concepto, cuando cumplan con los requisitos que al efecto establezca dicho numeral.</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22 del CFF señala que las autoridades fiscales devolverán las cantidades pagadas indebidamente y las que procedan conforme a las leyes fiscales.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solo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Bajo ese contexto, en los casos en que exista remanente de subsidio para el empleo pagado a los trabajadores que resulte de agotar el esquema de acreditamiento del ISR a cargo o del retenido a terceros, será susceptible de devolución, conforme a lo dispuesto por el artículo 22 del citado Código.</w:t>
      </w:r>
    </w:p>
    <w:tbl>
      <w:tblPr>
        <w:tblW w:w="7215" w:type="dxa"/>
        <w:tblInd w:w="1642" w:type="dxa"/>
        <w:tblLayout w:type="fixed"/>
        <w:tblCellMar>
          <w:left w:w="72" w:type="dxa"/>
          <w:right w:w="72" w:type="dxa"/>
        </w:tblCellMar>
        <w:tblLook w:val="04A0" w:firstRow="1" w:lastRow="0" w:firstColumn="1" w:lastColumn="0" w:noHBand="0" w:noVBand="1"/>
      </w:tblPr>
      <w:tblGrid>
        <w:gridCol w:w="1745"/>
        <w:gridCol w:w="5470"/>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3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2009</w:t>
            </w:r>
          </w:p>
        </w:tc>
        <w:tc>
          <w:tcPr>
            <w:tcW w:w="583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45/ISR/N</w:t>
      </w:r>
      <w:r w:rsidRPr="00957B34">
        <w:rPr>
          <w:rFonts w:ascii="Verdana" w:eastAsia="Times New Roman" w:hAnsi="Verdana" w:cs="Times New Roman"/>
          <w:b/>
          <w:sz w:val="20"/>
          <w:szCs w:val="20"/>
          <w:lang w:val="es-ES" w:eastAsia="es-MX"/>
        </w:rPr>
        <w:tab/>
        <w:t>Devolución de saldos a favor. No es requisito indispensable la presentación por parte del trabajador del escrito de aviso al patrón. (Se deroga)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 xml:space="preserve">Del mismo modo, el propio artículo 97 de la Ley del ISR, en sus párrafos quinto y sexto previene que el patrón puede compensar las cantidades a favor de su trabajador contra las retenciones futuras, y de </w:t>
      </w:r>
      <w:r w:rsidRPr="00957B34">
        <w:rPr>
          <w:rFonts w:ascii="Verdana" w:eastAsia="Times New Roman" w:hAnsi="Verdana" w:cs="Times New Roman"/>
          <w:strike/>
          <w:sz w:val="20"/>
          <w:szCs w:val="20"/>
          <w:lang w:val="es-ES" w:eastAsia="es-MX"/>
        </w:rPr>
        <w:lastRenderedPageBreak/>
        <w:t>no ser posible esto, entonces el trabajador podrá requerir a las autoridades fiscales la devolución de las cantidades no compensadas.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Lo señalado en el párrafo anterior, coincide con el criterio establecido por la Segunda Sala de la Suprema Corte de Justicia de la Nación mediante la tesis de jurisprudencia 2ª./J.110/2011.</w:t>
      </w:r>
    </w:p>
    <w:tbl>
      <w:tblPr>
        <w:tblW w:w="7215" w:type="dxa"/>
        <w:tblInd w:w="1642" w:type="dxa"/>
        <w:tblLayout w:type="fixed"/>
        <w:tblCellMar>
          <w:left w:w="72" w:type="dxa"/>
          <w:right w:w="72" w:type="dxa"/>
        </w:tblCellMar>
        <w:tblLook w:val="04A0" w:firstRow="1" w:lastRow="0" w:firstColumn="1" w:lastColumn="0" w:noHBand="0" w:noVBand="1"/>
      </w:tblPr>
      <w:tblGrid>
        <w:gridCol w:w="1760"/>
        <w:gridCol w:w="164"/>
        <w:gridCol w:w="5291"/>
      </w:tblGrid>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2016</w:t>
            </w:r>
          </w:p>
        </w:tc>
        <w:tc>
          <w:tcPr>
            <w:tcW w:w="5526"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Publicada en el Diario Oficial de la Federación el 23 de diciembre de 2015. El Anexo 7 publicado en Diario Oficial de la Federación el 12 de enero de 2016. </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Ha sido incorporado en el artículo 180 del Reglamento de la Ley del Impuesto Sobre la Renta, publicado en el DOF el 8 de octubre de 2015.</w:t>
            </w:r>
          </w:p>
        </w:tc>
      </w:tr>
      <w:tr w:rsidR="00957B34" w:rsidRPr="00957B34" w:rsidTr="00957B34">
        <w:tc>
          <w:tcPr>
            <w:tcW w:w="180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3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5385"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46/ISR/N</w:t>
      </w:r>
      <w:r w:rsidRPr="00957B34">
        <w:rPr>
          <w:rFonts w:ascii="Verdana" w:eastAsia="Times New Roman" w:hAnsi="Verdana" w:cs="Times New Roman"/>
          <w:b/>
          <w:sz w:val="20"/>
          <w:szCs w:val="20"/>
          <w:lang w:val="es-ES" w:eastAsia="es-MX"/>
        </w:rPr>
        <w:tab/>
        <w:t>Acciones emitidas por sociedades extranjeras cotizadas en bolsas de valores concesionadas. Su enajenación está sujeta a la tasa del 10%.</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9, tercer párrafo de la Ley del Mercado de Valores, de aplicación supletoria a las 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 conformidad con su reglamento, la Bolsa Mexicana de Valores cuenta con un listado que se encuentra integrado por el apartado de </w:t>
      </w:r>
      <w:r w:rsidRPr="00957B34">
        <w:rPr>
          <w:rFonts w:ascii="Verdana" w:eastAsia="Times New Roman" w:hAnsi="Verdana" w:cs="Times New Roman"/>
          <w:sz w:val="20"/>
          <w:szCs w:val="20"/>
          <w:lang w:val="es-ES" w:eastAsia="es-MX"/>
        </w:rPr>
        <w:lastRenderedPageBreak/>
        <w:t>valores autorizados para cotizar en el Sistema Internacional de Cotizaciones.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las ganancias obtenidas en el ejercicio derivadas de la enajenación de acciones emitidas por sociedades extranjeras listadas en el apartado de valores autorizados para cotizar en el Sistema Internacional de Cotizaciones de la Bolsa Mexicana de Valores, están sujetas a una tasa del 10% en los términos del artículo 129, fracción I de la Ley del ISR, con independencia de que su enajenación no se realice a través de un intermediario del mercado de valores mexicano.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2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2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rsidR="00957B34" w:rsidRPr="00957B34" w:rsidRDefault="00957B34" w:rsidP="00957B34">
      <w:pPr>
        <w:spacing w:before="100" w:beforeAutospacing="1" w:after="80"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47/ISR/N</w:t>
      </w:r>
      <w:r w:rsidRPr="00957B34">
        <w:rPr>
          <w:rFonts w:ascii="Verdana" w:eastAsia="Times New Roman" w:hAnsi="Verdana" w:cs="Times New Roman"/>
          <w:b/>
          <w:sz w:val="20"/>
          <w:szCs w:val="20"/>
          <w:lang w:val="es-ES" w:eastAsia="es-MX"/>
        </w:rPr>
        <w:tab/>
        <w:t>Dividendos o utilidades distribuidos. Acumulación a los demás ingresos por parte de las personas físicas.</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140, primer párrafo de la Ley del ISR establece que las personas físicas deberán acumular a sus demás ingresos, los percibidos por dividendos o utilidades.</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2010</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rsidR="00957B34" w:rsidRPr="00957B34" w:rsidRDefault="00957B34" w:rsidP="00957B34">
      <w:pPr>
        <w:spacing w:before="100" w:beforeAutospacing="1" w:after="80"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48/ISR/N</w:t>
      </w:r>
      <w:r w:rsidRPr="00957B34">
        <w:rPr>
          <w:rFonts w:ascii="Verdana" w:eastAsia="Times New Roman" w:hAnsi="Verdana" w:cs="Times New Roman"/>
          <w:b/>
          <w:sz w:val="20"/>
          <w:szCs w:val="20"/>
          <w:lang w:val="es-ES" w:eastAsia="es-MX"/>
        </w:rPr>
        <w:tab/>
        <w:t>Dividendos o utilidades distribuidos pagados por una sociedad. Acumulación de los demás ingresos de las personas físicas.</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957B34" w:rsidRPr="00957B34" w:rsidRDefault="00957B34" w:rsidP="00957B34">
      <w:pPr>
        <w:spacing w:after="80" w:line="21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7215" w:type="dxa"/>
        <w:tblInd w:w="1642" w:type="dxa"/>
        <w:tblLayout w:type="fixed"/>
        <w:tblCellMar>
          <w:left w:w="72" w:type="dxa"/>
          <w:right w:w="72" w:type="dxa"/>
        </w:tblCellMar>
        <w:tblLook w:val="04A0" w:firstRow="1" w:lastRow="0" w:firstColumn="1" w:lastColumn="0" w:noHBand="0" w:noVBand="1"/>
      </w:tblPr>
      <w:tblGrid>
        <w:gridCol w:w="1791"/>
        <w:gridCol w:w="5424"/>
      </w:tblGrid>
      <w:tr w:rsidR="00957B34" w:rsidRPr="00957B34" w:rsidTr="00957B34">
        <w:trPr>
          <w:trHeight w:val="20"/>
        </w:trPr>
        <w:tc>
          <w:tcPr>
            <w:tcW w:w="179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2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2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9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2011</w:t>
            </w:r>
          </w:p>
        </w:tc>
        <w:tc>
          <w:tcPr>
            <w:tcW w:w="54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rsidR="00957B34" w:rsidRPr="00957B34" w:rsidRDefault="00957B34" w:rsidP="00957B34">
      <w:pPr>
        <w:spacing w:before="100" w:beforeAutospacing="1" w:after="100" w:afterAutospacing="1" w:line="240" w:lineRule="auto"/>
        <w:jc w:val="righ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(Continúa en la Tercera Sección)</w:t>
      </w:r>
    </w:p>
    <w:p w:rsidR="00957B34" w:rsidRPr="00957B34" w:rsidRDefault="00957B34" w:rsidP="00957B34">
      <w:pPr>
        <w:spacing w:after="0" w:line="240" w:lineRule="auto"/>
        <w:rPr>
          <w:rFonts w:ascii="Verdana" w:eastAsia="Times New Roman" w:hAnsi="Verdana" w:cs="Times New Roman"/>
          <w:b/>
          <w:sz w:val="20"/>
          <w:szCs w:val="20"/>
          <w:lang w:val="es-ES" w:eastAsia="es-ES"/>
        </w:rPr>
        <w:sectPr w:rsidR="00957B34" w:rsidRPr="00957B34">
          <w:pgSz w:w="12240" w:h="15840"/>
          <w:pgMar w:top="1417" w:right="1701" w:bottom="1417" w:left="1701" w:header="720" w:footer="720" w:gutter="0"/>
          <w:cols w:space="720"/>
        </w:sectPr>
      </w:pP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lastRenderedPageBreak/>
        <w:t>(Viene de la Segunda Sección)</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 </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49/ISR/N</w:t>
      </w:r>
      <w:r w:rsidRPr="00957B34">
        <w:rPr>
          <w:rFonts w:ascii="Verdana" w:eastAsia="Times New Roman" w:hAnsi="Verdana" w:cs="Times New Roman"/>
          <w:b/>
          <w:sz w:val="20"/>
          <w:szCs w:val="20"/>
          <w:lang w:val="es-ES" w:eastAsia="es-MX"/>
        </w:rPr>
        <w:tab/>
        <w:t>Dividendos o utilidades distribuidos. Momento de acumulación de los ingresos de las personas físicas</w:t>
      </w:r>
      <w:r w:rsidRPr="00957B34">
        <w:rPr>
          <w:rFonts w:ascii="Verdana" w:eastAsia="Times New Roman" w:hAnsi="Verdana" w:cs="Times New Roman"/>
          <w:sz w:val="20"/>
          <w:szCs w:val="20"/>
          <w:lang w:val="es-ES" w:eastAsia="es-MX"/>
        </w:rPr>
        <w:t>.</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6, primer párrafo del CFF dispone que las contribuciones se </w:t>
      </w:r>
      <w:proofErr w:type="gramStart"/>
      <w:r w:rsidRPr="00957B34">
        <w:rPr>
          <w:rFonts w:ascii="Verdana" w:eastAsia="Times New Roman" w:hAnsi="Verdana" w:cs="Times New Roman"/>
          <w:sz w:val="20"/>
          <w:szCs w:val="20"/>
          <w:lang w:val="es-ES" w:eastAsia="es-MX"/>
        </w:rPr>
        <w:t>causan</w:t>
      </w:r>
      <w:proofErr w:type="gramEnd"/>
      <w:r w:rsidRPr="00957B34">
        <w:rPr>
          <w:rFonts w:ascii="Verdana" w:eastAsia="Times New Roman" w:hAnsi="Verdana" w:cs="Times New Roman"/>
          <w:sz w:val="20"/>
          <w:szCs w:val="20"/>
          <w:lang w:val="es-ES" w:eastAsia="es-MX"/>
        </w:rPr>
        <w:t xml:space="preserve"> conforme se realizan las situaciones jurídicas o de hecho, previstas en las leyes fiscales vigentes durante el lapso en que ocurran.</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ó VI, respectivamente,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2011</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rsidR="00957B34" w:rsidRPr="00957B34" w:rsidRDefault="00957B34" w:rsidP="00957B34">
      <w:pPr>
        <w:spacing w:before="100" w:beforeAutospacing="1" w:after="100" w:line="25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50/ISR/N</w:t>
      </w:r>
      <w:r w:rsidRPr="00957B34">
        <w:rPr>
          <w:rFonts w:ascii="Verdana" w:eastAsia="Times New Roman" w:hAnsi="Verdana" w:cs="Times New Roman"/>
          <w:b/>
          <w:sz w:val="20"/>
          <w:szCs w:val="20"/>
          <w:lang w:val="es-ES" w:eastAsia="es-MX"/>
        </w:rPr>
        <w:tab/>
        <w:t>Devolución de saldos a favor a personas físicas. Acreditamiento del ISR pagado por la persona que distribuyó los dividendos.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De conformidad con el artículo 140 de la Ley del ISR, las personas físicas que perciban dividendos podrán acreditar contra el impuesto determinado en su declaración anual, el ISR pagado por la sociedad que distribuyó dividendos o utilidades.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152, penúltimo párrafo de la Ley del ISR establece que, en los casos en los que el impuesto a cargo del contribuyente sea menor que la cantidad que se acredite en los términos de dicho artículo, </w:t>
      </w:r>
      <w:r w:rsidRPr="00957B34">
        <w:rPr>
          <w:rFonts w:ascii="Verdana" w:eastAsia="Times New Roman" w:hAnsi="Verdana" w:cs="Times New Roman"/>
          <w:sz w:val="20"/>
          <w:szCs w:val="20"/>
          <w:lang w:val="es-ES" w:eastAsia="es-MX"/>
        </w:rPr>
        <w:lastRenderedPageBreak/>
        <w:t>únicamente se podrá solicitar la devolución o efectuar la compensación del impuesto efectivamente pagado o que se le hubiera retenido.</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22/2001/ISR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325-SAT-A-31123 de 14 de septiembre de 2001, mediante el cual se da a conocer la nueva Compilación de Criterios Normativos 2001.</w:t>
            </w:r>
          </w:p>
        </w:tc>
      </w:tr>
    </w:tbl>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51/ISR/N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Préstamos a socios y accionistas. Se consideran dividendos.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 xml:space="preserve">El artículo 140, fracciones II y III de la Ley del ISR considera como dividendos o utilidades </w:t>
      </w:r>
      <w:proofErr w:type="gramStart"/>
      <w:r w:rsidRPr="00957B34">
        <w:rPr>
          <w:rFonts w:ascii="Verdana" w:eastAsia="Times New Roman" w:hAnsi="Verdana" w:cs="Times New Roman"/>
          <w:sz w:val="20"/>
          <w:szCs w:val="20"/>
          <w:lang w:val="es-ES" w:eastAsia="es-MX"/>
        </w:rPr>
        <w:t>distribuidos</w:t>
      </w:r>
      <w:proofErr w:type="gramEnd"/>
      <w:r w:rsidRPr="00957B34">
        <w:rPr>
          <w:rFonts w:ascii="Verdana" w:eastAsia="Times New Roman" w:hAnsi="Verdana" w:cs="Times New Roman"/>
          <w:sz w:val="20"/>
          <w:szCs w:val="20"/>
          <w:lang w:val="es-ES" w:eastAsia="es-MX"/>
        </w:rPr>
        <w:t>, los préstamos efectuados a socios o accionistas que no reúnan los requisitos indicados en la citada disposición y las erogaciones no deducibles hechas en favor de los mismos.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los términos del artículo 10 de la misma Ley, las personas morales que distribuyan dividendos o utilidades que no provengan de la Cuenta de Utilidad Fiscal Neta, deberán calcular el impuesto que corresponda.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Derivado de que la aplicación de los ingresos tipificados como utilidades distribuidas en los términos del artículo 140, fracciones II y III de la Ley del ISR, no provienen de la Cuenta de Utilidad Fiscal Neta, por lo que debe estarse a lo dispuesto en el artículo 10 de la Ley en comento.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3.5.6.</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102-SAT-13 de 4 de julio de 1997 a través del cual se emite la Compilación de Normatividad Sustantiva de Impuestos Internos.</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52/ISR/N</w:t>
      </w:r>
      <w:r w:rsidRPr="00957B34">
        <w:rPr>
          <w:rFonts w:ascii="Verdana" w:eastAsia="Times New Roman" w:hAnsi="Verdana" w:cs="Times New Roman"/>
          <w:b/>
          <w:sz w:val="20"/>
          <w:szCs w:val="20"/>
          <w:lang w:val="es-ES" w:eastAsia="es-MX"/>
        </w:rPr>
        <w:tab/>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vigente sin indicar excepción alguna a tal supuesto.</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Por lo anterior, no obstante que dicho dividendo o utilidad pueda provenir de una persona moral que se dedique exclusivamente a actividades agrícolas, ganaderas, pesqueras o silvícolas que para </w:t>
      </w:r>
      <w:r w:rsidRPr="00957B34">
        <w:rPr>
          <w:rFonts w:ascii="Verdana" w:eastAsia="Times New Roman" w:hAnsi="Verdana" w:cs="Times New Roman"/>
          <w:sz w:val="20"/>
          <w:szCs w:val="20"/>
          <w:lang w:val="es-ES" w:eastAsia="es-MX"/>
        </w:rPr>
        <w:lastRenderedPageBreak/>
        <w:t>calcular el ISR correspondiente a dicho dividendo o utilidad distribuido, haya aplicado el factor reducido que señala el segundo párrafo el artículo 10 de la Ley en comento; las personas morales referidas calcularán el impuesto pagado por la sociedad a que se refiere el artículo 140, primer párrafo de dicha Ley, conforme a lo indicado en esta disposición.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63/2007/ISR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325-SAT-09-04-B-90015 de 14 de diciembre de 2007, mediante el cual se da a conocer el Boletín 2007.</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53/ISR/N</w:t>
      </w:r>
      <w:r w:rsidRPr="00957B34">
        <w:rPr>
          <w:rFonts w:ascii="Verdana" w:eastAsia="Times New Roman" w:hAnsi="Verdana" w:cs="Times New Roman"/>
          <w:b/>
          <w:sz w:val="20"/>
          <w:szCs w:val="20"/>
          <w:lang w:val="es-ES" w:eastAsia="es-MX"/>
        </w:rPr>
        <w:tab/>
        <w:t>Personas físicas. Ingresos percibidos por estímulos fiscales, se consideran percibidos en el momento que se incrementa el patrimonio.</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141 de la Ley de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 primer párrafo del CFF estipula que las disposiciones de dicho ordenamiento se aplicarán en defecto de las leyes fiscales y sin perjuicio de lo previsto por los tratados internacionales en los que México sea parte.</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6, primer párrafo del CFF dispone que las contribuciones se </w:t>
      </w:r>
      <w:proofErr w:type="gramStart"/>
      <w:r w:rsidRPr="00957B34">
        <w:rPr>
          <w:rFonts w:ascii="Verdana" w:eastAsia="Times New Roman" w:hAnsi="Verdana" w:cs="Times New Roman"/>
          <w:sz w:val="20"/>
          <w:szCs w:val="20"/>
          <w:lang w:val="es-ES" w:eastAsia="es-MX"/>
        </w:rPr>
        <w:t>causan</w:t>
      </w:r>
      <w:proofErr w:type="gramEnd"/>
      <w:r w:rsidRPr="00957B34">
        <w:rPr>
          <w:rFonts w:ascii="Verdana" w:eastAsia="Times New Roman" w:hAnsi="Verdana" w:cs="Times New Roman"/>
          <w:sz w:val="20"/>
          <w:szCs w:val="20"/>
          <w:lang w:val="es-ES" w:eastAsia="es-MX"/>
        </w:rPr>
        <w:t xml:space="preserve"> conforme se realizan las situaciones jurídicas o de hecho, previstas en las leyes fiscales vigentes durante el lapso en que ocurran.</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Así, tratándose de estímulos fiscales, el gravamen correspondiente se causa cuando en términos de lo previsto por el artículo 141 de la Ley del ISR, los ingresos obtenidos por dicho concepto incrementan el patrimonio del contribuyente.</w:t>
      </w:r>
    </w:p>
    <w:tbl>
      <w:tblPr>
        <w:tblW w:w="7215" w:type="dxa"/>
        <w:tblInd w:w="1642" w:type="dxa"/>
        <w:tblLayout w:type="fixed"/>
        <w:tblCellMar>
          <w:left w:w="72" w:type="dxa"/>
          <w:right w:w="72" w:type="dxa"/>
        </w:tblCellMar>
        <w:tblLook w:val="04A0" w:firstRow="1" w:lastRow="0" w:firstColumn="1" w:lastColumn="0" w:noHBand="0" w:noVBand="1"/>
      </w:tblPr>
      <w:tblGrid>
        <w:gridCol w:w="1814"/>
        <w:gridCol w:w="5401"/>
      </w:tblGrid>
      <w:tr w:rsidR="00957B34" w:rsidRPr="00957B34" w:rsidTr="00957B34">
        <w:trPr>
          <w:trHeight w:val="20"/>
        </w:trPr>
        <w:tc>
          <w:tcPr>
            <w:tcW w:w="184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7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0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7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color w:val="000000"/>
                <w:sz w:val="20"/>
                <w:szCs w:val="20"/>
                <w:lang w:val="es-ES" w:eastAsia="es-MX"/>
              </w:rPr>
              <w:t>Primer antecedente</w:t>
            </w:r>
          </w:p>
        </w:tc>
      </w:tr>
      <w:tr w:rsidR="00957B34" w:rsidRPr="00957B34" w:rsidTr="00957B34">
        <w:trPr>
          <w:trHeight w:val="20"/>
        </w:trPr>
        <w:tc>
          <w:tcPr>
            <w:tcW w:w="184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7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2009</w:t>
            </w:r>
          </w:p>
        </w:tc>
        <w:tc>
          <w:tcPr>
            <w:tcW w:w="550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7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rsidR="00957B34" w:rsidRPr="00957B34" w:rsidRDefault="00957B34" w:rsidP="00957B34">
      <w:pPr>
        <w:spacing w:before="100" w:beforeAutospacing="1" w:after="70"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54/ISR/N</w:t>
      </w:r>
      <w:r w:rsidRPr="00957B34">
        <w:rPr>
          <w:rFonts w:ascii="Verdana" w:eastAsia="Times New Roman" w:hAnsi="Verdana" w:cs="Times New Roman"/>
          <w:b/>
          <w:sz w:val="20"/>
          <w:szCs w:val="20"/>
          <w:lang w:val="es-ES" w:eastAsia="es-MX"/>
        </w:rPr>
        <w:tab/>
        <w:t>Operaciones financieras derivadas en las que se liquiden diferencias durante su vigencia. Se considera que existe un vencimiento en cada liquidación respecto del monto de la diferencia liquidada.</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146, quinto párrafo de la Ley del ISR establece que para los efectos de dicho artículo, se entiende que la ganancia obtenida o la pérdida generada es aquélla que, entre otros, se realiza al momento del vencimiento de la operación financiera derivada, </w:t>
      </w:r>
      <w:r w:rsidRPr="00957B34">
        <w:rPr>
          <w:rFonts w:ascii="Verdana" w:eastAsia="Times New Roman" w:hAnsi="Verdana" w:cs="Times New Roman"/>
          <w:sz w:val="20"/>
          <w:szCs w:val="20"/>
          <w:lang w:val="es-ES" w:eastAsia="es-MX"/>
        </w:rPr>
        <w:lastRenderedPageBreak/>
        <w:t>independientemente del ejercicio de los derechos establecidos en la misma operación.</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7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7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7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7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rsidR="00957B34" w:rsidRPr="00957B34" w:rsidRDefault="00957B34" w:rsidP="00957B34">
      <w:pPr>
        <w:spacing w:before="100" w:beforeAutospacing="1" w:after="70"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55/ISR/N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Deducible del seguro de gastos médicos. No es una deducción personal.</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rsidR="00957B34" w:rsidRPr="00957B34" w:rsidRDefault="00957B34" w:rsidP="00957B34">
      <w:pPr>
        <w:spacing w:after="7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7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7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7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117/2001/ISR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7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325-SAT-A-31373 de 12 de diciembre de 2001. Compilación de Criterios Normativos. Se dan a conocer criterios.</w:t>
            </w:r>
          </w:p>
        </w:tc>
      </w:tr>
    </w:tbl>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56/ISR/N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Ingresos por honorarios y en general por la prestación de un servicio profesional, para los efectos del Título V de la Ley del ISR.</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 xml:space="preserve">El artículo 175, fracción II de la Ley del ISR establece que para los efectos del Título V de dicha Ley, se consideran ingresos por honorarios y en general por la prestación de un servicio profesional, los indicados </w:t>
      </w:r>
      <w:r w:rsidRPr="00957B34">
        <w:rPr>
          <w:rFonts w:ascii="Verdana" w:eastAsia="Times New Roman" w:hAnsi="Verdana" w:cs="Times New Roman"/>
          <w:sz w:val="20"/>
          <w:szCs w:val="20"/>
          <w:lang w:val="es-ES" w:eastAsia="es-MX"/>
        </w:rPr>
        <w:lastRenderedPageBreak/>
        <w:t>en el artículo 100 de la misma ley; este último artículo, señala qué ingresos se considerarán por actividades empresariales –fracción I– y cuáles, por la prestación de un servicio profesional –fracción II–.</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175, fracción VI de la Ley del ISR dispone lo que, para efectos del Título V de la citada ley, se consideran ingresos por actividades empresariales.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57/ISR/N</w:t>
      </w:r>
      <w:r w:rsidRPr="00957B34">
        <w:rPr>
          <w:rFonts w:ascii="Verdana" w:eastAsia="Times New Roman" w:hAnsi="Verdana" w:cs="Times New Roman"/>
          <w:b/>
          <w:sz w:val="20"/>
          <w:szCs w:val="20"/>
          <w:lang w:val="es-ES" w:eastAsia="es-MX"/>
        </w:rPr>
        <w:tab/>
        <w:t>Simulación de actos jurídicos en operaciones entre partes relacionadas. Puede determinarse para ingresos procedentes de fuente de riqueza en el país, de cualquier persona obligada al pago del impuesto.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 de la ley citada dispone que las personas físicas y las morales están obligadas al pago del ISR, respecto de sus ingresos, cualquiera que sea la fuente de riqueza de donde procedan o procedentes de fuentes de riqueza situadas en territorio nacional.</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99/2013/ISR</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58/ISR/N</w:t>
      </w:r>
      <w:r w:rsidRPr="00957B34">
        <w:rPr>
          <w:rFonts w:ascii="Verdana" w:eastAsia="Times New Roman" w:hAnsi="Verdana" w:cs="Times New Roman"/>
          <w:b/>
          <w:sz w:val="20"/>
          <w:szCs w:val="20"/>
          <w:lang w:val="es-ES" w:eastAsia="es-MX"/>
        </w:rPr>
        <w:tab/>
        <w:t>Operación de maquila para los efectos de la Ley del ISR. Alcance del concepto transformación.</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7215" w:type="dxa"/>
        <w:tblInd w:w="1642" w:type="dxa"/>
        <w:tblLayout w:type="fixed"/>
        <w:tblCellMar>
          <w:left w:w="72" w:type="dxa"/>
          <w:right w:w="72" w:type="dxa"/>
        </w:tblCellMar>
        <w:tblLook w:val="04A0" w:firstRow="1" w:lastRow="0" w:firstColumn="1" w:lastColumn="0" w:noHBand="0" w:noVBand="1"/>
      </w:tblPr>
      <w:tblGrid>
        <w:gridCol w:w="1541"/>
        <w:gridCol w:w="5674"/>
      </w:tblGrid>
      <w:tr w:rsidR="00957B34" w:rsidRPr="00957B34" w:rsidTr="00957B34">
        <w:trPr>
          <w:trHeight w:val="20"/>
        </w:trPr>
        <w:tc>
          <w:tcPr>
            <w:tcW w:w="159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9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59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89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 </w:t>
            </w:r>
          </w:p>
        </w:tc>
      </w:tr>
    </w:tbl>
    <w:p w:rsidR="00957B34" w:rsidRPr="00957B34" w:rsidRDefault="00957B34" w:rsidP="00957B34">
      <w:pPr>
        <w:spacing w:before="100" w:beforeAutospacing="1" w:after="100" w:line="25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59/ISR/N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Operación de maquila para los efectos de la Ley del ISR. Mercancías con las que deben realizarse los procesos de transformación o reparación</w:t>
      </w:r>
      <w:r w:rsidRPr="00957B34">
        <w:rPr>
          <w:rFonts w:ascii="Verdana" w:eastAsia="Times New Roman" w:hAnsi="Verdana" w:cs="Times New Roman"/>
          <w:sz w:val="20"/>
          <w:szCs w:val="20"/>
          <w:lang w:val="es-ES_tradnl" w:eastAsia="es-MX"/>
        </w:rPr>
        <w:t>.</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El artículo 181, segundo párrafo, fracción IV de la Ley del ISR establece que la operación de maquila debe cumplir, entre otras condiciones, el que los procesos de transformación o reparación se realicen con maquinaria y equipo propiedad del residente en el extranjero con el </w:t>
      </w:r>
      <w:r w:rsidRPr="00957B34">
        <w:rPr>
          <w:rFonts w:ascii="Verdana" w:eastAsia="Times New Roman" w:hAnsi="Verdana" w:cs="Times New Roman"/>
          <w:sz w:val="20"/>
          <w:szCs w:val="20"/>
          <w:lang w:val="es-ES" w:eastAsia="es-MX"/>
        </w:rPr>
        <w:lastRenderedPageBreak/>
        <w:t>que las empresas con Programa de Maquila autorizado por la Secretaría de Economía tengan celebrado el contrato de maquila.</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7215" w:type="dxa"/>
        <w:tblInd w:w="1642" w:type="dxa"/>
        <w:tblLayout w:type="fixed"/>
        <w:tblCellMar>
          <w:left w:w="72" w:type="dxa"/>
          <w:right w:w="72" w:type="dxa"/>
        </w:tblCellMar>
        <w:tblLook w:val="04A0" w:firstRow="1" w:lastRow="0" w:firstColumn="1" w:lastColumn="0" w:noHBand="0" w:noVBand="1"/>
      </w:tblPr>
      <w:tblGrid>
        <w:gridCol w:w="1441"/>
        <w:gridCol w:w="5774"/>
      </w:tblGrid>
      <w:tr w:rsidR="00957B34" w:rsidRPr="00957B34" w:rsidTr="00957B34">
        <w:trPr>
          <w:trHeight w:val="20"/>
        </w:trPr>
        <w:tc>
          <w:tcPr>
            <w:tcW w:w="146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8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46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88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60/ISR/N</w:t>
      </w:r>
      <w:r w:rsidRPr="00957B34">
        <w:rPr>
          <w:rFonts w:ascii="Verdana" w:eastAsia="Times New Roman" w:hAnsi="Verdana" w:cs="Times New Roman"/>
          <w:b/>
          <w:sz w:val="20"/>
          <w:szCs w:val="20"/>
          <w:lang w:val="es-ES" w:eastAsia="es-MX"/>
        </w:rPr>
        <w:tab/>
        <w:t>Operación de maquila para los efectos del Decreto IMMEX. Porcentaje de la maquinaria y equipo que se utiliza.</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w:t>
      </w:r>
      <w:r w:rsidRPr="00957B34">
        <w:rPr>
          <w:rFonts w:ascii="Verdana" w:eastAsia="Times New Roman" w:hAnsi="Verdana" w:cs="Times New Roman"/>
          <w:sz w:val="20"/>
          <w:szCs w:val="20"/>
          <w:lang w:val="es-ES" w:eastAsia="es-MX"/>
        </w:rPr>
        <w:lastRenderedPageBreak/>
        <w:t>empresa residente en México que realiza la operación de maquila o de alguna parte relacionada de ésta.</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rsidR="00957B34" w:rsidRPr="00957B34" w:rsidRDefault="00957B34" w:rsidP="00957B34">
      <w:pPr>
        <w:spacing w:before="100" w:beforeAutospacing="1" w:after="100" w:line="28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61/ISR/N</w:t>
      </w:r>
      <w:r w:rsidRPr="00957B34">
        <w:rPr>
          <w:rFonts w:ascii="Verdana" w:eastAsia="Times New Roman" w:hAnsi="Verdana" w:cs="Times New Roman"/>
          <w:b/>
          <w:sz w:val="20"/>
          <w:szCs w:val="20"/>
          <w:lang w:val="es-ES" w:eastAsia="es-MX"/>
        </w:rPr>
        <w:tab/>
        <w:t>Actualización. No se considera ingreso acumulable para efectos del cálculo del ISR.</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Conforme al artículo 17-A del CFF la actualización tiene como finalidad el reconocimiento de los efectos que los valores sufren por el transcurso del tiempo y por los cambios de precios en el país.</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325-SAT-IV-C-7363 de 23 de septiembre de 1997.</w:t>
            </w:r>
          </w:p>
        </w:tc>
      </w:tr>
    </w:tbl>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62</w:t>
      </w:r>
      <w:r w:rsidRPr="00957B34">
        <w:rPr>
          <w:rFonts w:ascii="Verdana" w:eastAsia="Times New Roman" w:hAnsi="Verdana" w:cs="Times New Roman"/>
          <w:b/>
          <w:sz w:val="20"/>
          <w:szCs w:val="20"/>
          <w:lang w:val="es-ES_tradnl" w:eastAsia="es-MX"/>
        </w:rPr>
        <w:t xml:space="preserve">/ISR/IETU/N </w:t>
      </w:r>
      <w:r w:rsidRPr="00957B34">
        <w:rPr>
          <w:rFonts w:ascii="Verdana" w:eastAsia="Times New Roman" w:hAnsi="Verdana" w:cs="Times New Roman"/>
          <w:b/>
          <w:sz w:val="20"/>
          <w:szCs w:val="20"/>
          <w:lang w:val="es-ES_tradnl" w:eastAsia="es-MX"/>
        </w:rPr>
        <w:tab/>
        <w:t>Acreditamiento del ISR contra el IETU a solicitud del contribuyente, cuando existan resoluciones determinantes.</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 xml:space="preserve">El artículo 8, primero, segundo y quinto párrafos de la Ley del IETU, vigente hasta el 31 de diciembre de 2013, establece que </w:t>
      </w:r>
      <w:r w:rsidRPr="00957B34">
        <w:rPr>
          <w:rFonts w:ascii="Verdana" w:eastAsia="Times New Roman" w:hAnsi="Verdana" w:cs="Times New Roman"/>
          <w:sz w:val="20"/>
          <w:szCs w:val="20"/>
          <w:lang w:val="es-ES" w:eastAsia="es-MX"/>
        </w:rPr>
        <w:t>los contribuyentes podrán acreditar contra el IETU del ejercicio, una cantidad equivalente al ISR propio del mismo ejercicio, el cual se haya efectivamente pagado.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Al respecto, se precisa que e</w:t>
      </w:r>
      <w:r w:rsidRPr="00957B34">
        <w:rPr>
          <w:rFonts w:ascii="Verdana" w:eastAsia="Times New Roman" w:hAnsi="Verdana" w:cs="Times New Roman"/>
          <w:sz w:val="20"/>
          <w:szCs w:val="20"/>
          <w:lang w:val="es-ES_tradnl" w:eastAsia="es-MX"/>
        </w:rPr>
        <w:t>l IETU como impuesto complementario sólo debe ser pagado en casos, en que por cualquier motivo, no se pague el ISR o se pague una cantidad menor que el IETU a cargo, por lo cual cuando el contribuyente no hubiere acreditado el ISR efectivamente pagado, se considera que éste no pierde el derecho de acreditarlo contra el IETU determinado a su cargo.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lo anterior, se considera que cuando existan resoluciones determinantes por la omisión en el pago del ISR e IETU, la autoridad ejecutora podrá efectuar el acreditamiento del ISR efectivamente pagado contra el IETU a solicitud del contribuyente.</w:t>
      </w:r>
    </w:p>
    <w:tbl>
      <w:tblPr>
        <w:tblW w:w="7215" w:type="dxa"/>
        <w:tblInd w:w="1642" w:type="dxa"/>
        <w:tblLayout w:type="fixed"/>
        <w:tblCellMar>
          <w:left w:w="72" w:type="dxa"/>
          <w:right w:w="72" w:type="dxa"/>
        </w:tblCellMar>
        <w:tblLook w:val="04A0" w:firstRow="1" w:lastRow="0" w:firstColumn="1" w:lastColumn="0" w:noHBand="0" w:noVBand="1"/>
      </w:tblPr>
      <w:tblGrid>
        <w:gridCol w:w="1791"/>
        <w:gridCol w:w="5424"/>
      </w:tblGrid>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Quinta Resolución de Modificaciones a la RMF para 2015</w:t>
            </w:r>
          </w:p>
        </w:tc>
        <w:tc>
          <w:tcPr>
            <w:tcW w:w="55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19 de noviembre de 2015, Anexo 7, publicado en el Diario Oficial de la Federación el 20 de noviembre de 2015.</w:t>
            </w:r>
          </w:p>
        </w:tc>
      </w:tr>
    </w:tbl>
    <w:p w:rsidR="00957B34" w:rsidRPr="00957B34" w:rsidRDefault="00957B34" w:rsidP="00957B34">
      <w:pPr>
        <w:spacing w:before="100" w:beforeAutospacing="1" w:after="100" w:line="23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63/ISR/N</w:t>
      </w:r>
      <w:r w:rsidRPr="00957B34">
        <w:rPr>
          <w:rFonts w:ascii="Verdana" w:eastAsia="Times New Roman" w:hAnsi="Verdana" w:cs="Times New Roman"/>
          <w:b/>
          <w:sz w:val="20"/>
          <w:szCs w:val="20"/>
          <w:lang w:val="es-ES" w:eastAsia="es-MX"/>
        </w:rPr>
        <w:tab/>
        <w:t>Momento en que se considera percibido un dividendo o utilidad distribuido mediante la entrega de acciones de la misma persona moral para fines de la acumulación a los demás ingresos de las personas físicas y la aplicación del impuesto adicional del 10%.</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artículo 140, primer párrafo de la Ley del ISR establece que las personas físicas residentes en México deberán acumular a sus demás ingresos, los percibidos por dividendos o utilidades distribuidos por personas morales residentes en México.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rsidR="00957B34" w:rsidRPr="00957B34" w:rsidRDefault="00957B34" w:rsidP="00957B34">
      <w:pPr>
        <w:spacing w:after="100" w:line="23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w:t>
      </w:r>
      <w:r w:rsidRPr="00957B34">
        <w:rPr>
          <w:rFonts w:ascii="Verdana" w:eastAsia="Times New Roman" w:hAnsi="Verdana" w:cs="Times New Roman"/>
          <w:sz w:val="20"/>
          <w:szCs w:val="20"/>
          <w:lang w:val="es-ES" w:eastAsia="es-MX"/>
        </w:rPr>
        <w:lastRenderedPageBreak/>
        <w:t>sino hasta que se consideren percibidos conforme a la primera disposición señalada. En este mismo momento, las personas físicas acumularán dicho ingreso en los términos previstos por el artículo 140, primer párrafo de la Ley del ISR.</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Se precisa que las acciones recibidas de conformidad con los párrafos anteriores, no tendrán costo comprobado de adquisición en los términos del artículo 23, penúltimo párrafo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1868"/>
        <w:gridCol w:w="5347"/>
      </w:tblGrid>
      <w:tr w:rsidR="00957B34" w:rsidRPr="00957B34" w:rsidTr="00957B34">
        <w:trPr>
          <w:trHeight w:val="20"/>
        </w:trPr>
        <w:tc>
          <w:tcPr>
            <w:tcW w:w="192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2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2017</w:t>
            </w:r>
          </w:p>
        </w:tc>
        <w:tc>
          <w:tcPr>
            <w:tcW w:w="55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2016, Anexo 7, publicado en el Diario Oficial de la Federación el 27 de diciembre de 2016.</w:t>
            </w:r>
          </w:p>
        </w:tc>
      </w:tr>
    </w:tbl>
    <w:p w:rsidR="00957B34" w:rsidRPr="00957B34" w:rsidRDefault="00957B34" w:rsidP="00957B34">
      <w:pPr>
        <w:spacing w:before="100" w:beforeAutospacing="1" w:after="100" w:line="26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64/ISR/N </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Intereses pagados a residentes en el extranjero por sociedades financieras de objeto múltiple en operaciones entre personas relacionadas, que deriven de préstamos u otros créditos.</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De la interpretación armónica a los referidos preceptos, se advierte que la limitante en la aplicación de la tasa del 4.9% al referirse a los </w:t>
      </w:r>
      <w:r w:rsidRPr="00957B34">
        <w:rPr>
          <w:rFonts w:ascii="Verdana" w:eastAsia="Times New Roman" w:hAnsi="Verdana" w:cs="Times New Roman"/>
          <w:sz w:val="20"/>
          <w:szCs w:val="20"/>
          <w:lang w:val="es-ES_tradnl" w:eastAsia="es-MX"/>
        </w:rPr>
        <w:lastRenderedPageBreak/>
        <w:t>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r w:rsidRPr="00957B34">
        <w:rPr>
          <w:rFonts w:ascii="Verdana" w:eastAsia="Times New Roman" w:hAnsi="Verdana" w:cs="Times New Roman"/>
          <w:sz w:val="20"/>
          <w:szCs w:val="20"/>
          <w:lang w:val="es-ES" w:eastAsia="es-MX"/>
        </w:rPr>
        <w:t>.</w:t>
      </w:r>
    </w:p>
    <w:tbl>
      <w:tblPr>
        <w:tblW w:w="7215" w:type="dxa"/>
        <w:tblInd w:w="1642" w:type="dxa"/>
        <w:tblLayout w:type="fixed"/>
        <w:tblCellMar>
          <w:left w:w="72" w:type="dxa"/>
          <w:right w:w="72" w:type="dxa"/>
        </w:tblCellMar>
        <w:tblLook w:val="04A0" w:firstRow="1" w:lastRow="0" w:firstColumn="1" w:lastColumn="0" w:noHBand="0" w:noVBand="1"/>
      </w:tblPr>
      <w:tblGrid>
        <w:gridCol w:w="1799"/>
        <w:gridCol w:w="5416"/>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9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Primera Resolución de Modificaciones a la RMF para 2017</w:t>
            </w:r>
          </w:p>
        </w:tc>
        <w:tc>
          <w:tcPr>
            <w:tcW w:w="559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15 de mayo de 2017, Anexo 7, publicado en el Diario Oficial de la Federación el 16 de mayo de 2017.</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65/ISR/N </w:t>
      </w:r>
      <w:r w:rsidRPr="00957B34">
        <w:rPr>
          <w:rFonts w:ascii="Verdana" w:eastAsia="Times New Roman" w:hAnsi="Verdana" w:cs="Times New Roman"/>
          <w:b/>
          <w:sz w:val="20"/>
          <w:szCs w:val="20"/>
          <w:lang w:val="es-ES" w:eastAsia="es-MX"/>
        </w:rPr>
        <w:tab/>
        <w:t>Gas de empaque. El utilizado en el servicio de transporte de gas natural tiene la naturaleza de activo fijo.</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35, fracción VI de la Ley del ISR establece que, tratándose de activos fijos destinados a la infraestructura fija para el transporte, almacenamiento y procesamiento de hidrocarburos, la tasa máxima de deducción anual aplicable es del 10%.</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w:t>
      </w:r>
      <w:r w:rsidRPr="00957B34">
        <w:rPr>
          <w:rFonts w:ascii="Verdana" w:eastAsia="Times New Roman" w:hAnsi="Verdana" w:cs="Times New Roman"/>
          <w:sz w:val="20"/>
          <w:szCs w:val="20"/>
          <w:lang w:val="es-ES" w:eastAsia="es-MX"/>
        </w:rPr>
        <w:t xml:space="preserve"> lo anterior, el gas de empaque se ubica en la hipótesis prevista por el artículo 35, fracción VI de la Ley del ISR, por lo que éste se deducirá a la tasa máxima del 10% anual sobre el monto original de la inversión.</w:t>
      </w:r>
    </w:p>
    <w:tbl>
      <w:tblPr>
        <w:tblW w:w="7215" w:type="dxa"/>
        <w:tblInd w:w="1642" w:type="dxa"/>
        <w:tblLayout w:type="fixed"/>
        <w:tblCellMar>
          <w:left w:w="72" w:type="dxa"/>
          <w:right w:w="72" w:type="dxa"/>
        </w:tblCellMar>
        <w:tblLook w:val="04A0" w:firstRow="1" w:lastRow="0" w:firstColumn="1" w:lastColumn="0" w:noHBand="0" w:noVBand="1"/>
      </w:tblPr>
      <w:tblGrid>
        <w:gridCol w:w="1799"/>
        <w:gridCol w:w="5416"/>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9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2018</w:t>
            </w:r>
          </w:p>
        </w:tc>
        <w:tc>
          <w:tcPr>
            <w:tcW w:w="559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22 de diciembre de 2017, Anexo 7, publicado en el Diario Oficial de la Federación el 29 de diciembre de 2017.</w:t>
            </w:r>
          </w:p>
        </w:tc>
      </w:tr>
    </w:tbl>
    <w:p w:rsidR="00957B34" w:rsidRPr="00957B34" w:rsidRDefault="00957B34" w:rsidP="00957B34">
      <w:pPr>
        <w:spacing w:before="100" w:beforeAutospacing="1" w:after="100" w:line="25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 </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66/ISR/N</w:t>
      </w:r>
      <w:r w:rsidRPr="00957B34">
        <w:rPr>
          <w:rFonts w:ascii="Verdana" w:eastAsia="Times New Roman" w:hAnsi="Verdana" w:cs="Times New Roman"/>
          <w:b/>
          <w:sz w:val="20"/>
          <w:szCs w:val="20"/>
          <w:lang w:val="es-ES" w:eastAsia="es-MX"/>
        </w:rPr>
        <w:tab/>
        <w:t>Beneficios empresariales para los efectos de los tratados para evitar la doble tributación y su relación con el artículo 175, fracción VI de la Ley del ISR.</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regla 2.1.36. de la RMF vigente o aquella que la sustituya establece que para efectos de los tratados para evitar la doble imposición, la expresión “beneficios empresariales” significa los ingresos generados por las actividades referidas en el artículo 16 del CFF.</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que este supuesto sólo es aplicable para efectos del Título V del mismo ordenamiento.</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Consecuentemente, para fines de los tratados para evitar la doble imposición celebrados por México será la regla 2.1.36. </w:t>
      </w:r>
      <w:proofErr w:type="gramStart"/>
      <w:r w:rsidRPr="00957B34">
        <w:rPr>
          <w:rFonts w:ascii="Verdana" w:eastAsia="Times New Roman" w:hAnsi="Verdana" w:cs="Times New Roman"/>
          <w:sz w:val="20"/>
          <w:szCs w:val="20"/>
          <w:lang w:val="es-ES" w:eastAsia="es-MX"/>
        </w:rPr>
        <w:t>de</w:t>
      </w:r>
      <w:proofErr w:type="gramEnd"/>
      <w:r w:rsidRPr="00957B34">
        <w:rPr>
          <w:rFonts w:ascii="Verdana" w:eastAsia="Times New Roman" w:hAnsi="Verdana" w:cs="Times New Roman"/>
          <w:sz w:val="20"/>
          <w:szCs w:val="20"/>
          <w:lang w:val="es-ES" w:eastAsia="es-MX"/>
        </w:rPr>
        <w:t xml:space="preserve"> la RMF o aquella que la sustituya la disposición de nuestro derecho interno que define “beneficios empresariales”.</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2018</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2018, Anexo 7, publicado en el Diario Oficial de la Federación el mismo 30 de noviembre de 2018.</w:t>
            </w:r>
          </w:p>
        </w:tc>
      </w:tr>
    </w:tbl>
    <w:p w:rsidR="00957B34" w:rsidRPr="00957B34" w:rsidRDefault="00957B34" w:rsidP="00957B34">
      <w:pPr>
        <w:spacing w:before="100" w:beforeAutospacing="1" w:after="100" w:line="236"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 Criterios de la Ley del IVA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1/IVA/N</w:t>
      </w:r>
      <w:r w:rsidRPr="00957B34">
        <w:rPr>
          <w:rFonts w:ascii="Verdana" w:eastAsia="Times New Roman" w:hAnsi="Verdana" w:cs="Times New Roman"/>
          <w:b/>
          <w:sz w:val="20"/>
          <w:szCs w:val="20"/>
          <w:lang w:val="es-ES" w:eastAsia="es-MX"/>
        </w:rPr>
        <w:tab/>
        <w:t>La contraprestación pagada con acciones o partes sociales por aportaciones en especie a sociedades mercantiles, se considera efectivamente cobrada con la entrega de las mismas.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_tradnl" w:eastAsia="es-MX"/>
        </w:rPr>
        <w:t>El artículo 1, fracción I de la Ley del IVA establece que están obligadas al pago del IVA, las personas físicas y las morales que en territorio nacional realicen, entre otros actos o actividades, la enajenación de bienes.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De conformidad con lo dispuesto por el artículo 8 de la misma ley, en relación con el artículo 14, fracción III del CFF, la aportación a una sociedad o asociación se entiende como enajenación.</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11 de la Ley del IVA, señala que la enajenación de bienes se considera efectuada en el momento en el que efectivamente se cobren las contraprestaciones y sobre el monto de cada una de ellas.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En este tenor, el artículo 1-B de la ley multicitada, dispone que se consideran efectivamente cobradas las contraprestaciones cuando se </w:t>
      </w:r>
      <w:r w:rsidRPr="00957B34">
        <w:rPr>
          <w:rFonts w:ascii="Verdana" w:eastAsia="Times New Roman" w:hAnsi="Verdana" w:cs="Times New Roman"/>
          <w:sz w:val="20"/>
          <w:szCs w:val="20"/>
          <w:lang w:val="es-ES_tradnl" w:eastAsia="es-MX"/>
        </w:rPr>
        <w:lastRenderedPageBreak/>
        <w:t>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 materia, no aplica a las acciones o partes sociales, toda vez que constituyen bienes por cuya naturaleza no se entregan en garantía.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2/IVA/N</w:t>
      </w:r>
      <w:r w:rsidRPr="00957B34">
        <w:rPr>
          <w:rFonts w:ascii="Verdana" w:eastAsia="Times New Roman" w:hAnsi="Verdana" w:cs="Times New Roman"/>
          <w:b/>
          <w:sz w:val="20"/>
          <w:szCs w:val="20"/>
          <w:lang w:val="es-ES" w:eastAsia="es-MX"/>
        </w:rPr>
        <w:tab/>
        <w:t>Indemnización por cheque no pagado. El monto de la misma no es objeto del IVA.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_tradnl" w:eastAsia="es-MX"/>
        </w:rPr>
        <w:t xml:space="preserve">El artículo 1 de la Ley del IVA establece que están </w:t>
      </w:r>
      <w:proofErr w:type="gramStart"/>
      <w:r w:rsidRPr="00957B34">
        <w:rPr>
          <w:rFonts w:ascii="Verdana" w:eastAsia="Times New Roman" w:hAnsi="Verdana" w:cs="Times New Roman"/>
          <w:sz w:val="20"/>
          <w:szCs w:val="20"/>
          <w:lang w:val="es-ES_tradnl" w:eastAsia="es-MX"/>
        </w:rPr>
        <w:t>obligados</w:t>
      </w:r>
      <w:proofErr w:type="gramEnd"/>
      <w:r w:rsidRPr="00957B34">
        <w:rPr>
          <w:rFonts w:ascii="Verdana" w:eastAsia="Times New Roman" w:hAnsi="Verdana" w:cs="Times New Roman"/>
          <w:sz w:val="20"/>
          <w:szCs w:val="20"/>
          <w:lang w:val="es-ES_tradnl" w:eastAsia="es-MX"/>
        </w:rPr>
        <w:t xml:space="preserve"> al pago de dicho impuesto las personas físicas y morales que en territorio nacional enajenen bienes, presten servicios independientes, otorguen el uso o goce temporal de bienes o importen bienes o servicios.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w:t>
      </w:r>
      <w:r w:rsidRPr="00957B34">
        <w:rPr>
          <w:rFonts w:ascii="Verdana" w:eastAsia="Times New Roman" w:hAnsi="Verdana" w:cs="Times New Roman"/>
          <w:sz w:val="20"/>
          <w:szCs w:val="20"/>
          <w:lang w:val="es-ES_tradnl" w:eastAsia="es-MX"/>
        </w:rPr>
        <w:lastRenderedPageBreak/>
        <w:t>formará parte de la base para el cálculo del IVA, debido a que ésta no deriva del acto o actividad celebrado por el tenedor, sino de la aplicación de la Ley General de Títulos y Operaciones de Crédito.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Supuesto 38</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Página 24 del Manual de Complementación Legal del IVA 1988, criterios 5.1.4 contenido en el oficio 325-SAT-IV-C-7363 de 23 de septiembre de 1997, a través del cual se emite la Primera Actualización de la Compilación Sustantiva de Impuestos Internos.</w:t>
            </w:r>
          </w:p>
        </w:tc>
      </w:tr>
    </w:tbl>
    <w:p w:rsidR="00957B34" w:rsidRPr="00957B34" w:rsidRDefault="00957B34" w:rsidP="00957B34">
      <w:pPr>
        <w:spacing w:before="100" w:beforeAutospacing="1" w:after="100" w:line="25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3/IVA/N</w:t>
      </w:r>
      <w:r w:rsidRPr="00957B34">
        <w:rPr>
          <w:rFonts w:ascii="Verdana" w:eastAsia="Times New Roman" w:hAnsi="Verdana" w:cs="Times New Roman"/>
          <w:b/>
          <w:sz w:val="20"/>
          <w:szCs w:val="20"/>
          <w:lang w:val="es-ES" w:eastAsia="es-MX"/>
        </w:rPr>
        <w:tab/>
        <w:t>Traslado de impuesto a una tasa incorrecta. (Se deroga)</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 xml:space="preserve">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w:t>
      </w:r>
      <w:proofErr w:type="gramStart"/>
      <w:r w:rsidRPr="00957B34">
        <w:rPr>
          <w:rFonts w:ascii="Verdana" w:eastAsia="Times New Roman" w:hAnsi="Verdana" w:cs="Times New Roman"/>
          <w:strike/>
          <w:sz w:val="20"/>
          <w:szCs w:val="20"/>
          <w:lang w:val="es-ES" w:eastAsia="es-MX"/>
        </w:rPr>
        <w:t>descritos</w:t>
      </w:r>
      <w:proofErr w:type="gramEnd"/>
      <w:r w:rsidRPr="00957B34">
        <w:rPr>
          <w:rFonts w:ascii="Verdana" w:eastAsia="Times New Roman" w:hAnsi="Verdana" w:cs="Times New Roman"/>
          <w:strike/>
          <w:sz w:val="20"/>
          <w:szCs w:val="20"/>
          <w:lang w:val="es-ES" w:eastAsia="es-MX"/>
        </w:rPr>
        <w:t xml:space="preserve"> deberán aplicar la tasa del 16%.</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rsidR="00957B34" w:rsidRPr="00957B34" w:rsidRDefault="00957B34" w:rsidP="00957B34">
      <w:pPr>
        <w:spacing w:after="100" w:line="25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7215" w:type="dxa"/>
        <w:tblInd w:w="1642" w:type="dxa"/>
        <w:tblLayout w:type="fixed"/>
        <w:tblCellMar>
          <w:left w:w="72" w:type="dxa"/>
          <w:right w:w="72" w:type="dxa"/>
        </w:tblCellMar>
        <w:tblLook w:val="04A0" w:firstRow="1" w:lastRow="0" w:firstColumn="1" w:lastColumn="0" w:noHBand="0" w:noVBand="1"/>
      </w:tblPr>
      <w:tblGrid>
        <w:gridCol w:w="1728"/>
        <w:gridCol w:w="164"/>
        <w:gridCol w:w="5323"/>
      </w:tblGrid>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3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63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600-04-07-2014-6142 de 14 de agosto de 2014, mediante el cual se dan a conocer de </w:t>
            </w:r>
            <w:r w:rsidRPr="00957B34">
              <w:rPr>
                <w:rFonts w:ascii="Verdana" w:eastAsia="Times New Roman" w:hAnsi="Verdana" w:cs="Arial"/>
                <w:sz w:val="20"/>
                <w:szCs w:val="20"/>
                <w:lang w:val="es-ES" w:eastAsia="es-MX"/>
              </w:rPr>
              <w:lastRenderedPageBreak/>
              <w:t>manera anticipada los nuevos criterios normativos aprobados en el tercer trimestre 2014. Oficio 600-04-07-2014-87371 de 17 de diciembre de 2014 a través del cual se da a conocer el Boletín 2014, con el número de criterio normativo 3/2014/IVA.</w:t>
            </w:r>
          </w:p>
        </w:tc>
      </w:tr>
      <w:tr w:rsidR="00957B34" w:rsidRPr="00957B34" w:rsidTr="00957B34">
        <w:trPr>
          <w:trHeight w:val="20"/>
        </w:trPr>
        <w:tc>
          <w:tcPr>
            <w:tcW w:w="7491"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Derogación</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Quinta Resolución de Modificaciones a la RMF para 2015</w:t>
            </w:r>
          </w:p>
        </w:tc>
        <w:tc>
          <w:tcPr>
            <w:tcW w:w="5668"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Publicada en el Diario Oficial de la Federación el 19 de noviembre de 2015. El Anexo 7 publicado en Diario Oficial de la Federación el 20 de noviembre de 2015. </w:t>
            </w:r>
          </w:p>
        </w:tc>
      </w:tr>
      <w:tr w:rsidR="00957B34" w:rsidRPr="00957B34" w:rsidTr="00957B34">
        <w:trPr>
          <w:trHeight w:val="20"/>
        </w:trPr>
        <w:tc>
          <w:tcPr>
            <w:tcW w:w="7491"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491" w:type="dxa"/>
            <w:gridSpan w:val="3"/>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La adición del criterio no vinculativo 9/IVA/NV en el Anexo 3 de la Quinta Resolución de Modificaciones a la RMF para 2015.</w:t>
            </w:r>
          </w:p>
        </w:tc>
      </w:tr>
      <w:tr w:rsidR="00957B34" w:rsidRPr="00957B34" w:rsidTr="00957B34">
        <w:tc>
          <w:tcPr>
            <w:tcW w:w="180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3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5385"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Retenciones del IVA. No proceden por servicios prestados como actividad empresarial.</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14, último párrafo de la misma ley define que la prestación de servicios independientes tiene la característica de personal cuando no tenga naturaleza de actividad empresarial.</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anterior, tratándose de prestación de servicios, la retención del IVA únicamente se efectuará cuando el servicio se considere personal, esto es, que no tenga la característica de actividad empresarial, en términos del artículo 16 del CFF.</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25/2001/IVA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 A-31123 de 14 de septiembre de 2001 mediante el cual se da a conocer la nueva Compilación de Criterios Normativos 2001.</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Servicios de mensajería y paquetería. No se encuentran sujetos a la retención del IVA.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 xml:space="preserve">El artículo 1-A, fracción II, inciso c) de la Ley del IVA establece que están obligados a efectuar la retención del impuesto que se les traslade, </w:t>
      </w:r>
      <w:proofErr w:type="gramStart"/>
      <w:r w:rsidRPr="00957B34">
        <w:rPr>
          <w:rFonts w:ascii="Verdana" w:eastAsia="Times New Roman" w:hAnsi="Verdana" w:cs="Times New Roman"/>
          <w:sz w:val="20"/>
          <w:szCs w:val="20"/>
          <w:lang w:val="es-ES_tradnl" w:eastAsia="es-MX"/>
        </w:rPr>
        <w:t>los</w:t>
      </w:r>
      <w:proofErr w:type="gramEnd"/>
      <w:r w:rsidRPr="00957B34">
        <w:rPr>
          <w:rFonts w:ascii="Verdana" w:eastAsia="Times New Roman" w:hAnsi="Verdana" w:cs="Times New Roman"/>
          <w:sz w:val="20"/>
          <w:szCs w:val="20"/>
          <w:lang w:val="es-ES_tradnl" w:eastAsia="es-MX"/>
        </w:rPr>
        <w:t xml:space="preserve"> contribuyentes personas morales que reciban servicios de autotransporte terrestre de bienes prestados por personas físicas o morales.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El artículo 5, segundo párrafo del CFF dispone que a falta de norma fiscal expresa, se </w:t>
      </w:r>
      <w:proofErr w:type="gramStart"/>
      <w:r w:rsidRPr="00957B34">
        <w:rPr>
          <w:rFonts w:ascii="Verdana" w:eastAsia="Times New Roman" w:hAnsi="Verdana" w:cs="Times New Roman"/>
          <w:sz w:val="20"/>
          <w:szCs w:val="20"/>
          <w:lang w:val="es-ES_tradnl" w:eastAsia="es-MX"/>
        </w:rPr>
        <w:t>aplicarán</w:t>
      </w:r>
      <w:proofErr w:type="gramEnd"/>
      <w:r w:rsidRPr="00957B34">
        <w:rPr>
          <w:rFonts w:ascii="Verdana" w:eastAsia="Times New Roman" w:hAnsi="Verdana" w:cs="Times New Roman"/>
          <w:sz w:val="20"/>
          <w:szCs w:val="20"/>
          <w:lang w:val="es-ES_tradnl" w:eastAsia="es-MX"/>
        </w:rPr>
        <w:t xml:space="preserve"> supletoriamente las disposiciones del derecho federal común cuando su aplicación no sea contraria a la naturaleza propia del derecho fiscal.</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lastRenderedPageBreak/>
        <w:tab/>
        <w:t>El artículo 2, fracción VII de la Ley de Caminos, Puentes y Autotransporte Federal, determina que los servicios auxiliares son aquéllos que sin formar parte del autotransporte federal de pasajeros, turismo o carga, complementan su operación y explotación.</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52, fracción V de la Ley de Caminos, Puentes y Autotransporte Federal, señala a la mensajería y paquetería como un servicio auxiliar al autotransporte federal.</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138/2004/IVA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325-SAT-IV-B-92423 de 17 de diciembre de 2004, mediante el cual se emite la Primera Modificación a la compilación de criterios normativos, Boletín 2004.</w:t>
            </w:r>
          </w:p>
        </w:tc>
      </w:tr>
    </w:tbl>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6/IVA/N</w:t>
      </w:r>
      <w:r w:rsidRPr="00957B34">
        <w:rPr>
          <w:rFonts w:ascii="Verdana" w:eastAsia="Times New Roman" w:hAnsi="Verdana" w:cs="Times New Roman"/>
          <w:b/>
          <w:sz w:val="20"/>
          <w:szCs w:val="20"/>
          <w:lang w:val="es-ES" w:eastAsia="es-MX"/>
        </w:rPr>
        <w:tab/>
        <w:t>Transmisión de deudas. Momento en que se considera efectivamente cobrada la contraprestación y pagado el impuesto.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r w:rsidRPr="00957B34">
        <w:rPr>
          <w:rFonts w:ascii="Verdana" w:eastAsia="Times New Roman" w:hAnsi="Verdana" w:cs="Times New Roman"/>
          <w:sz w:val="20"/>
          <w:szCs w:val="20"/>
          <w:lang w:val="es-ES_tradnl" w:eastAsia="es-MX"/>
        </w:rPr>
        <w:t>.</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w:t>
      </w:r>
      <w:r w:rsidRPr="00957B34">
        <w:rPr>
          <w:rFonts w:ascii="Verdana" w:eastAsia="Times New Roman" w:hAnsi="Verdana" w:cs="Times New Roman"/>
          <w:sz w:val="20"/>
          <w:szCs w:val="20"/>
          <w:lang w:val="es-ES" w:eastAsia="es-MX"/>
        </w:rPr>
        <w:lastRenderedPageBreak/>
        <w:t>al deudor primitivo, salvo pacto en contrario en el que el contribuyente se reserve el derecho de repetir contra el deudor primitivo.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72/2007/IVA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325-SAT-09-04-B-90015 de 14 de diciembre de 2007, mediante el cual se da a conocer el Boletín 2007.</w:t>
            </w:r>
          </w:p>
        </w:tc>
      </w:tr>
    </w:tbl>
    <w:p w:rsidR="00957B34" w:rsidRPr="00957B34" w:rsidRDefault="00957B34" w:rsidP="00957B34">
      <w:pPr>
        <w:spacing w:before="100" w:beforeAutospacing="1" w:after="100" w:line="23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7/IVA/N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Enajenación de colmenas polinizadoras.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la enajenación de colmenas polinizadoras estaría gravada a la tasa del 0%, en el entendido de que se está enajenando al conjunto de abejas como tal y que la colmena, es decir, la caja con marcos o bastidores es tan solo un recipiente.</w:t>
      </w:r>
    </w:p>
    <w:p w:rsidR="00957B34" w:rsidRPr="00957B34" w:rsidRDefault="00957B34" w:rsidP="00957B34">
      <w:pPr>
        <w:spacing w:after="100" w:line="23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Ello, no obstante, estaría sujeto a la siguiente precisión:</w:t>
      </w:r>
    </w:p>
    <w:p w:rsidR="00957B34" w:rsidRPr="00957B34" w:rsidRDefault="00957B34" w:rsidP="00957B34">
      <w:pPr>
        <w:spacing w:after="100" w:line="238"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 de cría.</w:t>
      </w:r>
    </w:p>
    <w:p w:rsidR="00957B34" w:rsidRPr="00957B34" w:rsidRDefault="00957B34" w:rsidP="00957B34">
      <w:pPr>
        <w:spacing w:after="100" w:line="238"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compartimentos adicionales y los marcos o bastidores correspondientes, dado que no serían el recipiente para las abejas sino para consumo o explotación de la miel, estarían gravados a la tasa general.</w:t>
      </w:r>
    </w:p>
    <w:tbl>
      <w:tblPr>
        <w:tblW w:w="7215" w:type="dxa"/>
        <w:tblInd w:w="1642" w:type="dxa"/>
        <w:tblLayout w:type="fixed"/>
        <w:tblCellMar>
          <w:left w:w="72" w:type="dxa"/>
          <w:right w:w="72" w:type="dxa"/>
        </w:tblCellMar>
        <w:tblLook w:val="04A0" w:firstRow="1" w:lastRow="0" w:firstColumn="1" w:lastColumn="0" w:noHBand="0" w:noVBand="1"/>
      </w:tblPr>
      <w:tblGrid>
        <w:gridCol w:w="1791"/>
        <w:gridCol w:w="5424"/>
      </w:tblGrid>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5.2.11.</w:t>
            </w:r>
          </w:p>
        </w:tc>
        <w:tc>
          <w:tcPr>
            <w:tcW w:w="55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325-SAT-IV-C-5320 de 22 de mayo de 1998. Segunda Actualización de la Compilación de Normatividad Sustantiva de Impuestos Internos.</w:t>
            </w:r>
          </w:p>
        </w:tc>
      </w:tr>
    </w:tbl>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Enajenación de pieles frescas.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6 del Reglamento de dicha ley establece que no están industrializados los animales y vegetales que se presenten cortados, aplanados, en trozos, frescos, salados, secos, refrigerados, congelados o empacados.</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En este tenor, se considera que no están industrializadas las pieles que se presenten frescas o conservadas de cualquier forma, siempre que no se encuentren precurtidas, curtidas, apergaminadas o preparadas de otra manera.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1996</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325-A-VII-10975 de 4 de diciembre de 1996, mediante el cual se hace del conocimiento las consideraciones en materia de IVA a la enajenación de pieles sin industrializar de animales.</w:t>
            </w:r>
          </w:p>
        </w:tc>
      </w:tr>
    </w:tbl>
    <w:p w:rsidR="00957B34" w:rsidRPr="00957B34" w:rsidRDefault="00957B34" w:rsidP="00957B34">
      <w:pPr>
        <w:spacing w:before="100" w:beforeAutospacing="1" w:after="100" w:line="22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9/IVA/N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Medicinas de patente.</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puedan ser ingeridas, inyectadas, inhaladas o aplicadas, sin llevar a cabo ningún otro procedimiento de elaboración.</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6/94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0ficio 325-A-VII-21606 de 23 de junio de 1994, a través del cual se dan a conocer diversos criterios de operación y normativos.</w:t>
            </w:r>
          </w:p>
        </w:tc>
      </w:tr>
    </w:tbl>
    <w:p w:rsidR="00957B34" w:rsidRPr="00957B34" w:rsidRDefault="00957B34" w:rsidP="00957B34">
      <w:pPr>
        <w:spacing w:before="100" w:beforeAutospacing="1" w:after="100" w:line="22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10/IVA/N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Suministro de medicamentos como parte de los servicios de un hospital. Se debe considerar la tasa general del IVA.</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2-A, fracción I, inciso b) de la Ley del IVA señala que el impuesto se calculará aplicando la tasa del 0% cuando se enajenen medicinas de patente.</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17, segundo párrafo del CFF establece que cuando con motivo de la prestación de un servicio se proporcionen bienes o se otorgue el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 fracción I, inciso b) de la ley en comento.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6/2005/IVA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325-SAT-09-IV-B-118532 de 19 de septiembre de 2005, mediante el cual se emite la Compilación de Criterios Normativos. Liberación de la primera parte del Boletín 2005.</w:t>
            </w:r>
          </w:p>
        </w:tc>
      </w:tr>
    </w:tbl>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11/IVA/N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Productos destinados a la alimentación.</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Para efectos de lo establecido en el artículo 2-A,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La enajenación de los insumos o materias primas que se incorporen, dentro de un procedimiento de industrialización o transformación, a productos destinados a la alimentación, ha estado afecta a la tasa del 0% siempre que dichas materias primas o insumos se contemplen en la definición del párrafo anterior.</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325-A-VII-10973 de 3 de diciembre de 1996, a través del cual se hacen del conocimiento diversos criterios normativos.</w:t>
            </w:r>
          </w:p>
        </w:tc>
      </w:tr>
    </w:tbl>
    <w:p w:rsidR="00957B34" w:rsidRPr="00957B34" w:rsidRDefault="00957B34" w:rsidP="00957B34">
      <w:pPr>
        <w:spacing w:before="100" w:beforeAutospacing="1" w:after="100" w:line="229"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12/IVA/N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Suplementos alimenticios. No se consideran como productos destinados a la alimentación.</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z w:val="20"/>
          <w:szCs w:val="20"/>
          <w:lang w:val="es-ES_tradnl" w:eastAsia="es-MX"/>
        </w:rPr>
        <w:t>La finalidad de los suplementos alimenticios es incrementar la ingesta dietética total, complementarla o suplir algunos de sus componentes, pudiendo ser incluso elaborados a base de alimentos tradicionales.</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rsidR="00957B34" w:rsidRPr="00957B34" w:rsidRDefault="00957B34" w:rsidP="00957B34">
      <w:pPr>
        <w:spacing w:before="100" w:beforeAutospacing="1" w:after="100" w:line="229"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13/IVA/N</w:t>
      </w:r>
      <w:r w:rsidRPr="00957B34">
        <w:rPr>
          <w:rFonts w:ascii="Verdana" w:eastAsia="Times New Roman" w:hAnsi="Verdana" w:cs="Times New Roman"/>
          <w:b/>
          <w:sz w:val="20"/>
          <w:szCs w:val="20"/>
          <w:lang w:val="es-ES" w:eastAsia="es-MX"/>
        </w:rPr>
        <w:tab/>
        <w:t>Concepto de leche para efectos del IVA.</w:t>
      </w:r>
    </w:p>
    <w:p w:rsidR="00957B34" w:rsidRPr="00957B34" w:rsidRDefault="00957B34" w:rsidP="00957B34">
      <w:pPr>
        <w:spacing w:after="100" w:line="22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2-A, fracción I, inciso b), numeral 1 de la Ley del IVA, establece que se aplicará la tasa del 0% a la enajenación de productos destinados a la alimentación a excepción de bebidas distintas de la leche, inclusive cuando las mismas tengan la naturaleza de alimentos; conforme a lo anterior, es aplicable la tasa del 0% del IVA a la enajenación de leche.</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 por leche:</w:t>
      </w:r>
    </w:p>
    <w:p w:rsidR="00957B34" w:rsidRPr="00957B34" w:rsidRDefault="00957B34" w:rsidP="00957B34">
      <w:pPr>
        <w:spacing w:after="100" w:line="25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sz w:val="20"/>
          <w:szCs w:val="20"/>
          <w:lang w:val="es-ES" w:eastAsia="es-MX"/>
        </w:rPr>
        <w:tab/>
        <w:t xml:space="preserve">La secreción natural de las glándulas mamarias de las vacas o de cualquier otra especie animal, </w:t>
      </w:r>
      <w:proofErr w:type="gramStart"/>
      <w:r w:rsidRPr="00957B34">
        <w:rPr>
          <w:rFonts w:ascii="Verdana" w:eastAsia="Times New Roman" w:hAnsi="Verdana" w:cs="Times New Roman"/>
          <w:sz w:val="20"/>
          <w:szCs w:val="20"/>
          <w:lang w:val="es-ES" w:eastAsia="es-MX"/>
        </w:rPr>
        <w:t>excluido</w:t>
      </w:r>
      <w:proofErr w:type="gramEnd"/>
      <w:r w:rsidRPr="00957B34">
        <w:rPr>
          <w:rFonts w:ascii="Verdana" w:eastAsia="Times New Roman" w:hAnsi="Verdana" w:cs="Times New Roman"/>
          <w:sz w:val="20"/>
          <w:szCs w:val="20"/>
          <w:lang w:val="es-ES" w:eastAsia="es-MX"/>
        </w:rPr>
        <w:t xml:space="preserve"> el calostro, que cumplan con la regulación sanitaria y comercial que les sea aplicable.</w:t>
      </w:r>
    </w:p>
    <w:p w:rsidR="00957B34" w:rsidRPr="00957B34" w:rsidRDefault="00957B34" w:rsidP="00957B34">
      <w:pPr>
        <w:spacing w:after="100" w:line="25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957B34" w:rsidRPr="00957B34" w:rsidRDefault="00957B34" w:rsidP="00957B34">
      <w:pPr>
        <w:spacing w:after="100" w:line="25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957B34" w:rsidRPr="00957B34" w:rsidRDefault="00957B34" w:rsidP="00957B34">
      <w:pPr>
        <w:spacing w:after="100" w:line="254"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III.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rsidR="00957B34" w:rsidRPr="00957B34" w:rsidRDefault="00957B34" w:rsidP="00957B34">
      <w:pPr>
        <w:spacing w:before="100" w:beforeAutospacing="1" w:after="100" w:line="25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14/IVA/N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Alimentos preparados.</w:t>
      </w:r>
    </w:p>
    <w:p w:rsidR="00957B34" w:rsidRPr="00957B34" w:rsidRDefault="00957B34" w:rsidP="00957B34">
      <w:pPr>
        <w:spacing w:after="100" w:line="25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Las enajenaciones de los alimentos mencionados en el párrafo anterior que hagan los proveedores a los establecimientos a que se refiere el citado párrafo, </w:t>
      </w:r>
      <w:r w:rsidRPr="00957B34">
        <w:rPr>
          <w:rFonts w:ascii="Verdana" w:eastAsia="Times New Roman" w:hAnsi="Verdana" w:cs="Times New Roman"/>
          <w:sz w:val="20"/>
          <w:szCs w:val="20"/>
          <w:lang w:val="es-ES" w:eastAsia="es-MX"/>
        </w:rPr>
        <w:t>únicamente estarán afectas a la tasa general del impuesto cuando los proveedores presten un servicio genérico de comidas en los términos del primer párrafo.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14/93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325-A-VII-24497 de 27 de octubre de 1993.</w:t>
            </w:r>
          </w:p>
        </w:tc>
      </w:tr>
    </w:tbl>
    <w:p w:rsidR="00957B34" w:rsidRPr="00957B34" w:rsidRDefault="00957B34" w:rsidP="00957B34">
      <w:pPr>
        <w:spacing w:before="100" w:beforeAutospacing="1" w:after="100" w:line="25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15/IVA/N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Alimentos preparados para su consumo en el lugar de su enajenación.</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 w:eastAsia="es-MX"/>
        </w:rPr>
        <w:t>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2008</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rsidR="00957B34" w:rsidRPr="00957B34" w:rsidRDefault="00957B34" w:rsidP="00957B34">
      <w:pPr>
        <w:spacing w:before="100" w:beforeAutospacing="1" w:after="100" w:line="25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16/IVA/N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Enajenación de refacciones para equipo agrícola.</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2-A, fracción I, inciso e), último párrafo de la Ley del IVA, establece que se aplicará la tasa del 0% a la enajenación de maquinaria y equipo agrícola, ganadero o de pesca, cuando dichos equipos se enajenen completos.</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En sentido contrario, los contribuyentes que enajenen refacciones para maquinaria y equipo agrícola, ganadero o de pesca, están obligados al traslado y pago del IVA a la tasa del 16%.</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5.2.8.</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102-SAT-13 de 4 de julio de 1997, a través del cual se emite la Compilación de Normatividad Sustantiva de Impuestos Internos.</w:t>
            </w:r>
          </w:p>
        </w:tc>
      </w:tr>
    </w:tbl>
    <w:p w:rsidR="00957B34" w:rsidRPr="00957B34" w:rsidRDefault="00957B34" w:rsidP="00957B34">
      <w:pPr>
        <w:spacing w:before="100" w:beforeAutospacing="1" w:after="100" w:line="25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17/IVA/N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Equipos integrados a invernaderos hidropónicos.</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w:t>
      </w:r>
      <w:r w:rsidRPr="00957B34">
        <w:rPr>
          <w:rFonts w:ascii="Verdana" w:eastAsia="Times New Roman" w:hAnsi="Verdana" w:cs="Times New Roman"/>
          <w:sz w:val="20"/>
          <w:szCs w:val="20"/>
          <w:lang w:val="es-ES_tradnl" w:eastAsia="es-MX"/>
        </w:rPr>
        <w:lastRenderedPageBreak/>
        <w:t>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rsidR="00957B34" w:rsidRPr="00957B34" w:rsidRDefault="00957B34" w:rsidP="00957B34">
      <w:pPr>
        <w:spacing w:before="100" w:beforeAutospacing="1" w:after="100" w:line="23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18/IVA/N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Libros contenidos en medios electrónicos, táctiles o auditivos. Tratamiento en materia de IVA.</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De conformidad con el artículo 2-A, fracción I, inciso i) de la Ley del IVA, el impuesto se calculará aplicando la tasa del 0% a los valores a que se refiere dicha ley, cuando se enajenen libros, periódicos y revistas, que editen los propios contribuyentes.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9, fracción III de la Ley del IVA establece que no se pagará el citado impuesto, tratándose de la enajenación de libros, periódicos y revistas, así como el derecho para usar o explotar una obra, que realice su autor.</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El artículo 20, fracción V de la Ley del IVA dispone que no se </w:t>
      </w:r>
      <w:proofErr w:type="gramStart"/>
      <w:r w:rsidRPr="00957B34">
        <w:rPr>
          <w:rFonts w:ascii="Verdana" w:eastAsia="Times New Roman" w:hAnsi="Verdana" w:cs="Times New Roman"/>
          <w:sz w:val="20"/>
          <w:szCs w:val="20"/>
          <w:lang w:val="es-ES_tradnl" w:eastAsia="es-MX"/>
        </w:rPr>
        <w:t>pagará</w:t>
      </w:r>
      <w:proofErr w:type="gramEnd"/>
      <w:r w:rsidRPr="00957B34">
        <w:rPr>
          <w:rFonts w:ascii="Verdana" w:eastAsia="Times New Roman" w:hAnsi="Verdana" w:cs="Times New Roman"/>
          <w:sz w:val="20"/>
          <w:szCs w:val="20"/>
          <w:lang w:val="es-ES_tradnl" w:eastAsia="es-MX"/>
        </w:rPr>
        <w:t xml:space="preserve"> el impuesto por el uso o goce temporal de libros, periódicos y revistas.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El referido </w:t>
      </w:r>
      <w:r w:rsidRPr="00957B34">
        <w:rPr>
          <w:rFonts w:ascii="Verdana" w:eastAsia="Times New Roman" w:hAnsi="Verdana" w:cs="Times New Roman"/>
          <w:sz w:val="20"/>
          <w:szCs w:val="20"/>
          <w:lang w:val="es-ES" w:eastAsia="es-MX"/>
        </w:rPr>
        <w:t>artículo</w:t>
      </w:r>
      <w:r w:rsidRPr="00957B34">
        <w:rPr>
          <w:rFonts w:ascii="Verdana" w:eastAsia="Times New Roman" w:hAnsi="Verdana" w:cs="Times New Roman"/>
          <w:sz w:val="20"/>
          <w:szCs w:val="20"/>
          <w:lang w:val="es-ES_tradnl" w:eastAsia="es-MX"/>
        </w:rPr>
        <w:t xml:space="preserve"> 2-A,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De una interpretación armónica de las disposiciones legales antes expuestas, se desprende que la definición del término libro establecido </w:t>
      </w:r>
      <w:r w:rsidRPr="00957B34">
        <w:rPr>
          <w:rFonts w:ascii="Verdana" w:eastAsia="Times New Roman" w:hAnsi="Verdana" w:cs="Times New Roman"/>
          <w:sz w:val="20"/>
          <w:szCs w:val="20"/>
          <w:lang w:val="es-ES_tradnl" w:eastAsia="es-MX"/>
        </w:rPr>
        <w:lastRenderedPageBreak/>
        <w:t>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7215" w:type="dxa"/>
        <w:tblInd w:w="1642" w:type="dxa"/>
        <w:tblLayout w:type="fixed"/>
        <w:tblCellMar>
          <w:left w:w="72" w:type="dxa"/>
          <w:right w:w="72" w:type="dxa"/>
        </w:tblCellMar>
        <w:tblLook w:val="04A0" w:firstRow="1" w:lastRow="0" w:firstColumn="1" w:lastColumn="0" w:noHBand="0" w:noVBand="1"/>
      </w:tblPr>
      <w:tblGrid>
        <w:gridCol w:w="1745"/>
        <w:gridCol w:w="5470"/>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3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17/2002/IVA</w:t>
            </w:r>
          </w:p>
        </w:tc>
        <w:tc>
          <w:tcPr>
            <w:tcW w:w="583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0ficio 325-SAT-A-31676 de 24 de mayo de 2002.</w:t>
            </w:r>
          </w:p>
        </w:tc>
      </w:tr>
    </w:tbl>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19/IVA/N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Cargos entre líneas aéreas.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2-A, fracción II de la misma ley establece de manera limitativa los supuestos para aplicar la tasa 0%, dentro de los cuales no se encuentran los cargos entre líneas aéreas.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7215" w:type="dxa"/>
        <w:tblInd w:w="1642" w:type="dxa"/>
        <w:tblLayout w:type="fixed"/>
        <w:tblCellMar>
          <w:left w:w="72" w:type="dxa"/>
          <w:right w:w="72" w:type="dxa"/>
        </w:tblCellMar>
        <w:tblLook w:val="04A0" w:firstRow="1" w:lastRow="0" w:firstColumn="1" w:lastColumn="0" w:noHBand="0" w:noVBand="1"/>
      </w:tblPr>
      <w:tblGrid>
        <w:gridCol w:w="1719"/>
        <w:gridCol w:w="5496"/>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96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8.</w:t>
            </w:r>
          </w:p>
        </w:tc>
        <w:tc>
          <w:tcPr>
            <w:tcW w:w="596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325-A-VII-10960 de 14 de octubre de 1996, a través del cual se hacen de conocimiento los criterios aprobados por el Comité de Normatividad en su sesión No. 21, celebrada el 10 de octubre de 1996.</w:t>
            </w:r>
          </w:p>
        </w:tc>
      </w:tr>
    </w:tbl>
    <w:p w:rsidR="00957B34" w:rsidRPr="00957B34" w:rsidRDefault="00957B34" w:rsidP="00957B34">
      <w:pPr>
        <w:spacing w:before="100" w:beforeAutospacing="1" w:after="100" w:line="23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20/IVA/N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color w:val="000000"/>
          <w:sz w:val="20"/>
          <w:szCs w:val="20"/>
          <w:lang w:val="es-ES" w:eastAsia="es-MX"/>
        </w:rPr>
        <w:t>Prestación de servicios a sociedades dedicadas a actividades agrícolas y ganaderas.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color w:val="000000"/>
          <w:sz w:val="20"/>
          <w:szCs w:val="20"/>
          <w:lang w:val="es-ES" w:eastAsia="es-MX"/>
        </w:rPr>
        <w:tab/>
      </w:r>
      <w:r w:rsidRPr="00957B34">
        <w:rPr>
          <w:rFonts w:ascii="Verdana" w:eastAsia="Times New Roman" w:hAnsi="Verdana" w:cs="Times New Roman"/>
          <w:color w:val="000000"/>
          <w:sz w:val="20"/>
          <w:szCs w:val="20"/>
          <w:lang w:val="es-ES" w:eastAsia="es-MX"/>
        </w:rPr>
        <w:t>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 xml:space="preserve">El artículo 16, fracciones III y IV y último párrafo del CFF, dispone que empresa es la persona física o moral que realiza actividades agrícolas y ganaderas, asimismo, el artículo 74, sexto párrafo de la Ley del ISR, </w:t>
      </w:r>
      <w:r w:rsidRPr="00957B34">
        <w:rPr>
          <w:rFonts w:ascii="Verdana" w:eastAsia="Times New Roman" w:hAnsi="Verdana" w:cs="Times New Roman"/>
          <w:color w:val="000000"/>
          <w:sz w:val="20"/>
          <w:szCs w:val="20"/>
          <w:lang w:val="es-ES" w:eastAsia="es-MX"/>
        </w:rPr>
        <w:lastRenderedPageBreak/>
        <w:t>señala que se consideran contribuyentes dedicados exclusivamente a las actividades agrícolas, ganaderas, pesqueras o silvícolas, aquéllos cuyos ingresos por dichas actividades representan cuando menos el 90% de sus ingresos totales, sin incluir los ingresos por las enajenaciones de activos fijos o activos fijos y terrenos, de su propiedad que hubiesen estado afectos a su actividad.</w:t>
      </w:r>
    </w:p>
    <w:p w:rsidR="00957B34" w:rsidRPr="00957B34" w:rsidRDefault="00957B34" w:rsidP="00957B34">
      <w:pPr>
        <w:spacing w:after="100" w:line="23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t>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7215" w:type="dxa"/>
        <w:tblInd w:w="1642" w:type="dxa"/>
        <w:tblLayout w:type="fixed"/>
        <w:tblCellMar>
          <w:left w:w="72" w:type="dxa"/>
          <w:right w:w="72" w:type="dxa"/>
        </w:tblCellMar>
        <w:tblLook w:val="04A0" w:firstRow="1" w:lastRow="0" w:firstColumn="1" w:lastColumn="0" w:noHBand="0" w:noVBand="1"/>
      </w:tblPr>
      <w:tblGrid>
        <w:gridCol w:w="1719"/>
        <w:gridCol w:w="5496"/>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96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96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21/IVA/N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Prestación de servicios en invernaderos hidropónicos. Aplicación de la tasa del 0%.</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2-A, fracción II, inciso d) de la Ley del IVA establece que se calculará dicho impuesto aplicando la tasa del 0%, cuando se presten servicios independientes en invernaderos hidropónicos.</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Dado lo anterior, el IVA se calculará a la tasa del 0%, únicamente cuando el servicio independiente sea prestado en invernaderos hidropónicos, es decir, en invernaderos que ya están constituidos como tales.</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18/2002/IVA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325-SAT-A-31676 de 24 de mayo de 2002 a través del cual se emite la Primera Actualización de la Compilación Sustantiva de Impuestos Internos.</w:t>
            </w:r>
          </w:p>
        </w:tc>
      </w:tr>
    </w:tbl>
    <w:p w:rsidR="00957B34" w:rsidRPr="00957B34" w:rsidRDefault="00957B34" w:rsidP="00957B34">
      <w:pPr>
        <w:spacing w:before="100" w:beforeAutospacing="1" w:after="100" w:line="25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22/IVA/N</w:t>
      </w:r>
      <w:r w:rsidRPr="00957B34">
        <w:rPr>
          <w:rFonts w:ascii="Verdana" w:eastAsia="Times New Roman" w:hAnsi="Verdana" w:cs="Times New Roman"/>
          <w:b/>
          <w:sz w:val="20"/>
          <w:szCs w:val="20"/>
          <w:lang w:val="es-ES" w:eastAsia="es-MX"/>
        </w:rPr>
        <w:tab/>
      </w:r>
      <w:proofErr w:type="gramStart"/>
      <w:r w:rsidRPr="00957B34">
        <w:rPr>
          <w:rFonts w:ascii="Verdana" w:eastAsia="Times New Roman" w:hAnsi="Verdana" w:cs="Times New Roman"/>
          <w:b/>
          <w:sz w:val="20"/>
          <w:szCs w:val="20"/>
          <w:lang w:val="es-ES_tradnl" w:eastAsia="es-MX"/>
        </w:rPr>
        <w:t>IVA</w:t>
      </w:r>
      <w:proofErr w:type="gramEnd"/>
      <w:r w:rsidRPr="00957B34">
        <w:rPr>
          <w:rFonts w:ascii="Verdana" w:eastAsia="Times New Roman" w:hAnsi="Verdana" w:cs="Times New Roman"/>
          <w:b/>
          <w:sz w:val="20"/>
          <w:szCs w:val="20"/>
          <w:lang w:val="es-ES_tradnl" w:eastAsia="es-MX"/>
        </w:rPr>
        <w:t xml:space="preserve"> en importaciones que realice la Federación, los Estados, los Municipios, así como sus organismos descentralizados y las instituciones públicas de seguridad social.</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 xml:space="preserve">El artículo 3, segundo párrafo de la Ley del IVA, establece que la Federación, el Distrito Federal, los Estados, los Municipios, así como sus organismos descentralizados y las instituciones públicas de </w:t>
      </w:r>
      <w:r w:rsidRPr="00957B34">
        <w:rPr>
          <w:rFonts w:ascii="Verdana" w:eastAsia="Times New Roman" w:hAnsi="Verdana" w:cs="Times New Roman"/>
          <w:sz w:val="20"/>
          <w:szCs w:val="20"/>
          <w:lang w:val="es-ES_tradnl" w:eastAsia="es-MX"/>
        </w:rPr>
        <w:lastRenderedPageBreak/>
        <w:t>seguridad social, no estarán obligados a pagar el IVA por los actos que realicen que den lugar al pago de derechos. Dentro de este último concepto quedan comprendidos los derechos federales, estatales o municipales.</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En ese sentido, la exención del IVA contenida en el segundo párrafo del artículo 3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IV/95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Boletín de Normatividad 1</w:t>
            </w:r>
          </w:p>
        </w:tc>
      </w:tr>
    </w:tbl>
    <w:p w:rsidR="00957B34" w:rsidRPr="00957B34" w:rsidRDefault="00957B34" w:rsidP="00957B34">
      <w:pPr>
        <w:spacing w:before="100" w:beforeAutospacing="1" w:after="100" w:line="25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23/IVA/N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Cálculo de la proporción de acreditamiento cuando se realicen actividades exentas a título gratuito. (Se modifica)</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Conforme a la Ley del IVA cuando el contribuyente utilice indistintamente bienes, servicios o el uso o goce temporal de bienes, para realizar las actividades gravadas a la tasa general o a la del 0% y, además para realizar otras actividades por las que obtenga ingresos, el acreditamiento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15, fracción III, de la Ley del Impuesto al Valor Agregado establece, que no se pagará IVA por los servicios prestados en forma gratuita, excepto cuando los beneficiarios sean los miembros, socios o asociados de la persona moral.</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 cuenta tratándose de actividades por las que se deba pagar el impuesto establecido en la Ley, cuando no exista contraprestación.</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De la interpretación armónica a los preceptos antes señalados es de concluir que tratándose de las actividades por las que no se debe pagar el impuesto (exentas) que sean a título gratuito, para efecto solamente </w:t>
      </w:r>
      <w:r w:rsidRPr="00957B34">
        <w:rPr>
          <w:rFonts w:ascii="Verdana" w:eastAsia="Times New Roman" w:hAnsi="Verdana" w:cs="Times New Roman"/>
          <w:sz w:val="20"/>
          <w:szCs w:val="20"/>
          <w:lang w:val="es-ES_tradnl" w:eastAsia="es-MX"/>
        </w:rPr>
        <w:lastRenderedPageBreak/>
        <w:t>de calcular la proporción de acreditamiento, se considerará como valor de éstas el de mercado o en su defecto el de avalúo.</w:t>
      </w:r>
    </w:p>
    <w:tbl>
      <w:tblPr>
        <w:tblW w:w="7215" w:type="dxa"/>
        <w:tblInd w:w="1642" w:type="dxa"/>
        <w:tblLayout w:type="fixed"/>
        <w:tblCellMar>
          <w:left w:w="72" w:type="dxa"/>
          <w:right w:w="72" w:type="dxa"/>
        </w:tblCellMar>
        <w:tblLook w:val="04A0" w:firstRow="1" w:lastRow="0" w:firstColumn="1" w:lastColumn="0" w:noHBand="0" w:noVBand="1"/>
      </w:tblPr>
      <w:tblGrid>
        <w:gridCol w:w="1898"/>
        <w:gridCol w:w="5317"/>
      </w:tblGrid>
      <w:tr w:rsidR="00957B34" w:rsidRPr="00957B34" w:rsidTr="00957B34">
        <w:trPr>
          <w:trHeight w:val="20"/>
        </w:trPr>
        <w:tc>
          <w:tcPr>
            <w:tcW w:w="1957"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57"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2013</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rsidR="00957B34" w:rsidRPr="00957B34" w:rsidRDefault="00957B34" w:rsidP="00957B34">
      <w:pPr>
        <w:spacing w:before="100" w:beforeAutospacing="1" w:after="100" w:line="24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24/IVA/N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Devolución de saldos a favor del IVA. No procede la devolución del remanente de un saldo a favor, si previamente se acreditó contra un pago posterior a la declaración en la que se determinó.</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6, primer párrafo de la Ley del IVA establece que cuando en la declaración de pago resulte saldo a favor, el contribuyente podrá acreditarlo contra el impuesto a su cargo que le corresponda en los meses siguientes hasta agotarlo, solicitar su devolución o compensarlo contra otros impuestos.</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En ese sentido, no es factible la acumulación de remanentes de saldos a favor pendientes de acreditar, toda vez que el esquema es de pagos mensuales y definitivos conforme lo previsto en el artículo 5-D de la Ley del IVA, se considera que en los casos en que los contribuyentes después de haber determinado un saldo a favor, acrediten el mismo en una declaración posterior, resultándoles un remanente, deberán seguir acreditándolo hasta agotarlo, sin que en dicho caso sea procedente su devolución o compensación.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52/2003/IVA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325-SAT-IV-F-84632 de 28 de noviembre de 2003, mediante el cual se emite la Compilación de Criterios Normativos. Se dan a conocer criterios.</w:t>
            </w:r>
          </w:p>
        </w:tc>
      </w:tr>
    </w:tbl>
    <w:p w:rsidR="00957B34" w:rsidRPr="00957B34" w:rsidRDefault="00957B34" w:rsidP="00957B34">
      <w:pPr>
        <w:spacing w:before="100" w:beforeAutospacing="1" w:after="100" w:line="247"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25/IVA/N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Compensación del IVA. Casos en que procede.</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trike/>
          <w:sz w:val="20"/>
          <w:szCs w:val="20"/>
          <w:lang w:val="es-ES_tradnl" w:eastAsia="es-MX"/>
        </w:rPr>
        <w:t>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trike/>
          <w:sz w:val="20"/>
          <w:szCs w:val="20"/>
          <w:lang w:val="es-ES_tradnl" w:eastAsia="es-MX"/>
        </w:rPr>
        <w:t>En ese sentido, de conformidad con los fundamentos citados, el saldo a favor del IVA de un mes posterior podrá compensarse contra el adeudo a cargo del contribuyente por el mismo impuesto correspondiente a meses anteriores, con su respectiva actualización y recargos</w:t>
      </w:r>
      <w:r w:rsidRPr="00957B34">
        <w:rPr>
          <w:rFonts w:ascii="Verdana" w:eastAsia="Times New Roman" w:hAnsi="Verdana" w:cs="Times New Roman"/>
          <w:sz w:val="20"/>
          <w:szCs w:val="20"/>
          <w:lang w:val="es-ES_tradnl" w:eastAsia="es-MX"/>
        </w:rPr>
        <w:t>.</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5.1.5.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325-A-VII-19856 de 25 de septiembre de 1995.</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 deroga en virtud de que han cambiado las condiciones jurídicas y de hecho, para el que fue creado.</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26/IVA/N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Reembolsos o reintegros en especie. Constituyen enajenación.</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 xml:space="preserve">El artículo 8 de la Ley del IVA dispone que se </w:t>
      </w:r>
      <w:proofErr w:type="gramStart"/>
      <w:r w:rsidRPr="00957B34">
        <w:rPr>
          <w:rFonts w:ascii="Verdana" w:eastAsia="Times New Roman" w:hAnsi="Verdana" w:cs="Times New Roman"/>
          <w:sz w:val="20"/>
          <w:szCs w:val="20"/>
          <w:lang w:val="es-ES_tradnl" w:eastAsia="es-MX"/>
        </w:rPr>
        <w:t>considera</w:t>
      </w:r>
      <w:proofErr w:type="gramEnd"/>
      <w:r w:rsidRPr="00957B34">
        <w:rPr>
          <w:rFonts w:ascii="Verdana" w:eastAsia="Times New Roman" w:hAnsi="Verdana" w:cs="Times New Roman"/>
          <w:sz w:val="20"/>
          <w:szCs w:val="20"/>
          <w:lang w:val="es-ES_tradnl" w:eastAsia="es-MX"/>
        </w:rPr>
        <w:t xml:space="preserve"> que hay enajenación para los efectos de dicha ley, lo que señala el CFF.</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14, fracción I del Código en cita establece que se entenderá como enajenación toda transmisión de propiedad, aún en la que el enajenante se reserve el dominio del bien enajenado.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r w:rsidRPr="00957B34">
        <w:rPr>
          <w:rFonts w:ascii="Verdana" w:eastAsia="Times New Roman" w:hAnsi="Verdana" w:cs="Times New Roman"/>
          <w:sz w:val="20"/>
          <w:szCs w:val="20"/>
          <w:lang w:val="es-ES_tradnl" w:eastAsia="es-MX"/>
        </w:rPr>
        <w:t>.</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5.2.7.</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102-SAT-13 de 4 de julio de 1997, a través del cual se emite la Compilación de Normatividad Sustantiva de Impuestos Internos.</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27/IVA/N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Enajenación de piedra, arena y tierra. No son bienes inmuebles.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9, fracción I de la Ley del IVA señala que no se pagará el citado impuesto tratándose de la enajenación de suelo.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22, primer párrafo del Reglamento de la Ley del IVA, hace referencia al suelo como bien inmueble; ahora bien, aplicando supletoriamente la legislación del derecho federal común, por suelo debe entenderse el bien inmueble señalado en el artículo 750, fracción I del Código Civil Federal.</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ello, a la enajenación de piedra, arena o tierra, no le es aplicable el desgravamiento previsto en dicho artículo 9, fracción I de la Ley del IVA, ya que no son bienes inmuebles.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5.2.10.</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325-SAT-IV-C-5320 de 22 de mayo de 1998. Segunda Actualización de la Compilación de Normatividad Sustantiva de Impuestos Internos.</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28/IVA/N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Enajenación de casa habitación. La disposición que establece que no se pagará el IVA no abarca a servicios parciales en su construcción.</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lastRenderedPageBreak/>
        <w:tab/>
      </w:r>
      <w:r w:rsidRPr="00957B34">
        <w:rPr>
          <w:rFonts w:ascii="Verdana" w:eastAsia="Times New Roman" w:hAnsi="Verdana" w:cs="Times New Roman"/>
          <w:sz w:val="20"/>
          <w:szCs w:val="20"/>
          <w:lang w:val="es-ES_tradnl" w:eastAsia="es-MX"/>
        </w:rPr>
        <w:t>El artículo 9, fracción II de la Ley del IVA establece que no se pagará dicho impuesto en la enajenación de construcciones adheridas al suelo destinadas o utilizadas para casa habitación.</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26/2001/IVA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 A-31123 de 14 septiembre de 2001, mediante el cual se da a conocer la nueva Compilación de Criterios Normativos 2001.</w:t>
            </w:r>
          </w:p>
        </w:tc>
      </w:tr>
    </w:tbl>
    <w:p w:rsidR="00957B34" w:rsidRPr="00957B34" w:rsidRDefault="00957B34" w:rsidP="00957B34">
      <w:pPr>
        <w:spacing w:before="100" w:beforeAutospacing="1" w:after="100" w:line="28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29/IVA/N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Exención. Comisiones por el otorgamiento de créditos hipotecarios para vivienda.</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A contrario sensu, las comisiones y contraprestaciones que cubra el acreditado a su acreedor por causa del otorgamiento de los créditos mencionados y que se originen hasta el momento de su autorización, quedan comprendidas en la exención.</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lastRenderedPageBreak/>
        <w:tab/>
      </w:r>
      <w:r w:rsidRPr="00957B34">
        <w:rPr>
          <w:rFonts w:ascii="Verdana" w:eastAsia="Times New Roman" w:hAnsi="Verdana" w:cs="Times New Roman"/>
          <w:sz w:val="20"/>
          <w:szCs w:val="20"/>
          <w:lang w:val="es-ES" w:eastAsia="es-MX"/>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r w:rsidRPr="00957B34">
        <w:rPr>
          <w:rFonts w:ascii="Verdana" w:eastAsia="Times New Roman" w:hAnsi="Verdana" w:cs="Times New Roman"/>
          <w:sz w:val="20"/>
          <w:szCs w:val="20"/>
          <w:lang w:val="es-ES_tradnl" w:eastAsia="es-MX"/>
        </w:rPr>
        <w:t>.</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 mismos créditos.</w:t>
      </w:r>
    </w:p>
    <w:tbl>
      <w:tblPr>
        <w:tblW w:w="7215" w:type="dxa"/>
        <w:tblInd w:w="1642" w:type="dxa"/>
        <w:tblLayout w:type="fixed"/>
        <w:tblCellMar>
          <w:left w:w="72" w:type="dxa"/>
          <w:right w:w="72" w:type="dxa"/>
        </w:tblCellMar>
        <w:tblLook w:val="04A0" w:firstRow="1" w:lastRow="0" w:firstColumn="1" w:lastColumn="0" w:noHBand="0" w:noVBand="1"/>
      </w:tblPr>
      <w:tblGrid>
        <w:gridCol w:w="1791"/>
        <w:gridCol w:w="5424"/>
      </w:tblGrid>
      <w:tr w:rsidR="00957B34" w:rsidRPr="00957B34" w:rsidTr="00957B34">
        <w:trPr>
          <w:trHeight w:val="20"/>
        </w:trPr>
        <w:tc>
          <w:tcPr>
            <w:tcW w:w="179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9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4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30/IVA/N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Comisiones de agentes de seguros. No se ubican en el supuesto de exención del IVA las contraprestaciones a personas morales que no tengan el carácter de agentes de seguros. (Se deroga)</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trike/>
          <w:sz w:val="20"/>
          <w:szCs w:val="20"/>
          <w:lang w:val="es-ES_tradnl" w:eastAsia="es-MX"/>
        </w:rPr>
        <w:t xml:space="preserve">El artículo 15, fracción IX de la Ley del IVA dispone que no se </w:t>
      </w:r>
      <w:proofErr w:type="gramStart"/>
      <w:r w:rsidRPr="00957B34">
        <w:rPr>
          <w:rFonts w:ascii="Verdana" w:eastAsia="Times New Roman" w:hAnsi="Verdana" w:cs="Times New Roman"/>
          <w:strike/>
          <w:sz w:val="20"/>
          <w:szCs w:val="20"/>
          <w:lang w:val="es-ES_tradnl" w:eastAsia="es-MX"/>
        </w:rPr>
        <w:t>pagará</w:t>
      </w:r>
      <w:proofErr w:type="gramEnd"/>
      <w:r w:rsidRPr="00957B34">
        <w:rPr>
          <w:rFonts w:ascii="Verdana" w:eastAsia="Times New Roman" w:hAnsi="Verdana" w:cs="Times New Roman"/>
          <w:strike/>
          <w:sz w:val="20"/>
          <w:szCs w:val="20"/>
          <w:lang w:val="es-ES_tradnl" w:eastAsia="es-MX"/>
        </w:rPr>
        <w:t xml:space="preserve"> el impuesto correspondiente por las comisiones de agentes que correspondan a los seguros citados en dicha fracción.</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trike/>
          <w:sz w:val="20"/>
          <w:szCs w:val="20"/>
          <w:lang w:val="es-ES" w:eastAsia="es-MX"/>
        </w:rPr>
        <w:t xml:space="preserve">El artículo 5, segundo párrafo del CFF permite aplicar supletoriamente las disposiciones del derecho federal común; en ese sentido, a falta de norma fiscal que establezca su definición, la expresión </w:t>
      </w:r>
      <w:proofErr w:type="gramStart"/>
      <w:r w:rsidRPr="00957B34">
        <w:rPr>
          <w:rFonts w:ascii="Verdana" w:eastAsia="Times New Roman" w:hAnsi="Verdana" w:cs="Times New Roman"/>
          <w:strike/>
          <w:sz w:val="20"/>
          <w:szCs w:val="20"/>
          <w:lang w:val="es-ES" w:eastAsia="es-MX"/>
        </w:rPr>
        <w:t>agentes</w:t>
      </w:r>
      <w:proofErr w:type="gramEnd"/>
      <w:r w:rsidRPr="00957B34">
        <w:rPr>
          <w:rFonts w:ascii="Verdana" w:eastAsia="Times New Roman" w:hAnsi="Verdana" w:cs="Times New Roman"/>
          <w:strike/>
          <w:sz w:val="20"/>
          <w:szCs w:val="20"/>
          <w:lang w:val="es-ES" w:eastAsia="es-MX"/>
        </w:rPr>
        <w:t xml:space="preserve"> de seguros referida en el párrafo anterior puede ser interpretada de conformidad con la Ley de Instituciones de Seguros y de Fianzas.</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trike/>
          <w:sz w:val="20"/>
          <w:szCs w:val="20"/>
          <w:lang w:val="es-ES_tradnl" w:eastAsia="es-MX"/>
        </w:rPr>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trike/>
          <w:sz w:val="20"/>
          <w:szCs w:val="20"/>
          <w:lang w:val="es-ES_tradnl" w:eastAsia="es-MX"/>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lastRenderedPageBreak/>
        <w:tab/>
      </w:r>
      <w:r w:rsidRPr="00957B34">
        <w:rPr>
          <w:rFonts w:ascii="Verdana" w:eastAsia="Times New Roman" w:hAnsi="Verdana" w:cs="Times New Roman"/>
          <w:strike/>
          <w:sz w:val="20"/>
          <w:szCs w:val="20"/>
          <w:lang w:val="es-ES_tradnl" w:eastAsia="es-MX"/>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rsidR="00957B34" w:rsidRPr="00957B34" w:rsidRDefault="00957B34" w:rsidP="00957B34">
      <w:pPr>
        <w:spacing w:after="100" w:line="28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trike/>
          <w:sz w:val="20"/>
          <w:szCs w:val="20"/>
          <w:lang w:val="es-ES_tradnl" w:eastAsia="es-MX"/>
        </w:rPr>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7215" w:type="dxa"/>
        <w:tblInd w:w="1642" w:type="dxa"/>
        <w:tblLayout w:type="fixed"/>
        <w:tblCellMar>
          <w:left w:w="72" w:type="dxa"/>
          <w:right w:w="72" w:type="dxa"/>
        </w:tblCellMar>
        <w:tblLook w:val="04A0" w:firstRow="1" w:lastRow="0" w:firstColumn="1" w:lastColumn="0" w:noHBand="0" w:noVBand="1"/>
      </w:tblPr>
      <w:tblGrid>
        <w:gridCol w:w="1791"/>
        <w:gridCol w:w="5424"/>
      </w:tblGrid>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5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2016</w:t>
            </w:r>
          </w:p>
        </w:tc>
        <w:tc>
          <w:tcPr>
            <w:tcW w:w="55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Publicada en el Diario Oficial de la Federación el 6 de mayo de 2016. El Anexo 7 publicado en Diario Oficial de la Federación el 9 de mayo de 2016. </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 deroga en virtud de la inclusión de la regla 4.3.11., en la Segunda Resolución de Modificaciones a la RMF para 2016.</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31/IVA/N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Intereses moratorios.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15, fracción X de la Ley del IVA establece que no se pagará dicho impuesto por la prestación de servicios por los que derivan intereses, en los casos en que la misma ley señala.</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tanto, ello incluye a los intereses normales como a los intereses moratorios ya que la misma disposición no distingue ni limita dicho concepto.</w:t>
      </w:r>
    </w:p>
    <w:tbl>
      <w:tblPr>
        <w:tblW w:w="7215" w:type="dxa"/>
        <w:tblInd w:w="1642" w:type="dxa"/>
        <w:tblLayout w:type="fixed"/>
        <w:tblCellMar>
          <w:left w:w="72" w:type="dxa"/>
          <w:right w:w="72" w:type="dxa"/>
        </w:tblCellMar>
        <w:tblLook w:val="04A0" w:firstRow="1" w:lastRow="0" w:firstColumn="1" w:lastColumn="0" w:noHBand="0" w:noVBand="1"/>
      </w:tblPr>
      <w:tblGrid>
        <w:gridCol w:w="1759"/>
        <w:gridCol w:w="5456"/>
      </w:tblGrid>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w:t>
            </w:r>
          </w:p>
        </w:tc>
        <w:tc>
          <w:tcPr>
            <w:tcW w:w="56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325-A-VII-10973 de 3 de diciembre de 1996, a través del cual se hacen del conocimiento diversos criterios normativos.</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32/IVA/N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Intereses en financiamientos de actos gravados a la tasa del 0% o exentos.</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lastRenderedPageBreak/>
        <w:tab/>
      </w:r>
      <w:r w:rsidRPr="00957B34">
        <w:rPr>
          <w:rFonts w:ascii="Verdana" w:eastAsia="Times New Roman" w:hAnsi="Verdana" w:cs="Times New Roman"/>
          <w:sz w:val="20"/>
          <w:szCs w:val="20"/>
          <w:lang w:val="es-ES_tradnl" w:eastAsia="es-MX"/>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7215" w:type="dxa"/>
        <w:tblInd w:w="1642" w:type="dxa"/>
        <w:tblLayout w:type="fixed"/>
        <w:tblCellMar>
          <w:left w:w="72" w:type="dxa"/>
          <w:right w:w="72" w:type="dxa"/>
        </w:tblCellMar>
        <w:tblLook w:val="04A0" w:firstRow="1" w:lastRow="0" w:firstColumn="1" w:lastColumn="0" w:noHBand="0" w:noVBand="1"/>
      </w:tblPr>
      <w:tblGrid>
        <w:gridCol w:w="1715"/>
        <w:gridCol w:w="5500"/>
      </w:tblGrid>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7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w:t>
            </w:r>
          </w:p>
        </w:tc>
        <w:tc>
          <w:tcPr>
            <w:tcW w:w="587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325-A-VII-10960 de 14 de octubre de 1996 a través del cual se hacen de conocimiento los criterios aprobados por el Comité de Normatividad en su sesión No. 21, celebrada el 10 de octubre de 1996. </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587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Modificación</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2017</w:t>
            </w:r>
          </w:p>
        </w:tc>
        <w:tc>
          <w:tcPr>
            <w:tcW w:w="587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18 de julio de 2017, Anexo 7 publicado en el Diario Oficial de la Federación el 21 de julio de 2017.</w:t>
            </w:r>
          </w:p>
        </w:tc>
      </w:tr>
    </w:tbl>
    <w:p w:rsidR="00957B34" w:rsidRPr="00957B34" w:rsidRDefault="00957B34" w:rsidP="00957B34">
      <w:pPr>
        <w:spacing w:before="100" w:beforeAutospacing="1" w:after="100" w:line="24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33/IVA/N</w:t>
      </w:r>
      <w:r w:rsidRPr="00957B34">
        <w:rPr>
          <w:rFonts w:ascii="Verdana" w:eastAsia="Times New Roman" w:hAnsi="Verdana" w:cs="Times New Roman"/>
          <w:b/>
          <w:sz w:val="20"/>
          <w:szCs w:val="20"/>
          <w:lang w:val="es-ES" w:eastAsia="es-MX"/>
        </w:rPr>
        <w:tab/>
        <w:t>Propinas. No forman parte de la base gravable del IVA</w:t>
      </w:r>
      <w:r w:rsidRPr="00957B34">
        <w:rPr>
          <w:rFonts w:ascii="Verdana" w:eastAsia="Times New Roman" w:hAnsi="Verdana" w:cs="Times New Roman"/>
          <w:b/>
          <w:sz w:val="20"/>
          <w:szCs w:val="20"/>
          <w:lang w:val="es-ES_tradnl" w:eastAsia="es-MX"/>
        </w:rPr>
        <w:t>.</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957B34" w:rsidRPr="00957B34" w:rsidRDefault="00957B34" w:rsidP="00957B34">
      <w:pPr>
        <w:spacing w:after="100" w:line="245"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346 de la Ley Federal del Trabajo indica que las propinas son parte del salario de los trabajadores, por lo que los patrones no podrán reservarse ni tener participación alguna en ellas.</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De la interpretación armónica a los preceptos en cita se desprende que las remuneraciones que se perciben por concepto de propina no forman parte de la base gravable del IVA por la prestación de servicios; lo </w:t>
      </w:r>
      <w:r w:rsidRPr="00957B34">
        <w:rPr>
          <w:rFonts w:ascii="Verdana" w:eastAsia="Times New Roman" w:hAnsi="Verdana" w:cs="Times New Roman"/>
          <w:sz w:val="20"/>
          <w:szCs w:val="20"/>
          <w:lang w:val="es-ES_tradnl" w:eastAsia="es-MX"/>
        </w:rPr>
        <w:lastRenderedPageBreak/>
        <w:t>anterior, ya que el prestador de los servicios, el patrón, no puede reservarse participación alguna sobre las propinas al ser parte del salario de los trabajadores.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108/2004/IVA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325-SAT-IV-B-91597 de 31 de agosto de 2004, mediante el cual se emite la liberación de la primera parte del Boletín 2004.</w:t>
            </w:r>
          </w:p>
        </w:tc>
      </w:tr>
    </w:tbl>
    <w:p w:rsidR="00957B34" w:rsidRPr="00957B34" w:rsidRDefault="00957B34" w:rsidP="00957B34">
      <w:pPr>
        <w:spacing w:before="100" w:beforeAutospacing="1" w:after="100" w:line="24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34/IVA/N</w:t>
      </w:r>
      <w:r w:rsidRPr="00957B34">
        <w:rPr>
          <w:rFonts w:ascii="Verdana" w:eastAsia="Times New Roman" w:hAnsi="Verdana" w:cs="Times New Roman"/>
          <w:b/>
          <w:sz w:val="20"/>
          <w:szCs w:val="20"/>
          <w:lang w:val="es-ES" w:eastAsia="es-MX"/>
        </w:rPr>
        <w:tab/>
        <w:t>Base</w:t>
      </w:r>
      <w:r w:rsidRPr="00957B34">
        <w:rPr>
          <w:rFonts w:ascii="Verdana" w:eastAsia="Times New Roman" w:hAnsi="Verdana" w:cs="Times New Roman"/>
          <w:sz w:val="20"/>
          <w:szCs w:val="20"/>
          <w:lang w:val="es-ES" w:eastAsia="es-MX"/>
        </w:rPr>
        <w:t xml:space="preserve"> </w:t>
      </w:r>
      <w:r w:rsidRPr="00957B34">
        <w:rPr>
          <w:rFonts w:ascii="Verdana" w:eastAsia="Times New Roman" w:hAnsi="Verdana" w:cs="Times New Roman"/>
          <w:b/>
          <w:sz w:val="20"/>
          <w:szCs w:val="20"/>
          <w:lang w:val="es-ES" w:eastAsia="es-MX"/>
        </w:rPr>
        <w:t>del impuesto por la prestación del servicio de emisión de vales y monederos electrónicos</w:t>
      </w:r>
      <w:r w:rsidRPr="00957B34">
        <w:rPr>
          <w:rFonts w:ascii="Verdana" w:eastAsia="Times New Roman" w:hAnsi="Verdana" w:cs="Times New Roman"/>
          <w:b/>
          <w:sz w:val="20"/>
          <w:szCs w:val="20"/>
          <w:lang w:val="es-ES_tradnl" w:eastAsia="es-MX"/>
        </w:rPr>
        <w:t>.</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lo anterior, tratándose del servicio de emisión de vales y monederos</w:t>
      </w:r>
      <w:r w:rsidRPr="00957B34">
        <w:rPr>
          <w:rFonts w:ascii="Verdana" w:eastAsia="Times New Roman" w:hAnsi="Verdana" w:cs="Times New Roman"/>
          <w:b/>
          <w:sz w:val="20"/>
          <w:szCs w:val="20"/>
          <w:lang w:val="es-ES" w:eastAsia="es-MX"/>
        </w:rPr>
        <w:t xml:space="preserve"> </w:t>
      </w:r>
      <w:r w:rsidRPr="00957B34">
        <w:rPr>
          <w:rFonts w:ascii="Verdana" w:eastAsia="Times New Roman" w:hAnsi="Verdana" w:cs="Times New Roman"/>
          <w:sz w:val="20"/>
          <w:szCs w:val="20"/>
          <w:lang w:val="es-ES" w:eastAsia="es-MX"/>
        </w:rPr>
        <w:t>electrónicos la base, el valor, para los efectos del IVA, deberá ser el monto de la contraprestación por el servicio de emisión de vales y monederos</w:t>
      </w:r>
      <w:r w:rsidRPr="00957B34">
        <w:rPr>
          <w:rFonts w:ascii="Verdana" w:eastAsia="Times New Roman" w:hAnsi="Verdana" w:cs="Times New Roman"/>
          <w:b/>
          <w:sz w:val="20"/>
          <w:szCs w:val="20"/>
          <w:lang w:val="es-ES" w:eastAsia="es-MX"/>
        </w:rPr>
        <w:t xml:space="preserve"> </w:t>
      </w:r>
      <w:r w:rsidRPr="00957B34">
        <w:rPr>
          <w:rFonts w:ascii="Verdana" w:eastAsia="Times New Roman" w:hAnsi="Verdana" w:cs="Times New Roman"/>
          <w:sz w:val="20"/>
          <w:szCs w:val="20"/>
          <w:lang w:val="es-ES" w:eastAsia="es-MX"/>
        </w:rPr>
        <w:t>electrónicos, conocida como comisión, sin incluir el importe o valor nominal de los vales y monederos</w:t>
      </w:r>
      <w:r w:rsidRPr="00957B34">
        <w:rPr>
          <w:rFonts w:ascii="Verdana" w:eastAsia="Times New Roman" w:hAnsi="Verdana" w:cs="Times New Roman"/>
          <w:b/>
          <w:sz w:val="20"/>
          <w:szCs w:val="20"/>
          <w:lang w:val="es-ES" w:eastAsia="es-MX"/>
        </w:rPr>
        <w:t xml:space="preserve"> </w:t>
      </w:r>
      <w:r w:rsidRPr="00957B34">
        <w:rPr>
          <w:rFonts w:ascii="Verdana" w:eastAsia="Times New Roman" w:hAnsi="Verdana" w:cs="Times New Roman"/>
          <w:sz w:val="20"/>
          <w:szCs w:val="20"/>
          <w:lang w:val="es-ES" w:eastAsia="es-MX"/>
        </w:rPr>
        <w:t>electrónicos</w:t>
      </w:r>
      <w:r w:rsidRPr="00957B34">
        <w:rPr>
          <w:rFonts w:ascii="Verdana" w:eastAsia="Times New Roman" w:hAnsi="Verdana" w:cs="Times New Roman"/>
          <w:sz w:val="20"/>
          <w:szCs w:val="20"/>
          <w:lang w:val="es-ES_tradnl" w:eastAsia="es-MX"/>
        </w:rPr>
        <w:t>.</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En este sentido, para calcular la base del IVA los prestadores del servicio de emisión de vales y monederos</w:t>
      </w:r>
      <w:r w:rsidRPr="00957B34">
        <w:rPr>
          <w:rFonts w:ascii="Verdana" w:eastAsia="Times New Roman" w:hAnsi="Verdana" w:cs="Times New Roman"/>
          <w:b/>
          <w:sz w:val="20"/>
          <w:szCs w:val="20"/>
          <w:lang w:val="es-ES" w:eastAsia="es-MX"/>
        </w:rPr>
        <w:t xml:space="preserve"> </w:t>
      </w:r>
      <w:r w:rsidRPr="00957B34">
        <w:rPr>
          <w:rFonts w:ascii="Verdana" w:eastAsia="Times New Roman" w:hAnsi="Verdana" w:cs="Times New Roman"/>
          <w:sz w:val="20"/>
          <w:szCs w:val="20"/>
          <w:lang w:val="es-ES" w:eastAsia="es-MX"/>
        </w:rPr>
        <w:t>electrónicos deberán considerar como valor el total de la contraprestación pactada por la prestación del servicio de emisión de vales y monederos</w:t>
      </w:r>
      <w:r w:rsidRPr="00957B34">
        <w:rPr>
          <w:rFonts w:ascii="Verdana" w:eastAsia="Times New Roman" w:hAnsi="Verdana" w:cs="Times New Roman"/>
          <w:b/>
          <w:sz w:val="20"/>
          <w:szCs w:val="20"/>
          <w:lang w:val="es-ES" w:eastAsia="es-MX"/>
        </w:rPr>
        <w:t xml:space="preserve"> </w:t>
      </w:r>
      <w:r w:rsidRPr="00957B34">
        <w:rPr>
          <w:rFonts w:ascii="Verdana" w:eastAsia="Times New Roman" w:hAnsi="Verdana" w:cs="Times New Roman"/>
          <w:sz w:val="20"/>
          <w:szCs w:val="20"/>
          <w:lang w:val="es-ES" w:eastAsia="es-MX"/>
        </w:rPr>
        <w:t>electrónicos conocida como comisión, excluyendo el importe o valor nominal de los vales y monederos</w:t>
      </w:r>
      <w:r w:rsidRPr="00957B34">
        <w:rPr>
          <w:rFonts w:ascii="Verdana" w:eastAsia="Times New Roman" w:hAnsi="Verdana" w:cs="Times New Roman"/>
          <w:b/>
          <w:sz w:val="20"/>
          <w:szCs w:val="20"/>
          <w:lang w:val="es-ES" w:eastAsia="es-MX"/>
        </w:rPr>
        <w:t xml:space="preserve"> </w:t>
      </w:r>
      <w:r w:rsidRPr="00957B34">
        <w:rPr>
          <w:rFonts w:ascii="Verdana" w:eastAsia="Times New Roman" w:hAnsi="Verdana" w:cs="Times New Roman"/>
          <w:sz w:val="20"/>
          <w:szCs w:val="20"/>
          <w:lang w:val="es-ES" w:eastAsia="es-MX"/>
        </w:rPr>
        <w:t>electrónicos</w:t>
      </w:r>
      <w:r w:rsidRPr="00957B34">
        <w:rPr>
          <w:rFonts w:ascii="Verdana" w:eastAsia="Times New Roman" w:hAnsi="Verdana" w:cs="Times New Roman"/>
          <w:sz w:val="20"/>
          <w:szCs w:val="20"/>
          <w:lang w:val="es-ES_tradnl" w:eastAsia="es-MX"/>
        </w:rPr>
        <w:t>.</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2010</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600-04-02-2010-68009 de 26 de julio de 2010 mediante el cual se dan a conocer los criterios normativos aprobados en el primer semestre 2010. Oficio 600-04-02-2010-69707 de 17 de diciembre de 2010, a través del cual se autorizar el Boletín 2010, con el número de criterio normativo 99/2010/IVA.</w:t>
            </w:r>
          </w:p>
        </w:tc>
      </w:tr>
    </w:tbl>
    <w:p w:rsidR="00957B34" w:rsidRPr="00957B34" w:rsidRDefault="00957B34" w:rsidP="00957B34">
      <w:pPr>
        <w:spacing w:before="100" w:beforeAutospacing="1" w:after="100" w:line="24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35/IVA/N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Impuesto por la importación de servicios prestados en territorio nacional por residentes en el extranjero. Se causa cuando se dé la prestación del servicio.</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lastRenderedPageBreak/>
        <w:tab/>
        <w:t>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 primer párrafo del CFF, en su parte conducente, establece que las disposiciones de dicho ordenamiento se aplicarán en defecto de las leyes fiscales y sin perjuicio de lo dispuesto por los tratados internacionales en los que México sea parte.</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En ese sentido, el artículo 6 del CFF dispone que las contribuciones se </w:t>
      </w:r>
      <w:proofErr w:type="gramStart"/>
      <w:r w:rsidRPr="00957B34">
        <w:rPr>
          <w:rFonts w:ascii="Verdana" w:eastAsia="Times New Roman" w:hAnsi="Verdana" w:cs="Times New Roman"/>
          <w:sz w:val="20"/>
          <w:szCs w:val="20"/>
          <w:lang w:val="es-ES_tradnl" w:eastAsia="es-MX"/>
        </w:rPr>
        <w:t>causan</w:t>
      </w:r>
      <w:proofErr w:type="gramEnd"/>
      <w:r w:rsidRPr="00957B34">
        <w:rPr>
          <w:rFonts w:ascii="Verdana" w:eastAsia="Times New Roman" w:hAnsi="Verdana" w:cs="Times New Roman"/>
          <w:sz w:val="20"/>
          <w:szCs w:val="20"/>
          <w:lang w:val="es-ES_tradnl" w:eastAsia="es-MX"/>
        </w:rPr>
        <w:t xml:space="preserve"> conforme se realizan las situaciones jurídicas o de hecho, previstas en las leyes fiscales vigentes durante el lapso en que ocurran.</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Así, aplicando lo dispuesto por el artículo 6 del CFF, el gravamen se causa cuando, en términos de lo previsto por el artículo 24, fracción </w:t>
      </w:r>
      <w:r w:rsidRPr="00957B34">
        <w:rPr>
          <w:rFonts w:ascii="Verdana" w:eastAsia="Times New Roman" w:hAnsi="Verdana" w:cs="Times New Roman"/>
          <w:sz w:val="20"/>
          <w:szCs w:val="20"/>
          <w:lang w:val="es-ES" w:eastAsia="es-MX"/>
        </w:rPr>
        <w:t>V</w:t>
      </w:r>
      <w:r w:rsidRPr="00957B34">
        <w:rPr>
          <w:rFonts w:ascii="Verdana" w:eastAsia="Times New Roman" w:hAnsi="Verdana" w:cs="Times New Roman"/>
          <w:sz w:val="20"/>
          <w:szCs w:val="20"/>
          <w:lang w:val="es-ES_tradnl" w:eastAsia="es-MX"/>
        </w:rPr>
        <w:t xml:space="preserve"> de la Ley del IVA, se aprovechen en territorio nacional los servicios prestados por el residente en el extranjero.</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De una interpretación armónica de los artículos 24, fracción </w:t>
      </w:r>
      <w:r w:rsidRPr="00957B34">
        <w:rPr>
          <w:rFonts w:ascii="Verdana" w:eastAsia="Times New Roman" w:hAnsi="Verdana" w:cs="Times New Roman"/>
          <w:sz w:val="20"/>
          <w:szCs w:val="20"/>
          <w:lang w:val="es-ES" w:eastAsia="es-MX"/>
        </w:rPr>
        <w:t>V</w:t>
      </w:r>
      <w:r w:rsidRPr="00957B34">
        <w:rPr>
          <w:rFonts w:ascii="Verdana" w:eastAsia="Times New Roman" w:hAnsi="Verdana" w:cs="Times New Roman"/>
          <w:sz w:val="20"/>
          <w:szCs w:val="20"/>
          <w:lang w:val="es-ES_tradnl" w:eastAsia="es-MX"/>
        </w:rPr>
        <w:t xml:space="preserve"> de la Ley del IVA, así como 1 y 6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136/2004/IVA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325-SAT-IV-B-92423 de 17 de diciembre de 2004, mediante el cual se emite la Primera Modificación a la compilación de criterios normativos, Boletín 2004.</w:t>
            </w:r>
          </w:p>
        </w:tc>
      </w:tr>
    </w:tbl>
    <w:p w:rsidR="00957B34" w:rsidRPr="00957B34" w:rsidRDefault="00957B34" w:rsidP="00957B34">
      <w:pPr>
        <w:spacing w:before="100" w:beforeAutospacing="1" w:after="100" w:line="243"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36/IVA/N</w:t>
      </w:r>
      <w:r w:rsidRPr="00957B34">
        <w:rPr>
          <w:rFonts w:ascii="Verdana" w:eastAsia="Times New Roman" w:hAnsi="Verdana" w:cs="Times New Roman"/>
          <w:b/>
          <w:sz w:val="20"/>
          <w:szCs w:val="20"/>
          <w:lang w:val="es-ES" w:eastAsia="es-MX"/>
        </w:rPr>
        <w:tab/>
        <w:t>Está exenta la importación de mercancías gravadas a la tasa del 0%.</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_tradnl" w:eastAsia="es-MX"/>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El artículo 2-A del citado ordenamiento señala diversos bienes y servicios cuya enajenación o prestación en territorio nacional están </w:t>
      </w:r>
      <w:proofErr w:type="gramStart"/>
      <w:r w:rsidRPr="00957B34">
        <w:rPr>
          <w:rFonts w:ascii="Verdana" w:eastAsia="Times New Roman" w:hAnsi="Verdana" w:cs="Times New Roman"/>
          <w:sz w:val="20"/>
          <w:szCs w:val="20"/>
          <w:lang w:val="es-ES_tradnl" w:eastAsia="es-MX"/>
        </w:rPr>
        <w:t>gravados</w:t>
      </w:r>
      <w:proofErr w:type="gramEnd"/>
      <w:r w:rsidRPr="00957B34">
        <w:rPr>
          <w:rFonts w:ascii="Verdana" w:eastAsia="Times New Roman" w:hAnsi="Verdana" w:cs="Times New Roman"/>
          <w:sz w:val="20"/>
          <w:szCs w:val="20"/>
          <w:lang w:val="es-ES_tradnl" w:eastAsia="es-MX"/>
        </w:rPr>
        <w:t xml:space="preserve"> con la tasa 0%, en la cual no se establece dicha tasa para la importación de los referidos bienes o servicios.</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w:t>
      </w:r>
      <w:r w:rsidRPr="00957B34">
        <w:rPr>
          <w:rFonts w:ascii="Verdana" w:eastAsia="Times New Roman" w:hAnsi="Verdana" w:cs="Times New Roman"/>
          <w:sz w:val="20"/>
          <w:szCs w:val="20"/>
          <w:lang w:val="es-ES_tradnl" w:eastAsia="es-MX"/>
        </w:rPr>
        <w:lastRenderedPageBreak/>
        <w:t>podrán importar sin el pago del citado impuesto y no para efectos de aplicar la tasa 0%.</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39/2003/LA</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Compilación de Criterios Normativos, Boletín Electrónico octubre 2003, Tomo III.</w:t>
            </w:r>
          </w:p>
        </w:tc>
      </w:tr>
    </w:tbl>
    <w:p w:rsidR="00957B34" w:rsidRPr="00957B34" w:rsidRDefault="00957B34" w:rsidP="00957B34">
      <w:pPr>
        <w:spacing w:before="100" w:beforeAutospacing="1" w:after="100" w:line="243"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37/IVA/N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Disposición aplicable para determinar las importaciones de oro por las cuales no se pagará IVA.</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25, fracción III de la Ley del IVA establece que no se pagará dicho impuesto en la importación de bienes cuya enajenación en el país no dé lugar al pago del mismo o, esté afecto a la tasa del 0%.</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otra parte, la fracción VII del mencionado artículo 25, exenta la importación de oro cuyo contenido mínimo sea del 80%, sin ninguna condicionante.</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5.2.6.</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102-SAT-13 de 4 de julio de 1997, a través del cual se emite la Compilación de Normatividad Sustantiva de Impuestos Internos.</w:t>
            </w:r>
          </w:p>
        </w:tc>
      </w:tr>
    </w:tbl>
    <w:p w:rsidR="00957B34" w:rsidRPr="00957B34" w:rsidRDefault="00957B34" w:rsidP="00957B34">
      <w:pPr>
        <w:spacing w:before="100" w:beforeAutospacing="1" w:after="100" w:line="26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38/IVA/N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Pago y acreditamiento del IVA por importaciones, cuando las actividades del importador estén gravadas a la tasa del 0%.</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 xml:space="preserve">De conformidad con lo dispuesto en los artículos 28 de la Ley del IVA y 55 de su Reglamento, tratándose de la importación de bienes tangibles, el pago tendrá el carácter de provisional y se hará </w:t>
      </w:r>
      <w:r w:rsidRPr="00957B34">
        <w:rPr>
          <w:rFonts w:ascii="Verdana" w:eastAsia="Times New Roman" w:hAnsi="Verdana" w:cs="Times New Roman"/>
          <w:sz w:val="20"/>
          <w:szCs w:val="20"/>
          <w:lang w:val="es-ES_tradnl" w:eastAsia="es-MX"/>
        </w:rPr>
        <w:lastRenderedPageBreak/>
        <w:t>conjuntamente con el del impuesto general de importación, utilizando la forma por medio de la cual se efectúe el pago de éste último.</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Tratándose de las empresas que importan maquinaria y equipo no producidos en el país, para el desarrollo de las funciones propias de su actividad, deberán pagar el IVA que les corresponda, pudiendo acreditarlo en los términos y con los requisitos que establecen los artículos 4 y 5 de la ley de la materia, independientemente de que las actividades del importador se encuentren gravadas a la tasa del 0%.</w:t>
      </w:r>
    </w:p>
    <w:tbl>
      <w:tblPr>
        <w:tblW w:w="7215" w:type="dxa"/>
        <w:tblInd w:w="1642" w:type="dxa"/>
        <w:tblLayout w:type="fixed"/>
        <w:tblCellMar>
          <w:left w:w="72" w:type="dxa"/>
          <w:right w:w="72" w:type="dxa"/>
        </w:tblCellMar>
        <w:tblLook w:val="04A0" w:firstRow="1" w:lastRow="0" w:firstColumn="1" w:lastColumn="0" w:noHBand="0" w:noVBand="1"/>
      </w:tblPr>
      <w:tblGrid>
        <w:gridCol w:w="1899"/>
        <w:gridCol w:w="5316"/>
      </w:tblGrid>
      <w:tr w:rsidR="00957B34" w:rsidRPr="00957B34" w:rsidTr="00957B34">
        <w:trPr>
          <w:trHeight w:val="20"/>
        </w:trPr>
        <w:tc>
          <w:tcPr>
            <w:tcW w:w="195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5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V/95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Boletín de Normatividad 1 mayo-junio de 1995.</w:t>
            </w:r>
          </w:p>
        </w:tc>
      </w:tr>
    </w:tbl>
    <w:p w:rsidR="00957B34" w:rsidRPr="00957B34" w:rsidRDefault="00957B34" w:rsidP="00957B34">
      <w:pPr>
        <w:spacing w:before="100" w:beforeAutospacing="1" w:after="100" w:line="26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39/IVA/N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Tasa del 0% del IVA. Resulta aplicable y no se pagará el IEPS, cuando las mercancías nacionales sean destinadas al régimen de depósito fiscal para su exposición y venta en las tiendas denominadas “Duty Free”.</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 xml:space="preserve">El artículo 29, fracción I de la Ley del IVA, dispone que las empresas residentes en el país </w:t>
      </w:r>
      <w:proofErr w:type="gramStart"/>
      <w:r w:rsidRPr="00957B34">
        <w:rPr>
          <w:rFonts w:ascii="Verdana" w:eastAsia="Times New Roman" w:hAnsi="Verdana" w:cs="Times New Roman"/>
          <w:sz w:val="20"/>
          <w:szCs w:val="20"/>
          <w:lang w:val="es-ES_tradnl" w:eastAsia="es-MX"/>
        </w:rPr>
        <w:t>calcularán</w:t>
      </w:r>
      <w:proofErr w:type="gramEnd"/>
      <w:r w:rsidRPr="00957B34">
        <w:rPr>
          <w:rFonts w:ascii="Verdana" w:eastAsia="Times New Roman" w:hAnsi="Verdana" w:cs="Times New Roman"/>
          <w:sz w:val="20"/>
          <w:szCs w:val="20"/>
          <w:lang w:val="es-ES_tradnl" w:eastAsia="es-MX"/>
        </w:rPr>
        <w:t xml:space="preserve"> dicho impuesto aplicando la tasa 0% al valor de la enajenación de los bienes cuando estos se exporten de manera definitiva en términos de la Ley Aduanera.</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119, último párrafo de la Ley Aduanera establece que se entenderá que las mercancías nacionales fueron exportadas definitivamente cuando queden en depósito fiscal.</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tanto, la mercancía nacional que sea destinada al régimen de depósito fiscal para su exposición y venta en las tiendas denominadas “Duty Free”, se sujetará a la tasa del 0% de IVA y, en su caso, no se pagará el IEPS, conforme a lo dispuesto en el artículo 8, fracción II de la Ley del IEPS.</w:t>
      </w:r>
    </w:p>
    <w:tbl>
      <w:tblPr>
        <w:tblW w:w="7215" w:type="dxa"/>
        <w:tblInd w:w="1642" w:type="dxa"/>
        <w:tblLayout w:type="fixed"/>
        <w:tblCellMar>
          <w:left w:w="72" w:type="dxa"/>
          <w:right w:w="72" w:type="dxa"/>
        </w:tblCellMar>
        <w:tblLook w:val="04A0" w:firstRow="1" w:lastRow="0" w:firstColumn="1" w:lastColumn="0" w:noHBand="0" w:noVBand="1"/>
      </w:tblPr>
      <w:tblGrid>
        <w:gridCol w:w="1899"/>
        <w:gridCol w:w="5316"/>
      </w:tblGrid>
      <w:tr w:rsidR="00957B34" w:rsidRPr="00957B34" w:rsidTr="00957B34">
        <w:trPr>
          <w:trHeight w:val="20"/>
        </w:trPr>
        <w:tc>
          <w:tcPr>
            <w:tcW w:w="195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5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30/2003/IVA-IEPS</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Compilación de Criterios Normativos, Boletín Electrónico octubre 2003, Tomo III.</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40/IVA/N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Seguros. Vehículos de residentes en el extranjero que ingresan temporalmente al país.</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En el caso de servicios de cobertura de seguros en el ramo de automóviles a residentes en el extranjero que ingresan temporalmente a territorio nacional a bordo de sus vehículos, se ampara al vehículo </w:t>
      </w:r>
      <w:r w:rsidRPr="00957B34">
        <w:rPr>
          <w:rFonts w:ascii="Verdana" w:eastAsia="Times New Roman" w:hAnsi="Verdana" w:cs="Times New Roman"/>
          <w:sz w:val="20"/>
          <w:szCs w:val="20"/>
          <w:lang w:val="es-ES_tradnl" w:eastAsia="es-MX"/>
        </w:rPr>
        <w:lastRenderedPageBreak/>
        <w:t>exclusivamente durante su estancia en territorio nacional, es decir, el seguro de referencia rige sólo durante el tiempo en el que el vehículo circule en el país, y es en este tiempo cuando el asegurado recibe los beneficios.</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7215" w:type="dxa"/>
        <w:tblInd w:w="1642" w:type="dxa"/>
        <w:tblLayout w:type="fixed"/>
        <w:tblCellMar>
          <w:left w:w="72" w:type="dxa"/>
          <w:right w:w="72" w:type="dxa"/>
        </w:tblCellMar>
        <w:tblLook w:val="04A0" w:firstRow="1" w:lastRow="0" w:firstColumn="1" w:lastColumn="0" w:noHBand="0" w:noVBand="1"/>
      </w:tblPr>
      <w:tblGrid>
        <w:gridCol w:w="1791"/>
        <w:gridCol w:w="5424"/>
      </w:tblGrid>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5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5.5.2.</w:t>
            </w:r>
          </w:p>
        </w:tc>
        <w:tc>
          <w:tcPr>
            <w:tcW w:w="55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102-SAT-13 de 4 de julio de 1997, a través del cual se emite la Compilación de Normatividad Sustantiva de Impuestos Internos.</w:t>
            </w:r>
          </w:p>
        </w:tc>
      </w:tr>
    </w:tbl>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41/IVA/N</w:t>
      </w:r>
      <w:r w:rsidRPr="00957B34">
        <w:rPr>
          <w:rFonts w:ascii="Verdana" w:eastAsia="Times New Roman" w:hAnsi="Verdana" w:cs="Times New Roman"/>
          <w:b/>
          <w:sz w:val="20"/>
          <w:szCs w:val="20"/>
          <w:lang w:val="es-ES" w:eastAsia="es-MX"/>
        </w:rPr>
        <w:tab/>
        <w:t>En la enajenación de artículos puestos a bordo de aeronaves. Aplicación del Convenio sobre Transportes Aéreos entre el Gobierno de los Estados Unidos Mexicanos y el Gobierno de los Estados Unidos de América y otros equivalentes. (Se deroga)</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sz w:val="20"/>
          <w:szCs w:val="20"/>
          <w:lang w:val="es-ES" w:eastAsia="es-MX"/>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rsidR="00957B34" w:rsidRPr="00957B34" w:rsidRDefault="00957B34" w:rsidP="00957B34">
      <w:pPr>
        <w:spacing w:after="100" w:line="249"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 w:eastAsia="es-MX"/>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strike/>
          <w:sz w:val="20"/>
          <w:szCs w:val="20"/>
          <w:lang w:val="es-ES" w:eastAsia="es-MX"/>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7215" w:type="dxa"/>
        <w:tblInd w:w="1642" w:type="dxa"/>
        <w:tblLayout w:type="fixed"/>
        <w:tblCellMar>
          <w:left w:w="72" w:type="dxa"/>
          <w:right w:w="72" w:type="dxa"/>
        </w:tblCellMar>
        <w:tblLook w:val="04A0" w:firstRow="1" w:lastRow="0" w:firstColumn="1" w:lastColumn="0" w:noHBand="0" w:noVBand="1"/>
      </w:tblPr>
      <w:tblGrid>
        <w:gridCol w:w="1698"/>
        <w:gridCol w:w="5517"/>
      </w:tblGrid>
      <w:tr w:rsidR="00957B34" w:rsidRPr="00957B34" w:rsidTr="00957B34">
        <w:trPr>
          <w:trHeight w:val="20"/>
        </w:trPr>
        <w:tc>
          <w:tcPr>
            <w:tcW w:w="175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70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5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2012</w:t>
            </w:r>
          </w:p>
        </w:tc>
        <w:tc>
          <w:tcPr>
            <w:tcW w:w="570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0ficio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957B34" w:rsidRPr="00957B34" w:rsidTr="00957B34">
        <w:trPr>
          <w:trHeight w:val="20"/>
        </w:trPr>
        <w:tc>
          <w:tcPr>
            <w:tcW w:w="175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570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75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2017</w:t>
            </w:r>
          </w:p>
        </w:tc>
        <w:tc>
          <w:tcPr>
            <w:tcW w:w="570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10 de octubre de 2017, Anexo 7 publicado en Diario Oficial de la Federación el 12 de octubre de 2017.</w:t>
            </w:r>
          </w:p>
        </w:tc>
      </w:tr>
      <w:tr w:rsidR="00957B34" w:rsidRPr="00957B34" w:rsidTr="00957B34">
        <w:trPr>
          <w:trHeight w:val="20"/>
        </w:trPr>
        <w:tc>
          <w:tcPr>
            <w:tcW w:w="7451"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451"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rsidR="00957B34" w:rsidRPr="00957B34" w:rsidRDefault="00957B34" w:rsidP="00957B34">
      <w:pPr>
        <w:spacing w:before="100" w:beforeAutospacing="1" w:after="100" w:line="26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42/IVA/IEPS/N</w:t>
      </w:r>
      <w:r w:rsidRPr="00957B34">
        <w:rPr>
          <w:rFonts w:ascii="Verdana" w:eastAsia="Times New Roman" w:hAnsi="Verdana" w:cs="Times New Roman"/>
          <w:b/>
          <w:sz w:val="20"/>
          <w:szCs w:val="20"/>
          <w:lang w:val="es-ES" w:eastAsia="es-MX"/>
        </w:rPr>
        <w:tab/>
        <w:t>Impuestos trasladados. Cuando el contribuyente los pague sin haber realizado el cargo o cobro correspondiente al sujeto económico, podrá obtener beneficios legales sin las exclusiones aplicables a dichos impuestos.</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Del análisis a las disposiciones resumidas en los párrafos anteriores se desprende que los contribuyentes tienen la obligación de realizar el traslado del impuesto en los términos que establecen las propias leyes </w:t>
      </w:r>
      <w:r w:rsidRPr="00957B34">
        <w:rPr>
          <w:rFonts w:ascii="Verdana" w:eastAsia="Times New Roman" w:hAnsi="Verdana" w:cs="Times New Roman"/>
          <w:sz w:val="20"/>
          <w:szCs w:val="20"/>
          <w:lang w:val="es-ES" w:eastAsia="es-MX"/>
        </w:rPr>
        <w:lastRenderedPageBreak/>
        <w:t>toda vez que de no hacerlo, el pago de las contribuciones deberá realizarse directamente o con cargo al patrimonio del contribuyente.</w:t>
      </w:r>
    </w:p>
    <w:p w:rsidR="00957B34" w:rsidRPr="00957B34" w:rsidRDefault="00957B34" w:rsidP="00957B34">
      <w:pPr>
        <w:spacing w:after="100" w:line="26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14 de mayo de 2015, Anexo 7, publicado en el Diario Oficial de la Federación el 21 de mayo de 2015.</w:t>
            </w:r>
          </w:p>
        </w:tc>
      </w:tr>
    </w:tbl>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43/IVA/N</w:t>
      </w:r>
      <w:r w:rsidRPr="00957B34">
        <w:rPr>
          <w:rFonts w:ascii="Verdana" w:eastAsia="Times New Roman" w:hAnsi="Verdana" w:cs="Times New Roman"/>
          <w:b/>
          <w:sz w:val="20"/>
          <w:szCs w:val="20"/>
          <w:lang w:val="es-ES" w:eastAsia="es-MX"/>
        </w:rPr>
        <w:tab/>
        <w:t>Enajenación de sal tasa aplicable en IVA.</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2-A, fracción I, inciso b), numeral 4 de la Ley del IVA, establece que se calculará el impuesto aplicando la tasa del 0%, a la enajenación de productos destinados a la alimentación con excepción de los aditivos alimenticios.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Según sus características se define a la sal, como un producto constituido por cloruro de sodio y que proviene exclusivamente de fuentes naturales.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Este criterio no aplica a la sal para uso industrial no alimenticio prevista en el artículo 3.28 de la NOM-040-SSA1-1993.</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2018</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22 de diciembre de 2017, Anexo 7, publicado en el Diario Oficial de la Federación el 29 de diciembre de 2017.</w:t>
            </w:r>
          </w:p>
        </w:tc>
      </w:tr>
    </w:tbl>
    <w:p w:rsidR="00957B34" w:rsidRPr="00957B34" w:rsidRDefault="00957B34" w:rsidP="00957B34">
      <w:pPr>
        <w:spacing w:before="100" w:beforeAutospacing="1" w:after="100" w:line="24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 </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44/IVA/N</w:t>
      </w:r>
      <w:r w:rsidRPr="00957B34">
        <w:rPr>
          <w:rFonts w:ascii="Verdana" w:eastAsia="Times New Roman" w:hAnsi="Verdana" w:cs="Times New Roman"/>
          <w:b/>
          <w:sz w:val="20"/>
          <w:szCs w:val="20"/>
          <w:lang w:val="es-ES" w:eastAsia="es-MX"/>
        </w:rPr>
        <w:tab/>
        <w:t>Rollos de película o acolchados plásticos. No son herbicidas ni plaguicidas.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2-A, fracción I, inciso f), de la Ley del IVA, establece que se aplicará la tasa del 0% del impuesto en la enajenación de herbicidas, entre otros productos, siempre que estén destinados para ser utilizados en la agricultura.</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5, primer párrafo del CFF, establece que las disposiciones fiscales que establezcan cargas a los particulares son de aplicación estricta, considerando que establecen cargas las normas que se refieren al sujeto, objeto, base, tasa o tarifa.</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molusquicidas, nematicidas y rodenticidas”.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rsidR="00957B34" w:rsidRPr="00957B34" w:rsidRDefault="00957B34" w:rsidP="00957B34">
      <w:pPr>
        <w:spacing w:after="100" w:line="24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“XLI. Plaguicida de uso agrícola, el plaguicida formulado de uso directo en vegetales que se destina a prevenir, repeler, combatir y destruir los organismos biológicos nocivos a estos;”</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lastRenderedPageBreak/>
        <w:tab/>
        <w:t>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lo tanto, la enajenación de rollos de película o acolchados de plástico para uso agrícola, se encuentra afecta a la tasa general del IVA, por no ubicarse en el supuesto a que se refiere el artículo 2-A, fracción I, inciso f), de la Ley del IVA.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Tercera Resolución de Modificaciones a la RMF para 2018</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19 de octubre de 2018, Anexo 7, publicado en la misma fecha de la Modificación.</w:t>
            </w:r>
          </w:p>
        </w:tc>
      </w:tr>
    </w:tbl>
    <w:p w:rsidR="00957B34" w:rsidRPr="00957B34" w:rsidRDefault="00957B34" w:rsidP="00957B34">
      <w:pPr>
        <w:spacing w:before="100" w:beforeAutospacing="1" w:after="100" w:line="24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 </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45/IVA/N</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b/>
          <w:sz w:val="20"/>
          <w:szCs w:val="20"/>
          <w:lang w:val="es-ES" w:eastAsia="es-MX"/>
        </w:rPr>
        <w:t>Acreditamiento del IVA tratándose de contribuyentes que obtengan ingresos por actividades distintas de las establecidas en el artículo 1 de la Ley del IVA.</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El artículo 5, fracción I de la Ley del IVA establece que para que sea acreditable el impuesto trasladado o el pagado en la importación, éste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rsidR="00957B34" w:rsidRPr="00957B34" w:rsidRDefault="00957B34" w:rsidP="00957B34">
      <w:pPr>
        <w:spacing w:after="100" w:line="24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su parte, la fracción V, incisos c) y d), numeral 3 del citado artículo, establece que cuando se esté obligado al pago del IVA o cuando sea aplicable la tasa de 0%, sólo por 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acreditamiento procederá únicamente en la proporción en la que el valor de las actividades por las que deba pagarse el IVA o a las que se aplique la tasa de 0%, represente en el valor total de las actividades mencionadas que el contribuyente realice en el mes de que se trate.</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lastRenderedPageBreak/>
        <w:tab/>
        <w:t>En la Ley del IVA no se establece el procedimiento para determinar el IVA acreditable cuando, además de las actividades mencionadas en el párrafo anterior, los contribuyentes obtienen ingresos por actos o actividades diferentes a los establecidos en el artículo 1 de la Ley del IVA, para cuya realización y obtención efectuaron gastos e inversiones que destinaron indistintamente a las mismas.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 de la Ley del IVA, de manera que la acreditación guarde relación exclusivamente con el valor de las actividades gravadas que se realicen por las que se deba pagar el impuesto o se encuentren gravadas a la tasa del 0%, toda vez que esa es la finalidad del régimen previsto en el inciso c) de la fracción V del artículo 5 de la Ley del IVA.</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Conforme a lo anterior, cuando los contribuyentes realicen actos o actividades por los que se deba pagar el IVA o les sea aplicable la tasa del 0%, obtengan ingresos por actos o actividades diferentes a los establecidos en el artículo 1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 fracción V, incisos c) y d), numeral 3, de la Ley del IVA, considerando en el valor total de las actividades, los ingresos por actos o actividades diferentes a los establecidos en el artículo 1 de la citada Ley.</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2018</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30 de noviembre de 2018, Anexo 7, publicado en el Diario Oficial de la Federación el mismo 30 de noviembre de 2018.</w:t>
            </w:r>
          </w:p>
        </w:tc>
      </w:tr>
    </w:tbl>
    <w:p w:rsidR="00957B34" w:rsidRPr="00957B34" w:rsidRDefault="00957B34" w:rsidP="00957B34">
      <w:pPr>
        <w:spacing w:before="100" w:beforeAutospacing="1" w:after="100" w:line="23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 </w:t>
      </w:r>
    </w:p>
    <w:p w:rsidR="00957B34" w:rsidRPr="00957B34" w:rsidRDefault="00957B34" w:rsidP="00957B34">
      <w:pPr>
        <w:spacing w:before="100" w:beforeAutospacing="1" w:after="100" w:line="236"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D. Criterios de la Ley del IEPS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1/IEPS/N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Enajenaciones subsecuentes de alcohol o alcohol desnaturalizado. Las personas que las efectúan, son contribuyentes del IEPS.</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 xml:space="preserve">El artículo 1 de la Ley del IEPS dispone que </w:t>
      </w:r>
      <w:proofErr w:type="gramStart"/>
      <w:r w:rsidRPr="00957B34">
        <w:rPr>
          <w:rFonts w:ascii="Verdana" w:eastAsia="Times New Roman" w:hAnsi="Verdana" w:cs="Times New Roman"/>
          <w:sz w:val="20"/>
          <w:szCs w:val="20"/>
          <w:lang w:val="es-ES_tradnl" w:eastAsia="es-MX"/>
        </w:rPr>
        <w:t>están</w:t>
      </w:r>
      <w:proofErr w:type="gramEnd"/>
      <w:r w:rsidRPr="00957B34">
        <w:rPr>
          <w:rFonts w:ascii="Verdana" w:eastAsia="Times New Roman" w:hAnsi="Verdana" w:cs="Times New Roman"/>
          <w:sz w:val="20"/>
          <w:szCs w:val="20"/>
          <w:lang w:val="es-ES_tradnl" w:eastAsia="es-MX"/>
        </w:rPr>
        <w:t xml:space="preserve"> obligadas al pago del impuesto, las personas físicas y las morales que en territorio nacional enajenen los bienes señalados en dicha ley.</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Al respecto el artículo 2, fracción I, inciso B) de la misma ley, señala que en el caso de enajenación o, en su caso, de importación de alcohol, alcohol desnaturalizado y mieles incristalizables se aplicará la tasa del 50%.</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 xml:space="preserve">Bajo este esquema, conforme a lo dispuesto por los artículos 1 y 2 fracción I, inciso B) de la ley en cita, quienes efectúen la enajenación </w:t>
      </w:r>
      <w:r w:rsidRPr="00957B34">
        <w:rPr>
          <w:rFonts w:ascii="Verdana" w:eastAsia="Times New Roman" w:hAnsi="Verdana" w:cs="Times New Roman"/>
          <w:sz w:val="20"/>
          <w:szCs w:val="20"/>
          <w:lang w:val="es-ES_tradnl" w:eastAsia="es-MX"/>
        </w:rPr>
        <w:lastRenderedPageBreak/>
        <w:t>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rsidR="00957B34" w:rsidRPr="00957B34" w:rsidRDefault="00957B34" w:rsidP="00957B34">
      <w:pPr>
        <w:spacing w:after="100" w:line="23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Lo anterior es sin perjuicio de que dichas enajenaciones estén exentas cuando los contribuyentes cumplan con las obligaciones establecidas en el inciso e) de la fracción I del artículo 8 de la Ley citada que les resulten aplicables.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139/2004/IEPS</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325-SAT-IV-B-92423 de 17 de diciembre de 2004 mediante el cual se emite la Primera Modificación a la compilación de criterios normativos, Boletín 2004.</w:t>
            </w:r>
          </w:p>
        </w:tc>
      </w:tr>
    </w:tbl>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2/IEPS/N</w:t>
      </w:r>
      <w:r w:rsidRPr="00957B34">
        <w:rPr>
          <w:rFonts w:ascii="Verdana" w:eastAsia="Times New Roman" w:hAnsi="Verdana" w:cs="Times New Roman"/>
          <w:b/>
          <w:sz w:val="20"/>
          <w:szCs w:val="20"/>
          <w:lang w:val="es-ES" w:eastAsia="es-MX"/>
        </w:rPr>
        <w:tab/>
        <w:t>Plaguicidas. Acreditamiento de la categoría de peligro de toxicidad aguda de los plaguicidas.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 Plaguicidas, Nutrientes Vegetales y Sustancias y Materiales Tóxicos o Peligrosos.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rsidR="00957B34" w:rsidRPr="00957B34" w:rsidRDefault="00957B34" w:rsidP="00957B34">
      <w:pPr>
        <w:spacing w:before="100" w:beforeAutospacing="1" w:after="100"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3/IEPS/N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Todos los tipos de gasolina que se importen, pagan el IEPS aún la de 100 a 115 octanos, utilizada solamente para vehículos deportivos especiales de carreras.</w:t>
      </w:r>
      <w:r w:rsidRPr="00957B34">
        <w:rPr>
          <w:rFonts w:ascii="Verdana" w:eastAsia="Times New Roman" w:hAnsi="Verdana" w:cs="Times New Roman"/>
          <w:b/>
          <w:sz w:val="20"/>
          <w:szCs w:val="20"/>
          <w:lang w:val="es-ES" w:eastAsia="es-MX"/>
        </w:rPr>
        <w:t xml:space="preserve"> (Se deroga)</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trike/>
          <w:sz w:val="20"/>
          <w:szCs w:val="20"/>
          <w:lang w:val="es-ES_tradnl" w:eastAsia="es-MX"/>
        </w:rPr>
        <w:t>El artículo 2, fracción I, inciso D) de la Ley del IEPS, estipula que pagarán el IEPS todas las personas físicas o morales que enajenen o importen, en definitiva, a territorio nacional gasolinas.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trike/>
          <w:sz w:val="20"/>
          <w:szCs w:val="20"/>
          <w:lang w:val="es-ES" w:eastAsia="es-MX"/>
        </w:rPr>
        <w:t>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7215" w:type="dxa"/>
        <w:tblInd w:w="1642" w:type="dxa"/>
        <w:tblLayout w:type="fixed"/>
        <w:tblCellMar>
          <w:left w:w="72" w:type="dxa"/>
          <w:right w:w="72" w:type="dxa"/>
        </w:tblCellMar>
        <w:tblLook w:val="04A0" w:firstRow="1" w:lastRow="0" w:firstColumn="1" w:lastColumn="0" w:noHBand="0" w:noVBand="1"/>
      </w:tblPr>
      <w:tblGrid>
        <w:gridCol w:w="1451"/>
        <w:gridCol w:w="5764"/>
      </w:tblGrid>
      <w:tr w:rsidR="00957B34" w:rsidRPr="00957B34" w:rsidTr="00957B34">
        <w:trPr>
          <w:trHeight w:val="20"/>
        </w:trPr>
        <w:tc>
          <w:tcPr>
            <w:tcW w:w="149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95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49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32/2003/IEPS</w:t>
            </w:r>
          </w:p>
        </w:tc>
        <w:tc>
          <w:tcPr>
            <w:tcW w:w="595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Compilación de Criterios Normativos, Boletín Electrónico octubre 2003, Tomo III.</w:t>
            </w:r>
          </w:p>
        </w:tc>
      </w:tr>
      <w:tr w:rsidR="00957B34" w:rsidRPr="00957B34" w:rsidTr="00957B34">
        <w:trPr>
          <w:trHeight w:val="20"/>
        </w:trPr>
        <w:tc>
          <w:tcPr>
            <w:tcW w:w="149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595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49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2016</w:t>
            </w:r>
          </w:p>
        </w:tc>
        <w:tc>
          <w:tcPr>
            <w:tcW w:w="595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2015. Anexo 7 publicado en Diario Oficial de la Federación el 12 de enero de 2016.</w:t>
            </w:r>
          </w:p>
        </w:tc>
      </w:tr>
      <w:tr w:rsidR="00957B34" w:rsidRPr="00957B34" w:rsidTr="00957B34">
        <w:trPr>
          <w:trHeight w:val="20"/>
        </w:trPr>
        <w:tc>
          <w:tcPr>
            <w:tcW w:w="7451"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451"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Reforma del artículo 2, fracción I, inciso D), de la Ley del IEPS, publicada el 18 de noviembre de 2015.</w:t>
            </w:r>
          </w:p>
        </w:tc>
      </w:tr>
    </w:tbl>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4/IEPS/N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Base gravable del IEPS. No debe ser considerado el derecho de trámite aduanero exento.</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Lo anterior, toda vez que de conformidad con lo establecido en el artículo 5 del CFF, las disposiciones fiscales que se refieran a la base del impuesto, son de aplicación estricta.</w:t>
      </w:r>
    </w:p>
    <w:tbl>
      <w:tblPr>
        <w:tblW w:w="7215" w:type="dxa"/>
        <w:tblInd w:w="1642" w:type="dxa"/>
        <w:tblLayout w:type="fixed"/>
        <w:tblCellMar>
          <w:left w:w="72" w:type="dxa"/>
          <w:right w:w="72" w:type="dxa"/>
        </w:tblCellMar>
        <w:tblLook w:val="04A0" w:firstRow="1" w:lastRow="0" w:firstColumn="1" w:lastColumn="0" w:noHBand="0" w:noVBand="1"/>
      </w:tblPr>
      <w:tblGrid>
        <w:gridCol w:w="1819"/>
        <w:gridCol w:w="5396"/>
      </w:tblGrid>
      <w:tr w:rsidR="00957B34" w:rsidRPr="00957B34" w:rsidTr="00957B34">
        <w:trPr>
          <w:trHeight w:val="20"/>
        </w:trPr>
        <w:tc>
          <w:tcPr>
            <w:tcW w:w="195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3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95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21/2002/IEPS</w:t>
            </w:r>
          </w:p>
        </w:tc>
        <w:tc>
          <w:tcPr>
            <w:tcW w:w="583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325-SAT-A-31676 de 24 de mayo de 2002.</w:t>
            </w:r>
          </w:p>
        </w:tc>
      </w:tr>
    </w:tbl>
    <w:p w:rsidR="00957B34" w:rsidRPr="00957B34" w:rsidRDefault="00957B34" w:rsidP="00957B34">
      <w:pPr>
        <w:spacing w:before="100" w:beforeAutospacing="1" w:after="100" w:line="25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5/IEPS/N</w:t>
      </w:r>
      <w:r w:rsidRPr="00957B34">
        <w:rPr>
          <w:rFonts w:ascii="Verdana" w:eastAsia="Times New Roman" w:hAnsi="Verdana" w:cs="Times New Roman"/>
          <w:b/>
          <w:sz w:val="20"/>
          <w:szCs w:val="20"/>
          <w:lang w:val="es-ES" w:eastAsia="es-MX"/>
        </w:rPr>
        <w:tab/>
        <w:t>Concepto de leche para efectos del IEPS.</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 fracción I, inciso G) de la Ley del IEPS, establece que en la enajenación o, en su caso, en la importación de bebidas saborizadas que contengan cualquier tipo de azúcares añadidos, se aplicará una cuota de $1.00 por litro.</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artículo 8, fracción I, inciso f) de la citada Ley, establece que no se pagará dicho impuesto por la enajenación de, entre otros productos, la leche en cualquier presentación, incluyendo la que esté mezclada con grasa vegetal.</w:t>
      </w:r>
    </w:p>
    <w:p w:rsidR="00957B34" w:rsidRPr="00957B34" w:rsidRDefault="00957B34" w:rsidP="00957B34">
      <w:pPr>
        <w:spacing w:after="100" w:line="25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rsidR="00957B34" w:rsidRPr="00957B34" w:rsidRDefault="00957B34" w:rsidP="00957B34">
      <w:pPr>
        <w:spacing w:after="100" w:line="256"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La secreción natural de las glándulas mamarias de las vacas o de cualquier otra especie animal, </w:t>
      </w:r>
      <w:proofErr w:type="gramStart"/>
      <w:r w:rsidRPr="00957B34">
        <w:rPr>
          <w:rFonts w:ascii="Verdana" w:eastAsia="Times New Roman" w:hAnsi="Verdana" w:cs="Times New Roman"/>
          <w:sz w:val="20"/>
          <w:szCs w:val="20"/>
          <w:lang w:val="es-ES" w:eastAsia="es-MX"/>
        </w:rPr>
        <w:t>excluido</w:t>
      </w:r>
      <w:proofErr w:type="gramEnd"/>
      <w:r w:rsidRPr="00957B34">
        <w:rPr>
          <w:rFonts w:ascii="Verdana" w:eastAsia="Times New Roman" w:hAnsi="Verdana" w:cs="Times New Roman"/>
          <w:sz w:val="20"/>
          <w:szCs w:val="20"/>
          <w:lang w:val="es-ES" w:eastAsia="es-MX"/>
        </w:rPr>
        <w:t xml:space="preserve"> el calostro, que cumplan con la regulación sanitaria y comercial que les sea aplicable.</w:t>
      </w:r>
    </w:p>
    <w:p w:rsidR="00957B34" w:rsidRPr="00957B34" w:rsidRDefault="00957B34" w:rsidP="00957B34">
      <w:pPr>
        <w:spacing w:after="100" w:line="256"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rsidR="00957B34" w:rsidRPr="00957B34" w:rsidRDefault="00957B34" w:rsidP="00957B34">
      <w:pPr>
        <w:spacing w:after="100" w:line="256"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w:t>
      </w:r>
      <w:r w:rsidRPr="00957B34">
        <w:rPr>
          <w:rFonts w:ascii="Verdana" w:eastAsia="Times New Roman" w:hAnsi="Verdana" w:cs="Times New Roman"/>
          <w:noProof/>
          <w:sz w:val="20"/>
          <w:szCs w:val="20"/>
          <w:lang w:val="es-ES" w:eastAsia="es-MX"/>
        </w:rPr>
        <w:t xml:space="preserve"> </w:t>
      </w:r>
      <w:r w:rsidRPr="00957B34">
        <w:rPr>
          <w:rFonts w:ascii="Verdana" w:eastAsia="Times New Roman" w:hAnsi="Verdana" w:cs="Times New Roman"/>
          <w:sz w:val="20"/>
          <w:szCs w:val="20"/>
          <w:lang w:val="es-ES" w:eastAsia="es-MX"/>
        </w:rPr>
        <w:t>y “NOM-243-SSA1-2010, Productos y servicios. Leche, producto lácteo, producto lácteo combinado, mezcla de leche con grasa vegetal y derivados lácteos. Disposiciones y especificaciones sanitarias. Métodos de prueba” vigentes.</w:t>
      </w:r>
    </w:p>
    <w:p w:rsidR="00957B34" w:rsidRPr="00957B34" w:rsidRDefault="00957B34" w:rsidP="00957B34">
      <w:pPr>
        <w:spacing w:after="100" w:line="268" w:lineRule="exact"/>
        <w:ind w:left="2030" w:hanging="43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III.</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 xml:space="preserve">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w:t>
      </w:r>
      <w:r w:rsidRPr="00957B34">
        <w:rPr>
          <w:rFonts w:ascii="Verdana" w:eastAsia="Times New Roman" w:hAnsi="Verdana" w:cs="Times New Roman"/>
          <w:sz w:val="20"/>
          <w:szCs w:val="20"/>
          <w:lang w:val="es-ES" w:eastAsia="es-MX"/>
        </w:rPr>
        <w:lastRenderedPageBreak/>
        <w:t>especificaciones sanitarias y nutrimentales. Etiquetado y métodos de prueba” vigente.</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productos antes señalados, aún y cuando tengan azúcares añadidos disueltos en agua quedan comprendidos en la exención antes mencionada.</w:t>
      </w:r>
    </w:p>
    <w:tbl>
      <w:tblPr>
        <w:tblW w:w="7215" w:type="dxa"/>
        <w:tblInd w:w="1642" w:type="dxa"/>
        <w:tblLayout w:type="fixed"/>
        <w:tblCellMar>
          <w:left w:w="72" w:type="dxa"/>
          <w:right w:w="72" w:type="dxa"/>
        </w:tblCellMar>
        <w:tblLook w:val="04A0" w:firstRow="1" w:lastRow="0" w:firstColumn="1" w:lastColumn="0" w:noHBand="0" w:noVBand="1"/>
      </w:tblPr>
      <w:tblGrid>
        <w:gridCol w:w="1745"/>
        <w:gridCol w:w="5470"/>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3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83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rsidR="00957B34" w:rsidRPr="00957B34" w:rsidRDefault="00957B34" w:rsidP="00957B34">
      <w:pPr>
        <w:spacing w:before="100" w:beforeAutospacing="1" w:after="100" w:line="268"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6/</w:t>
      </w:r>
      <w:r w:rsidRPr="00957B34">
        <w:rPr>
          <w:rFonts w:ascii="Verdana" w:eastAsia="Times New Roman" w:hAnsi="Verdana" w:cs="Times New Roman"/>
          <w:b/>
          <w:sz w:val="20"/>
          <w:szCs w:val="20"/>
          <w:lang w:val="es-ES" w:eastAsia="es-MX"/>
        </w:rPr>
        <w:t>IEPS/N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noProof/>
          <w:sz w:val="20"/>
          <w:szCs w:val="20"/>
          <w:lang w:val="es-ES" w:eastAsia="es-MX"/>
        </w:rPr>
        <w:t>Productos lácteos y productos lácteos combinados. Están afectos al IEPS aplicable a bebidas saborizadas cuando en su proceso de elaboración se disuelvan azúcares en agua.</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ab/>
      </w:r>
      <w:r w:rsidRPr="00957B34">
        <w:rPr>
          <w:rFonts w:ascii="Verdana" w:eastAsia="Times New Roman" w:hAnsi="Verdana" w:cs="Times New Roman"/>
          <w:noProof/>
          <w:sz w:val="20"/>
          <w:szCs w:val="20"/>
          <w:lang w:val="es-ES" w:eastAsia="es-MX"/>
        </w:rPr>
        <w:t>El artículo 2, fracción I, inciso G) de la Ley del IEPS, establece que en la enajenación o, en su caso, en la importación de bebidas saborizadas que contengan cualquier tipo de azúcares añadidos, se aplicará una cuota de $1.00 por litro.</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noProof/>
          <w:sz w:val="20"/>
          <w:szCs w:val="20"/>
          <w:lang w:val="es-ES" w:eastAsia="es-MX"/>
        </w:rPr>
        <w:tab/>
        <w:t>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noProof/>
          <w:sz w:val="20"/>
          <w:szCs w:val="20"/>
          <w:lang w:val="es-ES" w:eastAsia="es-MX"/>
        </w:rPr>
        <w:tab/>
        <w:t>Conforme a la fracción XX del mencionado artículo 3, son azúcares los monosacáridos, disacáridos y polisacáridos, siempre que en este último caso se utilicen como edulcorantes con aporte calórico.</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noProof/>
          <w:sz w:val="20"/>
          <w:szCs w:val="20"/>
          <w:lang w:val="es-ES" w:eastAsia="es-MX"/>
        </w:rPr>
        <w:tab/>
        <w:t>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rsidR="00957B34" w:rsidRPr="00957B34" w:rsidRDefault="00957B34" w:rsidP="00957B34">
      <w:pPr>
        <w:spacing w:after="100" w:line="26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noProof/>
          <w:sz w:val="20"/>
          <w:szCs w:val="20"/>
          <w:lang w:val="es-ES" w:eastAsia="es-MX"/>
        </w:rPr>
        <w:tab/>
        <w:t xml:space="preserve">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w:t>
      </w:r>
      <w:r w:rsidRPr="00957B34">
        <w:rPr>
          <w:rFonts w:ascii="Verdana" w:eastAsia="Times New Roman" w:hAnsi="Verdana" w:cs="Times New Roman"/>
          <w:sz w:val="20"/>
          <w:szCs w:val="20"/>
          <w:lang w:val="es-ES" w:eastAsia="es-MX"/>
        </w:rPr>
        <w:t>producto lácteo</w:t>
      </w:r>
      <w:r w:rsidRPr="00957B34">
        <w:rPr>
          <w:rFonts w:ascii="Verdana" w:eastAsia="Times New Roman" w:hAnsi="Verdana" w:cs="Times New Roman"/>
          <w:noProof/>
          <w:sz w:val="20"/>
          <w:szCs w:val="20"/>
          <w:lang w:val="es-ES" w:eastAsia="es-MX"/>
        </w:rPr>
        <w:t>, producto lácteo combinado</w:t>
      </w:r>
      <w:r w:rsidRPr="00957B34">
        <w:rPr>
          <w:rFonts w:ascii="Verdana" w:eastAsia="Times New Roman" w:hAnsi="Verdana" w:cs="Times New Roman"/>
          <w:sz w:val="20"/>
          <w:szCs w:val="20"/>
          <w:lang w:val="es-ES" w:eastAsia="es-MX"/>
        </w:rPr>
        <w:t xml:space="preserve">, mezcla de leche con grasa </w:t>
      </w:r>
      <w:r w:rsidRPr="00957B34">
        <w:rPr>
          <w:rFonts w:ascii="Verdana" w:eastAsia="Times New Roman" w:hAnsi="Verdana" w:cs="Times New Roman"/>
          <w:sz w:val="20"/>
          <w:szCs w:val="20"/>
          <w:lang w:val="es-ES" w:eastAsia="es-MX"/>
        </w:rPr>
        <w:lastRenderedPageBreak/>
        <w:t>vegetal</w:t>
      </w:r>
      <w:r w:rsidRPr="00957B34">
        <w:rPr>
          <w:rFonts w:ascii="Verdana" w:eastAsia="Times New Roman" w:hAnsi="Verdana" w:cs="Times New Roman"/>
          <w:noProof/>
          <w:sz w:val="20"/>
          <w:szCs w:val="20"/>
          <w:lang w:val="es-ES" w:eastAsia="es-MX"/>
        </w:rPr>
        <w:t xml:space="preserve">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noProof/>
          <w:sz w:val="20"/>
          <w:szCs w:val="20"/>
          <w:lang w:val="es-ES" w:eastAsia="es-MX"/>
        </w:rPr>
        <w:tab/>
        <w:t>No aplica lo señalado en el párrafo anterior, cuando para la elaboración de productos lácteos y productos lácteos combinados se añadan azúcares por medio de procedimientos distintos a la disolución en agua.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rsidR="00957B34" w:rsidRPr="00957B34" w:rsidRDefault="00957B34" w:rsidP="00957B34">
      <w:pPr>
        <w:spacing w:before="100" w:beforeAutospacing="1" w:after="100" w:line="243"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7/IEPS/N</w:t>
      </w:r>
      <w:r w:rsidRPr="00957B34">
        <w:rPr>
          <w:rFonts w:ascii="Verdana" w:eastAsia="Times New Roman" w:hAnsi="Verdana" w:cs="Times New Roman"/>
          <w:b/>
          <w:sz w:val="20"/>
          <w:szCs w:val="20"/>
          <w:lang w:val="es-ES" w:eastAsia="es-MX"/>
        </w:rPr>
        <w:tab/>
        <w:t>Preparaciones alimenticias que requieren un proceso adicional para su consumo</w:t>
      </w:r>
      <w:r w:rsidRPr="00957B34">
        <w:rPr>
          <w:rFonts w:ascii="Verdana" w:eastAsia="Times New Roman" w:hAnsi="Verdana" w:cs="Times New Roman"/>
          <w:sz w:val="20"/>
          <w:szCs w:val="20"/>
          <w:lang w:val="es-ES" w:eastAsia="es-MX"/>
        </w:rPr>
        <w:t>.</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 fracción I, inciso J), de la Ley del IEPS establece que la enajenación o, en su caso, la importación de alimentos no básicos con una densidad calórica de 275 kcal o mayor por cada 100 gramos se encuentran gravados a la tasa del 8%.</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numeral 8, inciso J) de la fracción I del artículo 2 de la Ley del IEPS, grava los alimentos preparados a base de cereales, es decir, aquellos productos que están listos para consumirse por no requerir un proceso adicional para ingerirse en forma directa.</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600-04-07-2014-4289 de 1 de julio de 2014 mediante el cual se dan a conocer los criterios </w:t>
            </w:r>
            <w:r w:rsidRPr="00957B34">
              <w:rPr>
                <w:rFonts w:ascii="Verdana" w:eastAsia="Times New Roman" w:hAnsi="Verdana" w:cs="Arial"/>
                <w:sz w:val="20"/>
                <w:szCs w:val="20"/>
                <w:lang w:val="es-ES" w:eastAsia="es-MX"/>
              </w:rPr>
              <w:lastRenderedPageBreak/>
              <w:t>normativos aprobados en el segundo trimestre 2014. Oficio 600-04-07-2014-87371 de 17 de diciembre de 2014 a través del cual se da a conocer el Boletín 2014, con el número de criterio normativo 7/2014/IEPS.</w:t>
            </w:r>
          </w:p>
        </w:tc>
      </w:tr>
    </w:tbl>
    <w:p w:rsidR="00957B34" w:rsidRPr="00957B34" w:rsidRDefault="00957B34" w:rsidP="00957B34">
      <w:pPr>
        <w:spacing w:before="100" w:beforeAutospacing="1" w:after="100" w:line="243"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8/IEPS/N</w:t>
      </w:r>
      <w:r w:rsidRPr="00957B34">
        <w:rPr>
          <w:rFonts w:ascii="Verdana" w:eastAsia="Times New Roman" w:hAnsi="Verdana" w:cs="Times New Roman"/>
          <w:b/>
          <w:sz w:val="20"/>
          <w:szCs w:val="20"/>
          <w:lang w:val="es-ES" w:eastAsia="es-MX"/>
        </w:rPr>
        <w:tab/>
        <w:t>Productos de confitería y helados cuyo insumo sea chicle o goma de mascar.</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 fracción I, inciso J) de la Ley del IEPS establece que la enajenación, o en su caso, la importación de alimentos no básicos con una densidad calórica de 275 kcal o mayor por cada 100 gramos se encuentra gravada a la tasa del 8%.</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2-A, fracción I, inciso b), numeral 5 de la Ley del IVA, establece que la enajenación de chicles o gomas de mascar se encuentra gravada a la tasa del 16%.</w:t>
      </w:r>
    </w:p>
    <w:p w:rsidR="00957B34" w:rsidRPr="00957B34" w:rsidRDefault="00957B34" w:rsidP="00957B34">
      <w:pPr>
        <w:spacing w:after="100" w:line="243"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rsidR="00957B34" w:rsidRPr="00957B34" w:rsidRDefault="00957B34" w:rsidP="00957B34">
      <w:pPr>
        <w:spacing w:before="100" w:beforeAutospacing="1" w:after="100"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9/IEPS/N</w:t>
      </w:r>
      <w:r w:rsidRPr="00957B34">
        <w:rPr>
          <w:rFonts w:ascii="Verdana" w:eastAsia="Times New Roman" w:hAnsi="Verdana" w:cs="Times New Roman"/>
          <w:b/>
          <w:sz w:val="20"/>
          <w:szCs w:val="20"/>
          <w:lang w:val="es-ES" w:eastAsia="es-MX"/>
        </w:rPr>
        <w:tab/>
        <w:t>Gelatina o grenetina de grado comestible. Su enajenación o importación está sujeta al pago del IEPS cuando contenga azúcares u otros edulcorantes con una densidad calórica de 275 kilocalorías o mayor por cada 100 gramos.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Conforme a lo expuesto, se estima que la gelatina o grenetina a que se refiere el párrafo anterior,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7215" w:type="dxa"/>
        <w:tblInd w:w="1642" w:type="dxa"/>
        <w:tblLayout w:type="fixed"/>
        <w:tblCellMar>
          <w:left w:w="72" w:type="dxa"/>
          <w:right w:w="72" w:type="dxa"/>
        </w:tblCellMar>
        <w:tblLook w:val="04A0" w:firstRow="1" w:lastRow="0" w:firstColumn="1" w:lastColumn="0" w:noHBand="0" w:noVBand="1"/>
      </w:tblPr>
      <w:tblGrid>
        <w:gridCol w:w="2210"/>
        <w:gridCol w:w="5005"/>
      </w:tblGrid>
      <w:tr w:rsidR="00957B34" w:rsidRPr="00957B34" w:rsidTr="00957B34">
        <w:trPr>
          <w:trHeight w:val="20"/>
        </w:trPr>
        <w:tc>
          <w:tcPr>
            <w:tcW w:w="2250"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09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25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Segunda Resolución de Modificaciones a la RMF para 2015</w:t>
            </w:r>
          </w:p>
        </w:tc>
        <w:tc>
          <w:tcPr>
            <w:tcW w:w="509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14 de mayo de 2015, Anexo 7, publicado en el Diario Oficial de la Federación el 21 de mayo de 2015.</w:t>
            </w:r>
          </w:p>
        </w:tc>
      </w:tr>
    </w:tbl>
    <w:p w:rsidR="00957B34" w:rsidRPr="00957B34" w:rsidRDefault="00957B34" w:rsidP="00957B34">
      <w:pPr>
        <w:spacing w:before="100" w:beforeAutospacing="1" w:after="100"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line="220"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E. Criterios de la LFD</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1/LFD/N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Derechos. Cuando se solicite la certificación de legajos o expedientes, se deberá pagar el derecho que corresponda por cada hoja tamaño carta u oficio.</w:t>
      </w:r>
    </w:p>
    <w:p w:rsidR="00957B34" w:rsidRPr="00957B34" w:rsidRDefault="00957B34" w:rsidP="00957B34">
      <w:pPr>
        <w:spacing w:after="100" w:line="22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Los contribuyentes que soliciten a las autoridades fiscales la expedición de copias certificadas de legajos o expedientes,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7215" w:type="dxa"/>
        <w:tblInd w:w="1642" w:type="dxa"/>
        <w:tblLayout w:type="fixed"/>
        <w:tblCellMar>
          <w:left w:w="72" w:type="dxa"/>
          <w:right w:w="72" w:type="dxa"/>
        </w:tblCellMar>
        <w:tblLook w:val="04A0" w:firstRow="1" w:lastRow="0" w:firstColumn="1" w:lastColumn="0" w:noHBand="0" w:noVBand="1"/>
      </w:tblPr>
      <w:tblGrid>
        <w:gridCol w:w="1696"/>
        <w:gridCol w:w="5519"/>
      </w:tblGrid>
      <w:tr w:rsidR="00957B34" w:rsidRPr="00957B34" w:rsidTr="00957B34">
        <w:trPr>
          <w:trHeight w:val="20"/>
        </w:trPr>
        <w:tc>
          <w:tcPr>
            <w:tcW w:w="1726"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623"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726"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62/2002/LFD</w:t>
            </w:r>
          </w:p>
        </w:tc>
        <w:tc>
          <w:tcPr>
            <w:tcW w:w="56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325-SAT-IV-B-75015 de 16 diciembre de 2002.</w:t>
            </w:r>
          </w:p>
        </w:tc>
      </w:tr>
    </w:tbl>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2/LFD/N</w:t>
      </w: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b/>
          <w:sz w:val="20"/>
          <w:szCs w:val="20"/>
          <w:lang w:val="es-ES_tradnl" w:eastAsia="es-MX"/>
        </w:rPr>
        <w:t>Derechos por uso o goce de inmuebles federales. Casos en los que no aplica la exención.</w:t>
      </w:r>
    </w:p>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ab/>
      </w:r>
      <w:r w:rsidRPr="00957B34">
        <w:rPr>
          <w:rFonts w:ascii="Verdana" w:eastAsia="Times New Roman" w:hAnsi="Verdana" w:cs="Times New Roman"/>
          <w:sz w:val="20"/>
          <w:szCs w:val="20"/>
          <w:lang w:val="es-ES_tradnl" w:eastAsia="es-MX"/>
        </w:rPr>
        <w:t>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las desarrolle en los inmuebles por los que pretenda estar exenta del pago de derechos.</w:t>
      </w:r>
    </w:p>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lastRenderedPageBreak/>
        <w:tab/>
        <w:t>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t>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29/2001/LFD</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Oficio 325-SAT-A-31123 de 14 de septiembre de 2001 mediante el cual se da a conocer la nueva Compilación de Criterios Normativos 2001. </w:t>
            </w:r>
          </w:p>
        </w:tc>
      </w:tr>
    </w:tbl>
    <w:p w:rsidR="00957B34" w:rsidRPr="00957B34" w:rsidRDefault="00957B34" w:rsidP="00957B34">
      <w:pPr>
        <w:spacing w:before="100" w:beforeAutospacing="1" w:after="100" w:line="25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line="258"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F. Criterios de la Ley de Ingresos de la Federación</w:t>
      </w:r>
    </w:p>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1/LIF/N</w:t>
      </w:r>
      <w:r w:rsidRPr="00957B34">
        <w:rPr>
          <w:rFonts w:ascii="Verdana" w:eastAsia="Times New Roman" w:hAnsi="Verdana" w:cs="Times New Roman"/>
          <w:b/>
          <w:sz w:val="20"/>
          <w:szCs w:val="20"/>
          <w:lang w:val="es-ES" w:eastAsia="es-MX"/>
        </w:rPr>
        <w:tab/>
        <w:t>Créditos fiscales previamente cubiertos e impugnados.</w:t>
      </w:r>
    </w:p>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Asimismo, el numeral 145 del CFF señala que las autoridades fiscales exigirán el pago de los créditos fiscales que no hubieren sido cubiertos o garantizados, dentro de los plazos señalados por la Ley, mediante el procedimiento administrativo de ejecución.</w:t>
      </w:r>
    </w:p>
    <w:p w:rsidR="00957B34" w:rsidRPr="00957B34" w:rsidRDefault="00957B34" w:rsidP="00957B34">
      <w:pPr>
        <w:spacing w:after="100" w:line="258"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éste no se ha </w:t>
      </w:r>
      <w:r w:rsidRPr="00957B34">
        <w:rPr>
          <w:rFonts w:ascii="Verdana" w:eastAsia="Times New Roman" w:hAnsi="Verdana" w:cs="Times New Roman"/>
          <w:sz w:val="20"/>
          <w:szCs w:val="20"/>
          <w:lang w:val="es-ES" w:eastAsia="es-MX"/>
        </w:rPr>
        <w:lastRenderedPageBreak/>
        <w:t>consentido por el contribuyente al haber interpuesto medios de defensa en contra de su determinación y, por ende, aún no se encuentre firme.</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Ley de Ingresos de la Federación para el ejercicio fiscal de 2013 y ésta haya sido procedente, resulta adecuado que la cantidad que el contribuyente entregó sea susceptible de reintegro.</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2014</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bl>
    <w:p w:rsidR="00957B34" w:rsidRPr="00957B34" w:rsidRDefault="00957B34" w:rsidP="00957B34">
      <w:pPr>
        <w:spacing w:before="100" w:beforeAutospacing="1" w:after="100" w:line="24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line="247" w:lineRule="exact"/>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G. Criterios de la Ley de Ingresos sobre Hidrocarburos</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1/LISH/N </w:t>
      </w:r>
      <w:r w:rsidRPr="00957B34">
        <w:rPr>
          <w:rFonts w:ascii="Verdana" w:eastAsia="Times New Roman" w:hAnsi="Verdana" w:cs="Times New Roman"/>
          <w:b/>
          <w:sz w:val="20"/>
          <w:szCs w:val="20"/>
          <w:lang w:val="es-ES" w:eastAsia="es-MX"/>
        </w:rPr>
        <w:tab/>
        <w:t>Devoluciones, descuentos y bonificaciones de periodos anteriores al 1 de enero de 2015. No son aplicables para los derechos previstos en el título tercero de la LISH para los asignatarios.</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régimen de los derechos previstos en los artículos 254 a 261 de la LFD para el ejercicio fiscal de 2014, es distinto al régimen de los derechos previstos en el título tercero de la LISH y dichos regímenes tributarios no son complementarios entre sí.</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Tercera Resolución de Modificaciones a </w:t>
            </w:r>
            <w:r w:rsidRPr="00957B34">
              <w:rPr>
                <w:rFonts w:ascii="Verdana" w:eastAsia="Times New Roman" w:hAnsi="Verdana" w:cs="Arial"/>
                <w:sz w:val="20"/>
                <w:szCs w:val="20"/>
                <w:lang w:val="es-ES" w:eastAsia="es-MX"/>
              </w:rPr>
              <w:lastRenderedPageBreak/>
              <w:t>la RMF para 2015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 xml:space="preserve">Publicada en el Diario Oficial de la Federación el 2 de julio de 2015, Anexo 7, publicado en el Diario </w:t>
            </w:r>
            <w:r w:rsidRPr="00957B34">
              <w:rPr>
                <w:rFonts w:ascii="Verdana" w:eastAsia="Times New Roman" w:hAnsi="Verdana" w:cs="Arial"/>
                <w:sz w:val="20"/>
                <w:szCs w:val="20"/>
                <w:lang w:val="es-ES" w:eastAsia="es-MX"/>
              </w:rPr>
              <w:lastRenderedPageBreak/>
              <w:t>Oficial de la Federación el 10 de julio del 2015.</w:t>
            </w:r>
          </w:p>
        </w:tc>
      </w:tr>
    </w:tbl>
    <w:p w:rsidR="00957B34" w:rsidRPr="00957B34" w:rsidRDefault="00957B34" w:rsidP="00957B34">
      <w:pPr>
        <w:spacing w:before="100" w:beforeAutospacing="1" w:after="100" w:line="24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 </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2/LISH/N</w:t>
      </w:r>
      <w:r w:rsidRPr="00957B34">
        <w:rPr>
          <w:rFonts w:ascii="Verdana" w:eastAsia="Times New Roman" w:hAnsi="Verdana" w:cs="Times New Roman"/>
          <w:b/>
          <w:sz w:val="20"/>
          <w:szCs w:val="20"/>
          <w:lang w:val="es-ES" w:eastAsia="es-MX"/>
        </w:rPr>
        <w:tab/>
        <w:t>Contraprestaciones a favor de los contratistas en los contratos para la exploración y extracción de hidrocarburos. Momento de acumulación para los efectos del ISR. (Se deroga)</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trike/>
          <w:color w:val="000000"/>
          <w:sz w:val="20"/>
          <w:szCs w:val="20"/>
          <w:lang w:val="es-ES" w:eastAsia="es-MX"/>
        </w:rPr>
        <w:t>E</w:t>
      </w:r>
      <w:r w:rsidRPr="00957B34">
        <w:rPr>
          <w:rFonts w:ascii="Verdana" w:eastAsia="Times New Roman" w:hAnsi="Verdana" w:cs="Times New Roman"/>
          <w:strike/>
          <w:sz w:val="20"/>
          <w:szCs w:val="20"/>
          <w:lang w:val="es-ES" w:eastAsia="es-MX"/>
        </w:rPr>
        <w:t>l</w:t>
      </w:r>
      <w:r w:rsidRPr="00957B34">
        <w:rPr>
          <w:rFonts w:ascii="Verdana" w:eastAsia="Times New Roman" w:hAnsi="Verdana" w:cs="Times New Roman"/>
          <w:strike/>
          <w:color w:val="000000"/>
          <w:sz w:val="20"/>
          <w:szCs w:val="20"/>
          <w:lang w:val="es-ES" w:eastAsia="es-MX"/>
        </w:rPr>
        <w:t xml:space="preserve"> artículo 29, primer párrafo </w:t>
      </w:r>
      <w:r w:rsidRPr="00957B34">
        <w:rPr>
          <w:rFonts w:ascii="Verdana" w:eastAsia="Times New Roman" w:hAnsi="Verdana" w:cs="Times New Roman"/>
          <w:strike/>
          <w:sz w:val="20"/>
          <w:szCs w:val="20"/>
          <w:lang w:val="es-ES" w:eastAsia="es-MX"/>
        </w:rPr>
        <w:t xml:space="preserve">de </w:t>
      </w:r>
      <w:r w:rsidRPr="00957B34">
        <w:rPr>
          <w:rFonts w:ascii="Verdana" w:eastAsia="Times New Roman" w:hAnsi="Verdana" w:cs="Times New Roman"/>
          <w:strike/>
          <w:color w:val="000000"/>
          <w:sz w:val="20"/>
          <w:szCs w:val="20"/>
          <w:lang w:val="es-ES" w:eastAsia="es-MX"/>
        </w:rPr>
        <w:t xml:space="preserve">la LISH </w:t>
      </w:r>
      <w:r w:rsidRPr="00957B34">
        <w:rPr>
          <w:rFonts w:ascii="Verdana" w:eastAsia="Times New Roman" w:hAnsi="Verdana" w:cs="Times New Roman"/>
          <w:strike/>
          <w:sz w:val="20"/>
          <w:szCs w:val="20"/>
          <w:lang w:val="es-ES" w:eastAsia="es-MX"/>
        </w:rPr>
        <w:t>prevé que l</w:t>
      </w:r>
      <w:r w:rsidRPr="00957B34">
        <w:rPr>
          <w:rFonts w:ascii="Verdana" w:eastAsia="Times New Roman" w:hAnsi="Verdana" w:cs="Times New Roman"/>
          <w:strike/>
          <w:color w:val="000000"/>
          <w:sz w:val="20"/>
          <w:szCs w:val="20"/>
          <w:lang w:val="es-ES" w:eastAsia="es-MX"/>
        </w:rPr>
        <w:t>as contraprestaciones a favor del contratista, se pagarán una vez que éste obtenga la producción contractual, por lo que en tanto no exista dicha producción, bajo ninguna circunstancia serán exigibles las contraprestaciones a favor del contratista ni se le otorgará anticipo alguno.</w:t>
      </w:r>
    </w:p>
    <w:p w:rsidR="00957B34" w:rsidRPr="00957B34" w:rsidRDefault="00957B34" w:rsidP="00957B34">
      <w:pPr>
        <w:spacing w:after="100" w:line="247"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r>
      <w:r w:rsidRPr="00957B34">
        <w:rPr>
          <w:rFonts w:ascii="Verdana" w:eastAsia="Times New Roman" w:hAnsi="Verdana" w:cs="Times New Roman"/>
          <w:strike/>
          <w:color w:val="000000"/>
          <w:sz w:val="20"/>
          <w:szCs w:val="20"/>
          <w:lang w:val="es-ES" w:eastAsia="es-MX"/>
        </w:rPr>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rsidR="00957B34" w:rsidRPr="00957B34" w:rsidRDefault="00957B34" w:rsidP="00957B34">
      <w:pPr>
        <w:spacing w:after="100" w:line="26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r>
      <w:r w:rsidRPr="00957B34">
        <w:rPr>
          <w:rFonts w:ascii="Verdana" w:eastAsia="Times New Roman" w:hAnsi="Verdana" w:cs="Times New Roman"/>
          <w:strike/>
          <w:color w:val="000000"/>
          <w:sz w:val="20"/>
          <w:szCs w:val="20"/>
          <w:lang w:val="es-ES" w:eastAsia="es-MX"/>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rsidR="00957B34" w:rsidRPr="00957B34" w:rsidRDefault="00957B34" w:rsidP="00957B34">
      <w:pPr>
        <w:spacing w:after="100" w:line="26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r>
      <w:r w:rsidRPr="00957B34">
        <w:rPr>
          <w:rFonts w:ascii="Verdana" w:eastAsia="Times New Roman" w:hAnsi="Verdana" w:cs="Times New Roman"/>
          <w:strike/>
          <w:color w:val="000000"/>
          <w:sz w:val="20"/>
          <w:szCs w:val="20"/>
          <w:lang w:val="es-ES" w:eastAsia="es-MX"/>
        </w:rPr>
        <w:t>Al respecto, ni la Ley del ISR o la LISH prevén un supuesto particular que permita considerar que los ingresos derivados de las contraprestaciones aludidas se obtienen únicamente en el momento en que efectivamente se cobren dichas contraprestaciones.</w:t>
      </w:r>
    </w:p>
    <w:p w:rsidR="00957B34" w:rsidRPr="00957B34" w:rsidRDefault="00957B34" w:rsidP="00957B34">
      <w:pPr>
        <w:spacing w:after="100" w:line="26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b/>
      </w:r>
      <w:r w:rsidRPr="00957B34">
        <w:rPr>
          <w:rFonts w:ascii="Verdana" w:eastAsia="Times New Roman" w:hAnsi="Verdana" w:cs="Times New Roman"/>
          <w:strike/>
          <w:sz w:val="20"/>
          <w:szCs w:val="20"/>
          <w:lang w:val="es-ES" w:eastAsia="es-MX"/>
        </w:rPr>
        <w:t>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r w:rsidRPr="00957B34">
        <w:rPr>
          <w:rFonts w:ascii="Verdana" w:eastAsia="Times New Roman" w:hAnsi="Verdana" w:cs="Times New Roman"/>
          <w:sz w:val="20"/>
          <w:szCs w:val="20"/>
          <w:lang w:val="es-ES" w:eastAsia="es-MX"/>
        </w:rPr>
        <w:t>.</w:t>
      </w:r>
    </w:p>
    <w:tbl>
      <w:tblPr>
        <w:tblW w:w="7215" w:type="dxa"/>
        <w:tblInd w:w="1642" w:type="dxa"/>
        <w:tblLayout w:type="fixed"/>
        <w:tblCellMar>
          <w:left w:w="72" w:type="dxa"/>
          <w:right w:w="72" w:type="dxa"/>
        </w:tblCellMar>
        <w:tblLook w:val="04A0" w:firstRow="1" w:lastRow="0" w:firstColumn="1" w:lastColumn="0" w:noHBand="0" w:noVBand="1"/>
      </w:tblPr>
      <w:tblGrid>
        <w:gridCol w:w="1760"/>
        <w:gridCol w:w="164"/>
        <w:gridCol w:w="5291"/>
      </w:tblGrid>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Derogación</w:t>
            </w:r>
          </w:p>
        </w:tc>
      </w:tr>
      <w:tr w:rsidR="00957B34" w:rsidRPr="00957B34" w:rsidTr="00957B34">
        <w:trPr>
          <w:trHeight w:val="20"/>
        </w:trPr>
        <w:tc>
          <w:tcPr>
            <w:tcW w:w="1823"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RMF para 2017</w:t>
            </w:r>
          </w:p>
        </w:tc>
        <w:tc>
          <w:tcPr>
            <w:tcW w:w="5526" w:type="dxa"/>
            <w:gridSpan w:val="2"/>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Publicada en el Diario Oficial de la Federación el 23 de diciembre de 2016. El Anexo 7 publicado en Diario Oficial de la Federación el 27 de diciembre de 2016. </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Motivo de la derogación</w:t>
            </w:r>
          </w:p>
        </w:tc>
      </w:tr>
      <w:tr w:rsidR="00957B34" w:rsidRPr="00957B34" w:rsidTr="00957B34">
        <w:trPr>
          <w:trHeight w:val="20"/>
        </w:trPr>
        <w:tc>
          <w:tcPr>
            <w:tcW w:w="7349" w:type="dxa"/>
            <w:gridSpan w:val="3"/>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Se deroga en virtud de que el tema es regulado a través del artículo </w:t>
            </w:r>
            <w:r w:rsidRPr="00957B34">
              <w:rPr>
                <w:rFonts w:ascii="Verdana" w:eastAsia="Times New Roman" w:hAnsi="Verdana" w:cs="Arial"/>
                <w:sz w:val="20"/>
                <w:szCs w:val="20"/>
                <w:lang w:val="es-ES" w:eastAsia="es-MX"/>
              </w:rPr>
              <w:lastRenderedPageBreak/>
              <w:t xml:space="preserve">16 de la Ley del Impuesto Sobre la Renta, adicionado mediante Decreto publicado en el Diario Oficial de la Federación el 30 de noviembre de 2016. </w:t>
            </w:r>
          </w:p>
        </w:tc>
      </w:tr>
      <w:tr w:rsidR="00957B34" w:rsidRPr="00957B34" w:rsidTr="00957B34">
        <w:tc>
          <w:tcPr>
            <w:tcW w:w="1815"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3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c>
          <w:tcPr>
            <w:tcW w:w="5370" w:type="dxa"/>
            <w:tcBorders>
              <w:top w:val="nil"/>
              <w:left w:val="nil"/>
              <w:bottom w:val="nil"/>
              <w:right w:val="nil"/>
            </w:tcBorders>
            <w:vAlign w:val="center"/>
            <w:hideMark/>
          </w:tcPr>
          <w:p w:rsidR="00957B34" w:rsidRPr="00957B34" w:rsidRDefault="00957B34" w:rsidP="00957B34">
            <w:pPr>
              <w:spacing w:after="0" w:line="240" w:lineRule="auto"/>
              <w:rPr>
                <w:rFonts w:ascii="Verdana" w:eastAsia="Times New Roman" w:hAnsi="Verdana" w:cs="Times New Roman"/>
                <w:sz w:val="20"/>
                <w:szCs w:val="20"/>
                <w:lang w:eastAsia="es-MX"/>
              </w:rPr>
            </w:pPr>
          </w:p>
        </w:tc>
      </w:tr>
    </w:tbl>
    <w:p w:rsidR="00957B34" w:rsidRPr="00957B34" w:rsidRDefault="00957B34" w:rsidP="00957B34">
      <w:pPr>
        <w:spacing w:before="100" w:beforeAutospacing="1" w:after="100" w:line="26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6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3/LISH/N</w:t>
      </w:r>
      <w:r w:rsidRPr="00957B34">
        <w:rPr>
          <w:rFonts w:ascii="Verdana" w:eastAsia="Times New Roman" w:hAnsi="Verdana" w:cs="Times New Roman"/>
          <w:b/>
          <w:sz w:val="20"/>
          <w:szCs w:val="20"/>
          <w:lang w:val="es-ES" w:eastAsia="es-MX"/>
        </w:rPr>
        <w:tab/>
        <w:t>Porcentajes de deducción para contratistas y asignatarios. Su aplicación no constituye una opción.</w:t>
      </w:r>
    </w:p>
    <w:p w:rsidR="00957B34" w:rsidRPr="00957B34" w:rsidRDefault="00957B34" w:rsidP="00957B34">
      <w:pPr>
        <w:spacing w:after="100" w:line="26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957B34" w:rsidRPr="00957B34" w:rsidRDefault="00957B34" w:rsidP="00957B34">
      <w:pPr>
        <w:spacing w:after="100" w:line="26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Sobre el particular, los artículos 32, apartado A, primer párrafo y 46, cuarto párrafo de la LISH, no prevén como opción para dichos contribuyentes la aplicación de porcentajes menores a los previstos en tales artículos.</w:t>
      </w:r>
    </w:p>
    <w:p w:rsidR="00957B34" w:rsidRPr="00957B34" w:rsidRDefault="00957B34" w:rsidP="00957B34">
      <w:pPr>
        <w:spacing w:after="100" w:line="26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z w:val="20"/>
          <w:szCs w:val="20"/>
          <w:lang w:val="es-ES_tradnl" w:eastAsia="es-MX"/>
        </w:rPr>
        <w:t>Al respecto y de conformidad con lo establecido en el artículo 5, primer párrafo del CFF, las disposiciones fiscales que se refieran a la determinación de la base del impuesto, son de aplicación estricta.</w:t>
      </w:r>
    </w:p>
    <w:p w:rsidR="00957B34" w:rsidRPr="00957B34" w:rsidRDefault="00957B34" w:rsidP="00957B34">
      <w:pPr>
        <w:spacing w:after="100" w:line="266"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b/>
      </w:r>
      <w:r w:rsidRPr="00957B34">
        <w:rPr>
          <w:rFonts w:ascii="Verdana" w:eastAsia="Times New Roman" w:hAnsi="Verdana" w:cs="Times New Roman"/>
          <w:sz w:val="20"/>
          <w:szCs w:val="20"/>
          <w:lang w:val="es-ES" w:eastAsia="es-MX"/>
        </w:rPr>
        <w:t xml:space="preserve">En ese sentido, los contratistas y asignatarios deberán aplicar los porcentajes establecidos por los artículos 32, apartado A, primer párrafo y 46, cuarto párrafo de la LISH, sin que sea </w:t>
      </w:r>
      <w:proofErr w:type="gramStart"/>
      <w:r w:rsidRPr="00957B34">
        <w:rPr>
          <w:rFonts w:ascii="Verdana" w:eastAsia="Times New Roman" w:hAnsi="Verdana" w:cs="Times New Roman"/>
          <w:sz w:val="20"/>
          <w:szCs w:val="20"/>
          <w:lang w:val="es-ES" w:eastAsia="es-MX"/>
        </w:rPr>
        <w:t>válido</w:t>
      </w:r>
      <w:proofErr w:type="gramEnd"/>
      <w:r w:rsidRPr="00957B34">
        <w:rPr>
          <w:rFonts w:ascii="Verdana" w:eastAsia="Times New Roman" w:hAnsi="Verdana" w:cs="Times New Roman"/>
          <w:sz w:val="20"/>
          <w:szCs w:val="20"/>
          <w:lang w:val="es-ES" w:eastAsia="es-MX"/>
        </w:rPr>
        <w:t xml:space="preserve"> la aplicación de un porcentaje menor.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bl>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4/LISH/N</w:t>
      </w:r>
      <w:r w:rsidRPr="00957B34">
        <w:rPr>
          <w:rFonts w:ascii="Verdana" w:eastAsia="Times New Roman" w:hAnsi="Verdana" w:cs="Times New Roman"/>
          <w:b/>
          <w:sz w:val="20"/>
          <w:szCs w:val="20"/>
          <w:lang w:val="es-ES" w:eastAsia="es-MX"/>
        </w:rPr>
        <w:tab/>
        <w:t>Porcentajes de deducción para contratistas y asignatarios. No resultan aplicables para otro tipo de contribuyentes.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Sobre el particular, los artículos 32, apartado A, primer párrafo y 46, cuarto párrafo de la LISH, no contemplan a contribuyentes distintos de los contratistas y asignatarios aludidos.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los contratistas y asignatarios a que se refiere la LISH son los únicos contribuyentes que deberán aplicar los porcentajes establecidos por los artículos 32, apartado A, primer párrafo y 46, cuarto párrafo de dicha ley.</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r>
      <w:r w:rsidRPr="00957B34">
        <w:rPr>
          <w:rFonts w:ascii="Verdana" w:eastAsia="Times New Roman" w:hAnsi="Verdana" w:cs="Times New Roman"/>
          <w:sz w:val="20"/>
          <w:szCs w:val="20"/>
          <w:lang w:val="es-ES_tradnl" w:eastAsia="es-MX"/>
        </w:rPr>
        <w:t>Lo anterior, toda vez que de conformidad con lo establecido en el artículo 5, primer párrafo del CFF, las disposiciones fiscales que se refieran a los sujetos del impuesto, son de aplicación estricta.</w:t>
      </w:r>
    </w:p>
    <w:tbl>
      <w:tblPr>
        <w:tblW w:w="7215" w:type="dxa"/>
        <w:tblInd w:w="1642" w:type="dxa"/>
        <w:tblLayout w:type="fixed"/>
        <w:tblCellMar>
          <w:left w:w="72" w:type="dxa"/>
          <w:right w:w="72" w:type="dxa"/>
        </w:tblCellMar>
        <w:tblLook w:val="04A0" w:firstRow="1" w:lastRow="0" w:firstColumn="1" w:lastColumn="0" w:noHBand="0" w:noVBand="1"/>
      </w:tblPr>
      <w:tblGrid>
        <w:gridCol w:w="1745"/>
        <w:gridCol w:w="5470"/>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3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83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bl>
    <w:p w:rsidR="00957B34" w:rsidRPr="00957B34" w:rsidRDefault="00957B34" w:rsidP="00957B34">
      <w:pPr>
        <w:spacing w:before="100" w:beforeAutospacing="1" w:after="100"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5/LISH/N</w:t>
      </w:r>
      <w:r w:rsidRPr="00957B34">
        <w:rPr>
          <w:rFonts w:ascii="Verdana" w:eastAsia="Times New Roman" w:hAnsi="Verdana" w:cs="Times New Roman"/>
          <w:b/>
          <w:sz w:val="20"/>
          <w:szCs w:val="20"/>
          <w:lang w:val="es-ES" w:eastAsia="es-MX"/>
        </w:rPr>
        <w:tab/>
        <w:t>Erogaciones necesarias para la exploración, extracción, transportación o entrega de hidrocarburos. Constituyen costos y gastos deducibles para la determinación del derecho por la utilidad compartida.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la segunda oración de la fracción en comento establece que los únicos costos y gastos que se podrán deducir serán los de exploración, transportación o entrega de los hidrocarburos.</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costos, gastos e inversiones deducibles para los efectos del derecho por la utilidad compartida.</w:t>
      </w:r>
    </w:p>
    <w:p w:rsidR="00957B34" w:rsidRPr="00957B34" w:rsidRDefault="00957B34" w:rsidP="00957B34">
      <w:pPr>
        <w:spacing w:after="100" w:line="24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bl>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6/LISH/N</w:t>
      </w:r>
      <w:r w:rsidRPr="00957B34">
        <w:rPr>
          <w:rFonts w:ascii="Verdana" w:eastAsia="Times New Roman" w:hAnsi="Verdana" w:cs="Times New Roman"/>
          <w:b/>
          <w:sz w:val="20"/>
          <w:szCs w:val="20"/>
          <w:lang w:val="es-ES" w:eastAsia="es-MX"/>
        </w:rPr>
        <w:tab/>
        <w:t>Derecho de exploración de hidrocarburos. Deducibilidad para la determinación de la base del derecho por la utilidad compartida.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z w:val="20"/>
          <w:szCs w:val="20"/>
          <w:lang w:val="es-ES_tradnl" w:eastAsia="es-MX"/>
        </w:rPr>
        <w:t>Lo anterior, toda vez que de conformidad con lo establecido en el artículo 5, primer párrafo del CFF, las disposiciones fiscales que se refieran a la determinación de la base del impuesto, son de aplicación estricta.</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bl>
    <w:p w:rsidR="00957B34" w:rsidRPr="00957B34" w:rsidRDefault="00957B34" w:rsidP="00957B34">
      <w:pPr>
        <w:spacing w:before="100" w:beforeAutospacing="1" w:after="100"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 </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_tradnl" w:eastAsia="es-MX"/>
        </w:rPr>
        <w:t>7</w:t>
      </w:r>
      <w:r w:rsidRPr="00957B34">
        <w:rPr>
          <w:rFonts w:ascii="Verdana" w:eastAsia="Times New Roman" w:hAnsi="Verdana" w:cs="Times New Roman"/>
          <w:b/>
          <w:sz w:val="20"/>
          <w:szCs w:val="20"/>
          <w:lang w:val="es-ES" w:eastAsia="es-MX"/>
        </w:rPr>
        <w:t>/LISH/N</w:t>
      </w:r>
      <w:r w:rsidRPr="00957B34">
        <w:rPr>
          <w:rFonts w:ascii="Verdana" w:eastAsia="Times New Roman" w:hAnsi="Verdana" w:cs="Times New Roman"/>
          <w:b/>
          <w:sz w:val="20"/>
          <w:szCs w:val="20"/>
          <w:lang w:val="es-ES" w:eastAsia="es-MX"/>
        </w:rPr>
        <w:tab/>
        <w:t>Capitalización delgada. Su excepción sólo es aplicable para los asignatarios y contratistas a que se refiere la Ley de Hidrocarburos.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64 del Reglamento de la Ley del ISR señala que para los efectos de la disposición a que se refiere el párrafo anterior se considerarán áreas estratégicas para el país, aquéllas a que se refiere el artículo 5 de la Ley de Inversión Extranjera.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w:t>
      </w:r>
      <w:r w:rsidRPr="00957B34">
        <w:rPr>
          <w:rFonts w:ascii="Verdana" w:eastAsia="Times New Roman" w:hAnsi="Verdana" w:cs="Times New Roman"/>
          <w:sz w:val="20"/>
          <w:szCs w:val="20"/>
          <w:lang w:val="es-ES" w:eastAsia="es-MX"/>
        </w:rPr>
        <w:lastRenderedPageBreak/>
        <w:t>actividades de exploración y extracción de hidrocarburos, por conducto de los asignatarios y contratistas a que se refiere la ley en comento.</w:t>
      </w:r>
    </w:p>
    <w:p w:rsidR="00957B34" w:rsidRPr="00957B34" w:rsidRDefault="00957B34" w:rsidP="00957B34">
      <w:pPr>
        <w:spacing w:after="100" w:line="224"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sexto párrafo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bl>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8/LISH/N</w:t>
      </w:r>
      <w:r w:rsidRPr="00957B34">
        <w:rPr>
          <w:rFonts w:ascii="Verdana" w:eastAsia="Times New Roman" w:hAnsi="Verdana" w:cs="Times New Roman"/>
          <w:b/>
          <w:sz w:val="20"/>
          <w:szCs w:val="20"/>
          <w:lang w:val="es-ES" w:eastAsia="es-MX"/>
        </w:rPr>
        <w:tab/>
        <w:t>Establecimiento permanente para los efectos de las actividades a que se refiere la Ley de Hidrocarburos.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Suprema Corte de Justicia de la Nación ha determinado que los tratados internacionales se encuentran en un segundo plano inmediatamente debajo de la Constitución Política de los Estados Unidos Mexicanos y por encima del derecho federal y el local.</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7215" w:type="dxa"/>
        <w:tblInd w:w="1642" w:type="dxa"/>
        <w:tblLayout w:type="fixed"/>
        <w:tblCellMar>
          <w:left w:w="72" w:type="dxa"/>
          <w:right w:w="72" w:type="dxa"/>
        </w:tblCellMar>
        <w:tblLook w:val="04A0" w:firstRow="1" w:lastRow="0" w:firstColumn="1" w:lastColumn="0" w:noHBand="0" w:noVBand="1"/>
      </w:tblPr>
      <w:tblGrid>
        <w:gridCol w:w="1745"/>
        <w:gridCol w:w="5470"/>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3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83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bl>
    <w:p w:rsidR="00957B34" w:rsidRPr="00957B34" w:rsidRDefault="00957B34" w:rsidP="00957B34">
      <w:pPr>
        <w:spacing w:before="100" w:beforeAutospacing="1" w:after="100" w:line="25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9/LISH/N</w:t>
      </w:r>
      <w:r w:rsidRPr="00957B34">
        <w:rPr>
          <w:rFonts w:ascii="Verdana" w:eastAsia="Times New Roman" w:hAnsi="Verdana" w:cs="Times New Roman"/>
          <w:b/>
          <w:sz w:val="20"/>
          <w:szCs w:val="20"/>
          <w:lang w:val="es-ES" w:eastAsia="es-MX"/>
        </w:rPr>
        <w:tab/>
        <w:t>Registro de operaciones contables de asignatarios y contratistas. Debe utilizarse la moneda nacional o de registro.</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ab/>
      </w:r>
      <w:r w:rsidRPr="00957B34">
        <w:rPr>
          <w:rFonts w:ascii="Verdana" w:eastAsia="Times New Roman" w:hAnsi="Verdana" w:cs="Times New Roman"/>
          <w:sz w:val="20"/>
          <w:szCs w:val="20"/>
          <w:lang w:val="es-ES" w:eastAsia="es-MX"/>
        </w:rPr>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 de la Ley Monetaria de los Estados Unidos Mexicanos establece que la unidad del sistema monetario de los Estados Unidos Mexicanos es el peso.</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rsidR="00957B34" w:rsidRPr="00957B34" w:rsidRDefault="00957B34" w:rsidP="00957B34">
      <w:pPr>
        <w:spacing w:after="100" w:line="25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2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2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Cuarta Resolución de Modificaciones a la RMF para 2015</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29 de septiembre de 2015, Anexo 7, publicado en la misma fecha de la Modificación.</w:t>
            </w:r>
          </w:p>
        </w:tc>
      </w:tr>
    </w:tbl>
    <w:p w:rsidR="00957B34" w:rsidRPr="00957B34" w:rsidRDefault="00957B34" w:rsidP="00957B34">
      <w:pPr>
        <w:spacing w:before="100" w:beforeAutospacing="1" w:after="100"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10/LISH/N</w:t>
      </w:r>
      <w:r w:rsidRPr="00957B34">
        <w:rPr>
          <w:rFonts w:ascii="Verdana" w:eastAsia="Times New Roman" w:hAnsi="Verdana" w:cs="Times New Roman"/>
          <w:b/>
          <w:sz w:val="20"/>
          <w:szCs w:val="20"/>
          <w:lang w:val="es-ES" w:eastAsia="es-MX"/>
        </w:rPr>
        <w:tab/>
        <w:t>Enajenación de bienes de activo fijo utilizados en actividades petroleras. Tratamiento fiscal en materia del ISR.</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Cuando en los contratos para la exploración y extracción de hidrocarburos bajo la modalidad de utilidad o de producción compartida, se indique que el contratista mantendrá durante su vigencia, la propiedad de todos los materiales generados o adquiridos </w:t>
      </w:r>
      <w:r w:rsidRPr="00957B34">
        <w:rPr>
          <w:rFonts w:ascii="Verdana" w:eastAsia="Times New Roman" w:hAnsi="Verdana" w:cs="Times New Roman"/>
          <w:sz w:val="20"/>
          <w:szCs w:val="20"/>
          <w:lang w:val="es-ES" w:eastAsia="es-MX"/>
        </w:rPr>
        <w:lastRenderedPageBreak/>
        <w:t>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 equivalente será descontado de las contraprestaciones que le correspondan al contratista.</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su parte, el artículo 25, fracción III de la Ley del ISR prevé que los contribuyentes podrán deducir para los efectos de dicho impuesto, los gastos netos de descuentos, bonificaciones o devoluciones.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Fondo Mexicano del Petróleo para la Estabilización y el Desarrollo.</w:t>
      </w:r>
    </w:p>
    <w:tbl>
      <w:tblPr>
        <w:tblW w:w="7215" w:type="dxa"/>
        <w:tblInd w:w="1642" w:type="dxa"/>
        <w:tblLayout w:type="fixed"/>
        <w:tblCellMar>
          <w:left w:w="72" w:type="dxa"/>
          <w:right w:w="72" w:type="dxa"/>
        </w:tblCellMar>
        <w:tblLook w:val="04A0" w:firstRow="1" w:lastRow="0" w:firstColumn="1" w:lastColumn="0" w:noHBand="0" w:noVBand="1"/>
      </w:tblPr>
      <w:tblGrid>
        <w:gridCol w:w="1745"/>
        <w:gridCol w:w="5470"/>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2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839"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2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RMF para 2016 </w:t>
            </w:r>
          </w:p>
        </w:tc>
        <w:tc>
          <w:tcPr>
            <w:tcW w:w="5839"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20" w:after="4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2015 y el Anexo 7, publicado en el Diario Oficial de la Federación el 12 de enero de 2016.</w:t>
            </w:r>
          </w:p>
        </w:tc>
      </w:tr>
    </w:tbl>
    <w:p w:rsidR="00957B34" w:rsidRPr="00957B34" w:rsidRDefault="00957B34" w:rsidP="00957B34">
      <w:pPr>
        <w:spacing w:before="100" w:beforeAutospacing="1" w:after="40" w:line="22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xml:space="preserve">11/LISH/N </w:t>
      </w:r>
      <w:r w:rsidRPr="00957B34">
        <w:rPr>
          <w:rFonts w:ascii="Verdana" w:eastAsia="Times New Roman" w:hAnsi="Verdana" w:cs="Times New Roman"/>
          <w:b/>
          <w:sz w:val="20"/>
          <w:szCs w:val="20"/>
          <w:lang w:val="es-ES" w:eastAsia="es-MX"/>
        </w:rPr>
        <w:tab/>
        <w:t>Transmisión al Estado de los activos generados o adquiridos al amparo de los Contratos de exploración y extracción. Tratamiento fiscal en materia del ISR.</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w:t>
      </w:r>
      <w:r w:rsidRPr="00957B34">
        <w:rPr>
          <w:rFonts w:ascii="Verdana" w:eastAsia="Times New Roman" w:hAnsi="Verdana" w:cs="Times New Roman"/>
          <w:sz w:val="20"/>
          <w:szCs w:val="20"/>
          <w:lang w:val="es-ES" w:eastAsia="es-MX"/>
        </w:rPr>
        <w:lastRenderedPageBreak/>
        <w:t>de efectuar dicha transmisión sin cargo, pago o indemnización alguna, en los términos del artículo 28, fracción VII de la LISH.</w:t>
      </w:r>
    </w:p>
    <w:tbl>
      <w:tblPr>
        <w:tblW w:w="7215" w:type="dxa"/>
        <w:tblInd w:w="1642" w:type="dxa"/>
        <w:tblLayout w:type="fixed"/>
        <w:tblCellMar>
          <w:left w:w="72" w:type="dxa"/>
          <w:right w:w="72" w:type="dxa"/>
        </w:tblCellMar>
        <w:tblLook w:val="04A0" w:firstRow="1" w:lastRow="0" w:firstColumn="1" w:lastColumn="0" w:noHBand="0" w:noVBand="1"/>
      </w:tblPr>
      <w:tblGrid>
        <w:gridCol w:w="1823"/>
        <w:gridCol w:w="5392"/>
      </w:tblGrid>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494"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1855"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RMF para 2016 </w:t>
            </w:r>
          </w:p>
        </w:tc>
        <w:tc>
          <w:tcPr>
            <w:tcW w:w="5494"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2015 y el Anexo 7, publicado en el Diario Oficial de la Federación el 12 de enero de 2016.</w:t>
            </w:r>
          </w:p>
        </w:tc>
      </w:tr>
    </w:tbl>
    <w:p w:rsidR="00957B34" w:rsidRPr="00957B34" w:rsidRDefault="00957B34" w:rsidP="00957B34">
      <w:pPr>
        <w:spacing w:before="100" w:beforeAutospacing="1" w:after="100" w:line="22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12/LISH/N</w:t>
      </w:r>
      <w:r w:rsidRPr="00957B34">
        <w:rPr>
          <w:rFonts w:ascii="Verdana" w:eastAsia="Times New Roman" w:hAnsi="Verdana" w:cs="Times New Roman"/>
          <w:b/>
          <w:sz w:val="20"/>
          <w:szCs w:val="20"/>
          <w:lang w:val="es-ES" w:eastAsia="es-MX"/>
        </w:rPr>
        <w:tab/>
        <w:t>Aportaciones a los fideicomisos de inversión para fondear las operaciones de abandono en el área contractual. El monto equivalente a los intereses que se disminuyen para calcular las aportaciones trimestrales, constituye un ingreso acumulable para el contratista.</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contratos para la exploración y extracción de hidrocarburos bajo la modalidad de producción compartida, establecen que los contratistas están obligados a constituir un fideicomiso de inversión para fondear las operaciones de abandono en el área contractual.</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tal virtud, con la disminución de los intereses respecto de las aportaciones que debe realizar el contratista al fideicomiso de abandono, dicho contratista ve incrementado su haber patrimonial en el monto que ya no se verá obligado a aportar al fideicomiso.</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10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RMF para 2016 </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10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2015 y el Anexo 7, publicado en el Diario Oficial de la Federación el 12 de enero de 2016.</w:t>
            </w:r>
          </w:p>
        </w:tc>
      </w:tr>
    </w:tbl>
    <w:p w:rsidR="00957B34" w:rsidRPr="00957B34" w:rsidRDefault="00957B34" w:rsidP="00957B34">
      <w:pPr>
        <w:spacing w:before="100" w:beforeAutospacing="1" w:after="100" w:line="22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13/LISH/N</w:t>
      </w:r>
      <w:r w:rsidRPr="00957B34">
        <w:rPr>
          <w:rFonts w:ascii="Verdana" w:eastAsia="Times New Roman" w:hAnsi="Verdana" w:cs="Times New Roman"/>
          <w:b/>
          <w:sz w:val="20"/>
          <w:szCs w:val="20"/>
          <w:lang w:val="es-ES" w:eastAsia="es-MX"/>
        </w:rPr>
        <w:tab/>
        <w:t>Provisión de reserva de abandono. No es deducible para los efectos del ISR</w:t>
      </w:r>
      <w:r w:rsidRPr="00957B34">
        <w:rPr>
          <w:rFonts w:ascii="Verdana" w:eastAsia="Times New Roman" w:hAnsi="Verdana" w:cs="Times New Roman"/>
          <w:sz w:val="20"/>
          <w:szCs w:val="20"/>
          <w:lang w:val="es-ES" w:eastAsia="es-MX"/>
        </w:rPr>
        <w:t>.</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El artículo 28, fracción VII de la LISH prevé que los contratistas tendrán que cumplir con las obligaciones de abandono y desmantelamiento conforme a las disposiciones jurídicas aplicables y lo dispuesto en el contrato respectivo.</w:t>
      </w:r>
    </w:p>
    <w:p w:rsidR="00957B34" w:rsidRPr="00957B34" w:rsidRDefault="00957B34" w:rsidP="00957B34">
      <w:pPr>
        <w:spacing w:after="100" w:line="222"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ab/>
        <w:t>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El artículo 28, fracción VIII de la Ley del ISR dispone que no </w:t>
      </w:r>
      <w:proofErr w:type="gramStart"/>
      <w:r w:rsidRPr="00957B34">
        <w:rPr>
          <w:rFonts w:ascii="Verdana" w:eastAsia="Times New Roman" w:hAnsi="Verdana" w:cs="Times New Roman"/>
          <w:sz w:val="20"/>
          <w:szCs w:val="20"/>
          <w:lang w:val="es-ES" w:eastAsia="es-MX"/>
        </w:rPr>
        <w:t>serán</w:t>
      </w:r>
      <w:proofErr w:type="gramEnd"/>
      <w:r w:rsidRPr="00957B34">
        <w:rPr>
          <w:rFonts w:ascii="Verdana" w:eastAsia="Times New Roman" w:hAnsi="Verdana" w:cs="Times New Roman"/>
          <w:sz w:val="20"/>
          <w:szCs w:val="20"/>
          <w:lang w:val="es-ES" w:eastAsia="es-MX"/>
        </w:rPr>
        <w:t xml:space="preserve"> deducibles las provisiones para la creación o el incremento de reservas complementarias de activo o de pasivo que se constituyan con cargo a las adquisiciones o gastos del ejercicio.</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ese sentido, la provisión de reserva de abandono creada conforme a la Norma de Información Financiera C-18 para dar cumplimiento a los referidos Lineamientos, no es deducible de conformidad con el artículo 28, fracción VIII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RMF para 2017 </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2016, Anexo 7, publicado en el Diario Oficial de la Federación el 27 de diciembre de 2016.</w:t>
            </w:r>
          </w:p>
        </w:tc>
      </w:tr>
    </w:tbl>
    <w:p w:rsidR="00957B34" w:rsidRPr="00957B34" w:rsidRDefault="00957B34" w:rsidP="00957B34">
      <w:pPr>
        <w:spacing w:after="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14/LISH/N</w:t>
      </w:r>
      <w:r w:rsidRPr="00957B34">
        <w:rPr>
          <w:rFonts w:ascii="Verdana" w:eastAsia="Times New Roman" w:hAnsi="Verdana" w:cs="Times New Roman"/>
          <w:b/>
          <w:sz w:val="20"/>
          <w:szCs w:val="20"/>
          <w:lang w:val="es-ES" w:eastAsia="es-MX"/>
        </w:rPr>
        <w:tab/>
        <w:t>Porcentajes de deducción para contratistas y asignatarios. Únicamente son aplicables para las inversiones destinadas a las actividades señaladas en los mismos.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33 y 34 de la Ley del ISR, señalan los porcientos máximos autorizados tratándose de gastos y cargos diferidos, erogaciones realizadas en períodos preoperativos y activos fijos por tipo de bien, respectivamente.</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 xml:space="preserve">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w:t>
      </w:r>
      <w:r w:rsidRPr="00957B34">
        <w:rPr>
          <w:rFonts w:ascii="Verdana" w:eastAsia="Times New Roman" w:hAnsi="Verdana" w:cs="Times New Roman"/>
          <w:sz w:val="20"/>
          <w:szCs w:val="20"/>
          <w:lang w:val="es-ES" w:eastAsia="es-MX"/>
        </w:rPr>
        <w:lastRenderedPageBreak/>
        <w:t>almacenamiento; en este sentido, cuando la LISH señala que los porcentajes previstos en 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rsidR="00957B34" w:rsidRPr="00957B34" w:rsidRDefault="00957B34" w:rsidP="00957B34">
      <w:pPr>
        <w:spacing w:after="100" w:line="220" w:lineRule="exact"/>
        <w:ind w:left="1584" w:hanging="1296"/>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b/>
        <w:t>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7215" w:type="dxa"/>
        <w:tblInd w:w="1642" w:type="dxa"/>
        <w:tblLayout w:type="fixed"/>
        <w:tblCellMar>
          <w:left w:w="72" w:type="dxa"/>
          <w:right w:w="72" w:type="dxa"/>
        </w:tblCellMar>
        <w:tblLook w:val="04A0" w:firstRow="1" w:lastRow="0" w:firstColumn="1" w:lastColumn="0" w:noHBand="0" w:noVBand="1"/>
      </w:tblPr>
      <w:tblGrid>
        <w:gridCol w:w="2044"/>
        <w:gridCol w:w="5171"/>
      </w:tblGrid>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Origen</w:t>
            </w:r>
          </w:p>
        </w:tc>
        <w:tc>
          <w:tcPr>
            <w:tcW w:w="5268" w:type="dxa"/>
            <w:tcBorders>
              <w:top w:val="single" w:sz="6" w:space="0" w:color="auto"/>
              <w:left w:val="single" w:sz="6" w:space="0" w:color="auto"/>
              <w:bottom w:val="single" w:sz="6" w:space="0" w:color="auto"/>
              <w:right w:val="single" w:sz="6" w:space="0" w:color="auto"/>
            </w:tcBorders>
            <w:shd w:val="clear" w:color="auto" w:fill="C0C0C0"/>
            <w:hideMark/>
          </w:tcPr>
          <w:p w:rsidR="00957B34" w:rsidRPr="00957B34" w:rsidRDefault="00957B34" w:rsidP="00957B34">
            <w:pPr>
              <w:spacing w:before="100" w:beforeAutospacing="1" w:after="8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Primer antecedente</w:t>
            </w:r>
          </w:p>
        </w:tc>
      </w:tr>
      <w:tr w:rsidR="00957B34" w:rsidRPr="00957B34" w:rsidTr="00957B34">
        <w:trPr>
          <w:trHeight w:val="20"/>
        </w:trPr>
        <w:tc>
          <w:tcPr>
            <w:tcW w:w="2081"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xml:space="preserve">RMF para 2017 </w:t>
            </w:r>
          </w:p>
        </w:tc>
        <w:tc>
          <w:tcPr>
            <w:tcW w:w="5268"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100" w:beforeAutospacing="1" w:after="80"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Publicada en el Diario Oficial de la Federación el 23 de diciembre de 2016, Anexo 7, publicado en el Diario Oficial de la Federación el 27 de diciembre de 2016.</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SEGUNDO.</w:t>
      </w:r>
      <w:r w:rsidRPr="00957B34">
        <w:rPr>
          <w:rFonts w:ascii="Verdana" w:eastAsia="Times New Roman" w:hAnsi="Verdana" w:cs="Times New Roman"/>
          <w:sz w:val="20"/>
          <w:szCs w:val="20"/>
          <w:lang w:val="es-ES" w:eastAsia="es-MX"/>
        </w:rPr>
        <w:t xml:space="preserve"> Los criterios derogados no pierden su vigencia y aplicación respecto de las situaciones jurídicas o de hecho que en su momento regularon.</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Atentamente.</w:t>
      </w:r>
    </w:p>
    <w:p w:rsidR="00957B34" w:rsidRPr="00957B34" w:rsidRDefault="00957B34" w:rsidP="00957B34">
      <w:pPr>
        <w:spacing w:before="100" w:beforeAutospacing="1" w:after="100" w:line="22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Ciudad de México, 22 de abril de 2019.- La Jefa del Servicio de Administración Tributaria, </w:t>
      </w:r>
      <w:r w:rsidRPr="00957B34">
        <w:rPr>
          <w:rFonts w:ascii="Verdana" w:eastAsia="Times New Roman" w:hAnsi="Verdana" w:cs="Times New Roman"/>
          <w:b/>
          <w:sz w:val="20"/>
          <w:szCs w:val="20"/>
          <w:lang w:val="es-ES" w:eastAsia="es-MX"/>
        </w:rPr>
        <w:t>Ana Margarita Ríos Farjat</w:t>
      </w:r>
      <w:r w:rsidRPr="00957B34">
        <w:rPr>
          <w:rFonts w:ascii="Verdana" w:eastAsia="Times New Roman" w:hAnsi="Verdana" w:cs="Times New Roman"/>
          <w:sz w:val="20"/>
          <w:szCs w:val="20"/>
          <w:lang w:val="es-ES" w:eastAsia="es-MX"/>
        </w:rPr>
        <w:t>.- Rúbrica.</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_tradnl" w:eastAsia="es-MX"/>
        </w:rPr>
        <w:t>Anexo 9 de la Resolución Miscelánea Fiscal para 2019</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 xml:space="preserve">Tabla a que se refiere la regla 3.15.1. </w:t>
            </w:r>
            <w:proofErr w:type="gramStart"/>
            <w:r w:rsidRPr="00957B34">
              <w:rPr>
                <w:rFonts w:ascii="Verdana" w:eastAsia="Times New Roman" w:hAnsi="Verdana" w:cs="Arial"/>
                <w:b/>
                <w:sz w:val="20"/>
                <w:szCs w:val="20"/>
                <w:lang w:val="es-ES" w:eastAsia="es-MX"/>
              </w:rPr>
              <w:t>de</w:t>
            </w:r>
            <w:proofErr w:type="gramEnd"/>
            <w:r w:rsidRPr="00957B34">
              <w:rPr>
                <w:rFonts w:ascii="Verdana" w:eastAsia="Times New Roman" w:hAnsi="Verdana" w:cs="Arial"/>
                <w:b/>
                <w:sz w:val="20"/>
                <w:szCs w:val="20"/>
                <w:lang w:val="es-ES" w:eastAsia="es-MX"/>
              </w:rPr>
              <w:t xml:space="preserve"> la Resolución Miscelánea Fiscal para 2019, para la opción de actualización de deducciones que señala el artículo 121 de la Ley del ISR.</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0" w:lineRule="auto"/>
        <w:jc w:val="center"/>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Tabla</w:t>
      </w:r>
    </w:p>
    <w:tbl>
      <w:tblPr>
        <w:tblW w:w="8715" w:type="dxa"/>
        <w:jc w:val="center"/>
        <w:tblInd w:w="144" w:type="dxa"/>
        <w:tblLayout w:type="fixed"/>
        <w:tblCellMar>
          <w:left w:w="70" w:type="dxa"/>
          <w:right w:w="70" w:type="dxa"/>
        </w:tblCellMar>
        <w:tblLook w:val="04A0" w:firstRow="1" w:lastRow="0" w:firstColumn="1" w:lastColumn="0" w:noHBand="0" w:noVBand="1"/>
      </w:tblPr>
      <w:tblGrid>
        <w:gridCol w:w="5446"/>
        <w:gridCol w:w="3269"/>
      </w:tblGrid>
      <w:tr w:rsidR="00957B34" w:rsidRPr="00957B34" w:rsidTr="00957B34">
        <w:trPr>
          <w:trHeight w:val="20"/>
          <w:jc w:val="center"/>
        </w:trPr>
        <w:tc>
          <w:tcPr>
            <w:tcW w:w="5397"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Cuando el tiempo transcurrido sea:</w:t>
            </w:r>
          </w:p>
        </w:tc>
        <w:tc>
          <w:tcPr>
            <w:tcW w:w="3240" w:type="dxa"/>
            <w:tcBorders>
              <w:top w:val="single" w:sz="6" w:space="0" w:color="auto"/>
              <w:left w:val="single" w:sz="6" w:space="0" w:color="auto"/>
              <w:bottom w:val="single" w:sz="6" w:space="0" w:color="auto"/>
              <w:right w:val="single" w:sz="6" w:space="0" w:color="auto"/>
            </w:tcBorders>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El factor correspondiente será</w:t>
            </w:r>
          </w:p>
        </w:tc>
      </w:tr>
      <w:tr w:rsidR="00957B34" w:rsidRPr="00957B34" w:rsidTr="00957B34">
        <w:trPr>
          <w:trHeight w:val="20"/>
          <w:jc w:val="center"/>
        </w:trPr>
        <w:tc>
          <w:tcPr>
            <w:tcW w:w="5397" w:type="dxa"/>
            <w:tcBorders>
              <w:top w:val="single" w:sz="6" w:space="0" w:color="auto"/>
              <w:left w:val="nil"/>
              <w:bottom w:val="nil"/>
              <w:right w:val="nil"/>
            </w:tcBorders>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Hasta 1 año</w:t>
            </w:r>
          </w:p>
        </w:tc>
        <w:tc>
          <w:tcPr>
            <w:tcW w:w="3240" w:type="dxa"/>
            <w:tcBorders>
              <w:top w:val="single" w:sz="6" w:space="0" w:color="auto"/>
              <w:left w:val="nil"/>
              <w:bottom w:val="nil"/>
              <w:right w:val="nil"/>
            </w:tcBorders>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 año hasta 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1.04</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 años hasta 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 años hasta 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1.15</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 años hasta 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1.18</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 años hasta 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1.22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 años hasta 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1.27</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Más de 7 años hasta 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1.32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 años hasta 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1.37</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9 años hasta 10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1.42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10 años hasta 11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1.48</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11 años hasta 12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1.58</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12 años hasta 13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1.64</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13 años hasta 14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1.70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14 años hasta 15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1.77</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15 años hasta 16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1.85</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16 años hasta 17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1.93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17 años hasta 18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18 años hasta 19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2.12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19 años hasta 20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2.29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20 años hasta 21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2.55</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21 años hasta 22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3.03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22 años hasta 23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3.50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23 años hasta 24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4.42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24 años hasta 25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6.71</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25 años hasta 26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7.39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26 años hasta 27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7.95</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27 años hasta 28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8.84</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28 años hasta 29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10.43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29 años hasta 30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13.26</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30 años hasta 31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16.24</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31 años hasta 32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21.85</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32 años hasta 33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60.50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33 años hasta 34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123.62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34 años hasta 35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205.10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35 años hasta 36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329.71</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36 años hasta 37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571.69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37 años hasta 38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1,200.81</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38 años hasta 39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1,571.41</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39 años hasta 40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2,008.25</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40 años hasta 41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2,441.15</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41 años hasta 42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2,872.69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42 años hasta 43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3,433.86</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43 años hasta 44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4,421.66</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44 años hasta 45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4,953.33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45 años hasta 46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5,840.90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46 años hasta 47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7,237.87</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Más de 47 años hasta 48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7,716.77</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48 años hasta 49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8,055.97</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49 años hasta 50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8,453.13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50 años hasta 51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8,892.57</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51 años hasta 52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9,090.12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52 años hasta 53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9,213.41</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53 años hasta 54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9,500.62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54 años hasta 55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9,595.13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55 años hasta 56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9,979.00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56 años hasta 57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10,154.91</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57 años hasta 58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10,404.38</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58 años hasta 59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10,329.49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59 años hasta 60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10,886.62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60 años hasta 61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10,928.26</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61 años hasta 62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11,187.75</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62 años hasta 63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11,967.12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63 años hasta 64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12,048.63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64 años hasta 65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13,284.83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65 años hasta 66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15,566.01</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66 años hasta 67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15,904.74</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67 años hasta 68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15,361.48</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68 años hasta 69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17,879.60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69 años hasta 70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21,447.09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70 años hasta 71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23,659.60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71 años hasta 72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26,168.29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72 años hasta 73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28,219.73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73 años hasta 74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29,962.38</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74 años hasta 75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35,299.19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75 años hasta 76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39,795.29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76 años hasta 77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51,490.86</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77 años hasta 78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64,883.10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78 años hasta 79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72,249.74</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79 años hasta 80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77,433.58</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80 años hasta 81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79,480.28</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81 años hasta 82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78,482.62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82 años hasta 83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83,765.10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83 años hasta 84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103,053.12</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84 años hasta 85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109,923.33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85 años hasta 86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109,923.33</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86 años hasta 87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116,184.79</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Más de 87 años hasta 88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124,998.80</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88 años hasta 89 años</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117,274.16</w:t>
            </w:r>
          </w:p>
        </w:tc>
      </w:tr>
      <w:tr w:rsidR="00957B34" w:rsidRPr="00957B34" w:rsidTr="00957B34">
        <w:trPr>
          <w:trHeight w:val="20"/>
          <w:jc w:val="center"/>
        </w:trPr>
        <w:tc>
          <w:tcPr>
            <w:tcW w:w="5397" w:type="dxa"/>
            <w:hideMark/>
          </w:tcPr>
          <w:p w:rsidR="00957B34" w:rsidRPr="00957B34" w:rsidRDefault="00957B34" w:rsidP="00957B34">
            <w:pPr>
              <w:spacing w:before="40" w:after="40" w:line="20" w:lineRule="atLeast"/>
              <w:ind w:left="1440"/>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Más de 89 años en adelante</w:t>
            </w:r>
          </w:p>
        </w:tc>
        <w:tc>
          <w:tcPr>
            <w:tcW w:w="3240" w:type="dxa"/>
            <w:hideMark/>
          </w:tcPr>
          <w:p w:rsidR="00957B34" w:rsidRPr="00957B34" w:rsidRDefault="00957B34" w:rsidP="00957B34">
            <w:pPr>
              <w:spacing w:before="40" w:after="40" w:line="20" w:lineRule="atLeast"/>
              <w:jc w:val="center"/>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103,763.31</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Atentamente.</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Ciudad de México, 22 de abril de 2019.- La Jefa del Servicio de Administración Tributaria, </w:t>
      </w:r>
      <w:r w:rsidRPr="00957B34">
        <w:rPr>
          <w:rFonts w:ascii="Verdana" w:eastAsia="Times New Roman" w:hAnsi="Verdana" w:cs="Times New Roman"/>
          <w:b/>
          <w:sz w:val="20"/>
          <w:szCs w:val="20"/>
          <w:lang w:val="es-ES" w:eastAsia="es-MX"/>
        </w:rPr>
        <w:t>Ana Margarita Ríos Farjat</w:t>
      </w:r>
      <w:r w:rsidRPr="00957B34">
        <w:rPr>
          <w:rFonts w:ascii="Verdana" w:eastAsia="Times New Roman" w:hAnsi="Verdana" w:cs="Times New Roman"/>
          <w:sz w:val="20"/>
          <w:szCs w:val="20"/>
          <w:lang w:val="es-ES" w:eastAsia="es-MX"/>
        </w:rPr>
        <w:t>.- Rúbrica.</w:t>
      </w:r>
    </w:p>
    <w:p w:rsidR="00957B34" w:rsidRPr="00957B34" w:rsidRDefault="00957B34" w:rsidP="00957B34">
      <w:pPr>
        <w:spacing w:before="100" w:beforeAutospacing="1" w:after="100" w:afterAutospacing="1" w:line="221" w:lineRule="exact"/>
        <w:rPr>
          <w:rFonts w:ascii="Verdana" w:eastAsia="Times New Roman" w:hAnsi="Verdana" w:cs="Times New Roman"/>
          <w:sz w:val="20"/>
          <w:szCs w:val="20"/>
          <w:lang w:eastAsia="es-MX"/>
        </w:rPr>
      </w:pPr>
      <w:r w:rsidRPr="00957B34">
        <w:rPr>
          <w:rFonts w:ascii="Verdana" w:eastAsia="Times New Roman" w:hAnsi="Verdana" w:cs="Times New Roman"/>
          <w:noProof/>
          <w:sz w:val="20"/>
          <w:szCs w:val="20"/>
          <w:lang w:val="es-ES_tradnl" w:eastAsia="es-MX"/>
        </w:rPr>
        <w:t>Anexo 11 de la Resolución Miscelánea Fiscal para 2019</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spacing w:before="100" w:beforeAutospacing="1" w:after="100" w:afterAutospacing="1" w:line="221" w:lineRule="exact"/>
              <w:jc w:val="center"/>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Contenido</w:t>
            </w:r>
          </w:p>
          <w:p w:rsidR="00957B34" w:rsidRPr="00957B34" w:rsidRDefault="00957B34" w:rsidP="00957B34">
            <w:pPr>
              <w:spacing w:before="100" w:beforeAutospacing="1" w:after="100" w:afterAutospacing="1" w:line="221" w:lineRule="exac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A.</w:t>
            </w:r>
            <w:r w:rsidRPr="00957B34">
              <w:rPr>
                <w:rFonts w:ascii="Verdana" w:eastAsia="Times New Roman" w:hAnsi="Verdana" w:cs="Arial"/>
                <w:b/>
                <w:noProof/>
                <w:sz w:val="20"/>
                <w:szCs w:val="20"/>
                <w:lang w:val="es-ES" w:eastAsia="es-MX"/>
              </w:rPr>
              <w:tab/>
              <w:t>Catálogo de claves de tipo de producto</w:t>
            </w:r>
          </w:p>
          <w:p w:rsidR="00957B34" w:rsidRPr="00957B34" w:rsidRDefault="00957B34" w:rsidP="00957B34">
            <w:pPr>
              <w:spacing w:before="100" w:beforeAutospacing="1" w:after="100" w:afterAutospacing="1" w:line="221" w:lineRule="exac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B.</w:t>
            </w:r>
            <w:r w:rsidRPr="00957B34">
              <w:rPr>
                <w:rFonts w:ascii="Verdana" w:eastAsia="Times New Roman" w:hAnsi="Verdana" w:cs="Arial"/>
                <w:b/>
                <w:noProof/>
                <w:sz w:val="20"/>
                <w:szCs w:val="20"/>
                <w:lang w:val="es-ES" w:eastAsia="es-MX"/>
              </w:rPr>
              <w:tab/>
              <w:t>Catálogos de claves de nombres genéricos de bebidas alcohólicas y marcas de tabacos labrados</w:t>
            </w:r>
          </w:p>
          <w:p w:rsidR="00957B34" w:rsidRPr="00957B34" w:rsidRDefault="00957B34" w:rsidP="00957B34">
            <w:pPr>
              <w:spacing w:before="100" w:beforeAutospacing="1" w:after="100" w:afterAutospacing="1" w:line="221" w:lineRule="exac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C.</w:t>
            </w:r>
            <w:r w:rsidRPr="00957B34">
              <w:rPr>
                <w:rFonts w:ascii="Verdana" w:eastAsia="Times New Roman" w:hAnsi="Verdana" w:cs="Arial"/>
                <w:b/>
                <w:noProof/>
                <w:sz w:val="20"/>
                <w:szCs w:val="20"/>
                <w:lang w:val="es-ES" w:eastAsia="es-MX"/>
              </w:rPr>
              <w:tab/>
              <w:t>Catálogo de claves de entidad federativa</w:t>
            </w:r>
          </w:p>
          <w:p w:rsidR="00957B34" w:rsidRPr="00957B34" w:rsidRDefault="00957B34" w:rsidP="00957B34">
            <w:pPr>
              <w:spacing w:before="100" w:beforeAutospacing="1" w:after="100" w:afterAutospacing="1" w:line="221" w:lineRule="exac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D.</w:t>
            </w:r>
            <w:r w:rsidRPr="00957B34">
              <w:rPr>
                <w:rFonts w:ascii="Verdana" w:eastAsia="Times New Roman" w:hAnsi="Verdana" w:cs="Arial"/>
                <w:b/>
                <w:noProof/>
                <w:sz w:val="20"/>
                <w:szCs w:val="20"/>
                <w:lang w:val="es-ES" w:eastAsia="es-MX"/>
              </w:rPr>
              <w:tab/>
              <w:t>Catálogo de claves de graduación alcohólica</w:t>
            </w:r>
          </w:p>
          <w:p w:rsidR="00957B34" w:rsidRPr="00957B34" w:rsidRDefault="00957B34" w:rsidP="00957B34">
            <w:pPr>
              <w:spacing w:before="100" w:beforeAutospacing="1" w:after="100" w:afterAutospacing="1" w:line="221" w:lineRule="exac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E.</w:t>
            </w:r>
            <w:r w:rsidRPr="00957B34">
              <w:rPr>
                <w:rFonts w:ascii="Verdana" w:eastAsia="Times New Roman" w:hAnsi="Verdana" w:cs="Arial"/>
                <w:b/>
                <w:noProof/>
                <w:sz w:val="20"/>
                <w:szCs w:val="20"/>
                <w:lang w:val="es-ES" w:eastAsia="es-MX"/>
              </w:rPr>
              <w:tab/>
              <w:t>Catálogo de claves de empaque</w:t>
            </w:r>
          </w:p>
          <w:p w:rsidR="00957B34" w:rsidRPr="00957B34" w:rsidRDefault="00957B34" w:rsidP="00957B34">
            <w:pPr>
              <w:spacing w:before="100" w:beforeAutospacing="1" w:after="100" w:afterAutospacing="1" w:line="221" w:lineRule="exac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F.</w:t>
            </w:r>
            <w:r w:rsidRPr="00957B34">
              <w:rPr>
                <w:rFonts w:ascii="Verdana" w:eastAsia="Times New Roman" w:hAnsi="Verdana" w:cs="Arial"/>
                <w:b/>
                <w:noProof/>
                <w:sz w:val="20"/>
                <w:szCs w:val="20"/>
                <w:lang w:val="es-ES" w:eastAsia="es-MX"/>
              </w:rPr>
              <w:tab/>
              <w:t>Catálogo de claves de unidad de medida</w:t>
            </w:r>
          </w:p>
          <w:p w:rsidR="00957B34" w:rsidRPr="00957B34" w:rsidRDefault="00957B34" w:rsidP="00957B34">
            <w:pPr>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G.</w:t>
            </w:r>
            <w:r w:rsidRPr="00957B34">
              <w:rPr>
                <w:rFonts w:ascii="Verdana" w:eastAsia="Times New Roman" w:hAnsi="Verdana" w:cs="Arial"/>
                <w:b/>
                <w:noProof/>
                <w:sz w:val="20"/>
                <w:szCs w:val="20"/>
                <w:lang w:val="es-ES" w:eastAsia="es-MX"/>
              </w:rPr>
              <w:tab/>
              <w:t>Rectificaciones</w:t>
            </w:r>
          </w:p>
        </w:tc>
      </w:tr>
    </w:tbl>
    <w:p w:rsidR="00957B34" w:rsidRPr="00957B34" w:rsidRDefault="00957B34" w:rsidP="00957B34">
      <w:pPr>
        <w:spacing w:before="100" w:beforeAutospacing="1" w:after="100" w:afterAutospacing="1" w:line="221"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A.</w:t>
            </w:r>
            <w:r w:rsidRPr="00957B34">
              <w:rPr>
                <w:rFonts w:ascii="Verdana" w:eastAsia="Times New Roman" w:hAnsi="Verdana" w:cs="Arial"/>
                <w:b/>
                <w:noProof/>
                <w:sz w:val="20"/>
                <w:szCs w:val="20"/>
                <w:lang w:val="es-ES" w:eastAsia="es-MX"/>
              </w:rPr>
              <w:tab/>
              <w:t>Catálogo de claves de tipo de producto</w:t>
            </w:r>
          </w:p>
        </w:tc>
      </w:tr>
    </w:tbl>
    <w:p w:rsidR="00957B34" w:rsidRPr="00957B34" w:rsidRDefault="00957B34" w:rsidP="00957B34">
      <w:pPr>
        <w:spacing w:before="100" w:beforeAutospacing="1" w:after="100" w:afterAutospacing="1" w:line="221"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w:t>
      </w:r>
      <w:r w:rsidRPr="00957B34">
        <w:rPr>
          <w:rFonts w:ascii="Verdana" w:eastAsia="Times New Roman" w:hAnsi="Verdana" w:cs="Times New Roman"/>
          <w:sz w:val="20"/>
          <w:szCs w:val="20"/>
          <w:lang w:val="es-ES" w:eastAsia="es-MX"/>
        </w:rPr>
        <w:tab/>
        <w:t>Bebidas alcohólicas</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002</w:t>
      </w:r>
      <w:r w:rsidRPr="00957B34">
        <w:rPr>
          <w:rFonts w:ascii="Verdana" w:eastAsia="Times New Roman" w:hAnsi="Verdana" w:cs="Times New Roman"/>
          <w:sz w:val="20"/>
          <w:szCs w:val="20"/>
          <w:lang w:val="es-ES" w:eastAsia="es-MX"/>
        </w:rPr>
        <w:tab/>
        <w:t>Cerveza</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003</w:t>
      </w:r>
      <w:r w:rsidRPr="00957B34">
        <w:rPr>
          <w:rFonts w:ascii="Verdana" w:eastAsia="Times New Roman" w:hAnsi="Verdana" w:cs="Times New Roman"/>
          <w:sz w:val="20"/>
          <w:szCs w:val="20"/>
          <w:lang w:val="es-ES" w:eastAsia="es-MX"/>
        </w:rPr>
        <w:tab/>
        <w:t>Bebidas refrescantes</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006</w:t>
      </w:r>
      <w:r w:rsidRPr="00957B34">
        <w:rPr>
          <w:rFonts w:ascii="Verdana" w:eastAsia="Times New Roman" w:hAnsi="Verdana" w:cs="Times New Roman"/>
          <w:sz w:val="20"/>
          <w:szCs w:val="20"/>
          <w:lang w:val="es-ES" w:eastAsia="es-MX"/>
        </w:rPr>
        <w:tab/>
        <w:t>Alcohol</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w:t>
      </w:r>
      <w:r w:rsidRPr="00957B34">
        <w:rPr>
          <w:rFonts w:ascii="Verdana" w:eastAsia="Times New Roman" w:hAnsi="Verdana" w:cs="Times New Roman"/>
          <w:sz w:val="20"/>
          <w:szCs w:val="20"/>
          <w:lang w:val="es-ES" w:eastAsia="es-MX"/>
        </w:rPr>
        <w:tab/>
        <w:t>Alcohol desnaturalizado</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012</w:t>
      </w:r>
      <w:r w:rsidRPr="00957B34">
        <w:rPr>
          <w:rFonts w:ascii="Verdana" w:eastAsia="Times New Roman" w:hAnsi="Verdana" w:cs="Times New Roman"/>
          <w:sz w:val="20"/>
          <w:szCs w:val="20"/>
          <w:lang w:val="es-ES" w:eastAsia="es-MX"/>
        </w:rPr>
        <w:tab/>
        <w:t>Mieles incristalizables</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013</w:t>
      </w:r>
      <w:r w:rsidRPr="00957B34">
        <w:rPr>
          <w:rFonts w:ascii="Verdana" w:eastAsia="Times New Roman" w:hAnsi="Verdana" w:cs="Times New Roman"/>
          <w:sz w:val="20"/>
          <w:szCs w:val="20"/>
          <w:lang w:val="es-ES" w:eastAsia="es-MX"/>
        </w:rPr>
        <w:tab/>
        <w:t>Tabacos labrados</w:t>
      </w:r>
    </w:p>
    <w:p w:rsidR="00957B34" w:rsidRPr="00957B34" w:rsidRDefault="00957B34" w:rsidP="00957B34">
      <w:pPr>
        <w:spacing w:before="100" w:beforeAutospacing="1" w:after="100" w:afterAutospacing="1" w:line="221"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B.</w:t>
            </w:r>
            <w:r w:rsidRPr="00957B34">
              <w:rPr>
                <w:rFonts w:ascii="Verdana" w:eastAsia="Times New Roman" w:hAnsi="Verdana" w:cs="Arial"/>
                <w:b/>
                <w:noProof/>
                <w:sz w:val="20"/>
                <w:szCs w:val="20"/>
                <w:lang w:val="es-ES" w:eastAsia="es-MX"/>
              </w:rPr>
              <w:tab/>
              <w:t>Catálogos de claves de nombres genéricos de bebidas alcohólicas y marcas de tabacos labrados</w:t>
            </w:r>
          </w:p>
        </w:tc>
      </w:tr>
      <w:tr w:rsidR="00957B34" w:rsidRPr="00957B34" w:rsidTr="00957B34">
        <w:trPr>
          <w:trHeight w:val="20"/>
        </w:trPr>
        <w:tc>
          <w:tcPr>
            <w:tcW w:w="8712" w:type="dxa"/>
            <w:tcBorders>
              <w:top w:val="single" w:sz="6" w:space="0" w:color="auto"/>
              <w:left w:val="nil"/>
              <w:bottom w:val="single" w:sz="6" w:space="0" w:color="auto"/>
              <w:right w:val="nil"/>
            </w:tcBorders>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 </w:t>
            </w:r>
          </w:p>
        </w:tc>
      </w:tr>
      <w:tr w:rsidR="00957B34" w:rsidRPr="00957B34" w:rsidTr="00957B34">
        <w:trPr>
          <w:trHeight w:val="20"/>
        </w:trPr>
        <w:tc>
          <w:tcPr>
            <w:tcW w:w="8712" w:type="dxa"/>
            <w:tcBorders>
              <w:top w:val="single" w:sz="6" w:space="0" w:color="auto"/>
              <w:left w:val="nil"/>
              <w:bottom w:val="single" w:sz="6" w:space="0" w:color="auto"/>
              <w:right w:val="nil"/>
            </w:tcBorders>
            <w:hideMark/>
          </w:tcPr>
          <w:p w:rsidR="00957B34" w:rsidRPr="00957B34" w:rsidRDefault="00957B34" w:rsidP="00957B34">
            <w:pPr>
              <w:spacing w:before="100" w:beforeAutospacing="1" w:after="100" w:afterAutospacing="1" w:line="20" w:lineRule="atLeast"/>
              <w:jc w:val="center"/>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Claves de nombres genéricos de bebidas alcohólicas:</w:t>
            </w:r>
          </w:p>
        </w:tc>
      </w:tr>
    </w:tbl>
    <w:p w:rsidR="00957B34" w:rsidRPr="00957B34" w:rsidRDefault="00957B34" w:rsidP="00957B34">
      <w:pPr>
        <w:spacing w:before="100" w:beforeAutospacing="1" w:after="100" w:afterAutospacing="1" w:line="221" w:lineRule="exact"/>
        <w:rPr>
          <w:rFonts w:ascii="Verdana" w:eastAsia="Times New Roman" w:hAnsi="Verdana" w:cs="Times New Roman"/>
          <w:sz w:val="20"/>
          <w:szCs w:val="20"/>
          <w:lang w:eastAsia="es-MX"/>
        </w:rPr>
      </w:pPr>
      <w:r w:rsidRPr="00957B34">
        <w:rPr>
          <w:rFonts w:ascii="Verdana" w:eastAsia="Times New Roman" w:hAnsi="Verdana" w:cs="Times New Roman"/>
          <w:noProof/>
          <w:sz w:val="20"/>
          <w:szCs w:val="20"/>
          <w:lang w:val="es-ES" w:eastAsia="es-MX"/>
        </w:rPr>
        <w:t> </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w:t>
      </w:r>
      <w:r w:rsidRPr="00957B34">
        <w:rPr>
          <w:rFonts w:ascii="Verdana" w:eastAsia="Times New Roman" w:hAnsi="Verdana" w:cs="Times New Roman"/>
          <w:sz w:val="20"/>
          <w:szCs w:val="20"/>
          <w:lang w:val="es-ES" w:eastAsia="es-MX"/>
        </w:rPr>
        <w:tab/>
        <w:t>Aguardiente Abocado o Reposado</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002</w:t>
      </w:r>
      <w:r w:rsidRPr="00957B34">
        <w:rPr>
          <w:rFonts w:ascii="Verdana" w:eastAsia="Times New Roman" w:hAnsi="Verdana" w:cs="Times New Roman"/>
          <w:sz w:val="20"/>
          <w:szCs w:val="20"/>
          <w:lang w:val="es-ES" w:eastAsia="es-MX"/>
        </w:rPr>
        <w:tab/>
        <w:t>Aguardiente Standard (blanco u oro)</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003</w:t>
      </w:r>
      <w:r w:rsidRPr="00957B34">
        <w:rPr>
          <w:rFonts w:ascii="Verdana" w:eastAsia="Times New Roman" w:hAnsi="Verdana" w:cs="Times New Roman"/>
          <w:sz w:val="20"/>
          <w:szCs w:val="20"/>
          <w:lang w:val="es-ES" w:eastAsia="es-MX"/>
        </w:rPr>
        <w:tab/>
        <w:t>Charanda</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004</w:t>
      </w:r>
      <w:r w:rsidRPr="00957B34">
        <w:rPr>
          <w:rFonts w:ascii="Verdana" w:eastAsia="Times New Roman" w:hAnsi="Verdana" w:cs="Times New Roman"/>
          <w:sz w:val="20"/>
          <w:szCs w:val="20"/>
          <w:lang w:val="es-ES" w:eastAsia="es-MX"/>
        </w:rPr>
        <w:tab/>
        <w:t>Licor de hierbas regionales</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005</w:t>
      </w:r>
      <w:r w:rsidRPr="00957B34">
        <w:rPr>
          <w:rFonts w:ascii="Verdana" w:eastAsia="Times New Roman" w:hAnsi="Verdana" w:cs="Times New Roman"/>
          <w:sz w:val="20"/>
          <w:szCs w:val="20"/>
          <w:lang w:val="es-ES" w:eastAsia="es-MX"/>
        </w:rPr>
        <w:tab/>
        <w:t>Aguardiente Añejo</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006</w:t>
      </w:r>
      <w:r w:rsidRPr="00957B34">
        <w:rPr>
          <w:rFonts w:ascii="Verdana" w:eastAsia="Times New Roman" w:hAnsi="Verdana" w:cs="Times New Roman"/>
          <w:sz w:val="20"/>
          <w:szCs w:val="20"/>
          <w:lang w:val="es-ES" w:eastAsia="es-MX"/>
        </w:rPr>
        <w:tab/>
        <w:t>Habanero</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w:t>
      </w:r>
      <w:r w:rsidRPr="00957B34">
        <w:rPr>
          <w:rFonts w:ascii="Verdana" w:eastAsia="Times New Roman" w:hAnsi="Verdana" w:cs="Times New Roman"/>
          <w:sz w:val="20"/>
          <w:szCs w:val="20"/>
          <w:lang w:val="es-ES" w:eastAsia="es-MX"/>
        </w:rPr>
        <w:tab/>
        <w:t>Rompope</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008</w:t>
      </w:r>
      <w:r w:rsidRPr="00957B34">
        <w:rPr>
          <w:rFonts w:ascii="Verdana" w:eastAsia="Times New Roman" w:hAnsi="Verdana" w:cs="Times New Roman"/>
          <w:sz w:val="20"/>
          <w:szCs w:val="20"/>
          <w:lang w:val="es-ES" w:eastAsia="es-MX"/>
        </w:rPr>
        <w:tab/>
        <w:t>Aguardiente con Sabor</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009</w:t>
      </w:r>
      <w:r w:rsidRPr="00957B34">
        <w:rPr>
          <w:rFonts w:ascii="Verdana" w:eastAsia="Times New Roman" w:hAnsi="Verdana" w:cs="Times New Roman"/>
          <w:sz w:val="20"/>
          <w:szCs w:val="20"/>
          <w:lang w:val="es-ES" w:eastAsia="es-MX"/>
        </w:rPr>
        <w:tab/>
        <w:t>Cocteles</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010</w:t>
      </w:r>
      <w:r w:rsidRPr="00957B34">
        <w:rPr>
          <w:rFonts w:ascii="Verdana" w:eastAsia="Times New Roman" w:hAnsi="Verdana" w:cs="Times New Roman"/>
          <w:sz w:val="20"/>
          <w:szCs w:val="20"/>
          <w:lang w:val="es-ES" w:eastAsia="es-MX"/>
        </w:rPr>
        <w:tab/>
        <w:t>Licores y Cremas hasta 20% Alc. Vol.</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011</w:t>
      </w:r>
      <w:r w:rsidRPr="00957B34">
        <w:rPr>
          <w:rFonts w:ascii="Verdana" w:eastAsia="Times New Roman" w:hAnsi="Verdana" w:cs="Times New Roman"/>
          <w:sz w:val="20"/>
          <w:szCs w:val="20"/>
          <w:lang w:val="es-ES" w:eastAsia="es-MX"/>
        </w:rPr>
        <w:tab/>
        <w:t>Parras</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012</w:t>
      </w:r>
      <w:r w:rsidRPr="00957B34">
        <w:rPr>
          <w:rFonts w:ascii="Verdana" w:eastAsia="Times New Roman" w:hAnsi="Verdana" w:cs="Times New Roman"/>
          <w:sz w:val="20"/>
          <w:szCs w:val="20"/>
          <w:lang w:val="es-ES" w:eastAsia="es-MX"/>
        </w:rPr>
        <w:tab/>
        <w:t>Bacanora</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013</w:t>
      </w:r>
      <w:r w:rsidRPr="00957B34">
        <w:rPr>
          <w:rFonts w:ascii="Verdana" w:eastAsia="Times New Roman" w:hAnsi="Verdana" w:cs="Times New Roman"/>
          <w:sz w:val="20"/>
          <w:szCs w:val="20"/>
          <w:lang w:val="es-ES" w:eastAsia="es-MX"/>
        </w:rPr>
        <w:tab/>
        <w:t>Comiteco</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014</w:t>
      </w:r>
      <w:r w:rsidRPr="00957B34">
        <w:rPr>
          <w:rFonts w:ascii="Verdana" w:eastAsia="Times New Roman" w:hAnsi="Verdana" w:cs="Times New Roman"/>
          <w:sz w:val="20"/>
          <w:szCs w:val="20"/>
          <w:lang w:val="es-ES" w:eastAsia="es-MX"/>
        </w:rPr>
        <w:tab/>
        <w:t>Lechuguilla o raicilla</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015</w:t>
      </w:r>
      <w:r w:rsidRPr="00957B34">
        <w:rPr>
          <w:rFonts w:ascii="Verdana" w:eastAsia="Times New Roman" w:hAnsi="Verdana" w:cs="Times New Roman"/>
          <w:sz w:val="20"/>
          <w:szCs w:val="20"/>
          <w:lang w:val="es-ES" w:eastAsia="es-MX"/>
        </w:rPr>
        <w:tab/>
        <w:t>Mezcal</w:t>
      </w:r>
    </w:p>
    <w:p w:rsidR="00957B34" w:rsidRPr="00957B34" w:rsidRDefault="00957B34" w:rsidP="00957B34">
      <w:pPr>
        <w:spacing w:before="100" w:beforeAutospacing="1" w:after="100" w:afterAutospacing="1" w:line="221"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016</w:t>
      </w:r>
      <w:r w:rsidRPr="00957B34">
        <w:rPr>
          <w:rFonts w:ascii="Verdana" w:eastAsia="Times New Roman" w:hAnsi="Verdana" w:cs="Times New Roman"/>
          <w:sz w:val="20"/>
          <w:szCs w:val="20"/>
          <w:lang w:val="es-ES" w:eastAsia="es-MX"/>
        </w:rPr>
        <w:tab/>
        <w:t>Sotol</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017</w:t>
      </w:r>
      <w:r w:rsidRPr="00957B34">
        <w:rPr>
          <w:rFonts w:ascii="Verdana" w:eastAsia="Times New Roman" w:hAnsi="Verdana" w:cs="Times New Roman"/>
          <w:sz w:val="20"/>
          <w:szCs w:val="20"/>
          <w:lang w:val="es-ES" w:eastAsia="es-MX"/>
        </w:rPr>
        <w:tab/>
        <w:t>Anís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018</w:t>
      </w:r>
      <w:r w:rsidRPr="00957B34">
        <w:rPr>
          <w:rFonts w:ascii="Verdana" w:eastAsia="Times New Roman" w:hAnsi="Verdana" w:cs="Times New Roman"/>
          <w:sz w:val="20"/>
          <w:szCs w:val="20"/>
          <w:lang w:val="es-ES" w:eastAsia="es-MX"/>
        </w:rPr>
        <w:tab/>
        <w:t>Ginebra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019</w:t>
      </w:r>
      <w:r w:rsidRPr="00957B34">
        <w:rPr>
          <w:rFonts w:ascii="Verdana" w:eastAsia="Times New Roman" w:hAnsi="Verdana" w:cs="Times New Roman"/>
          <w:sz w:val="20"/>
          <w:szCs w:val="20"/>
          <w:lang w:val="es-ES" w:eastAsia="es-MX"/>
        </w:rPr>
        <w:tab/>
        <w:t>Vodka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020</w:t>
      </w:r>
      <w:r w:rsidRPr="00957B34">
        <w:rPr>
          <w:rFonts w:ascii="Verdana" w:eastAsia="Times New Roman" w:hAnsi="Verdana" w:cs="Times New Roman"/>
          <w:sz w:val="20"/>
          <w:szCs w:val="20"/>
          <w:lang w:val="es-ES" w:eastAsia="es-MX"/>
        </w:rPr>
        <w:tab/>
        <w:t>Ron</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021</w:t>
      </w:r>
      <w:r w:rsidRPr="00957B34">
        <w:rPr>
          <w:rFonts w:ascii="Verdana" w:eastAsia="Times New Roman" w:hAnsi="Verdana" w:cs="Times New Roman"/>
          <w:sz w:val="20"/>
          <w:szCs w:val="20"/>
          <w:lang w:val="es-ES" w:eastAsia="es-MX"/>
        </w:rPr>
        <w:tab/>
        <w:t>Tequila joven o blanco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022</w:t>
      </w:r>
      <w:r w:rsidRPr="00957B34">
        <w:rPr>
          <w:rFonts w:ascii="Verdana" w:eastAsia="Times New Roman" w:hAnsi="Verdana" w:cs="Times New Roman"/>
          <w:sz w:val="20"/>
          <w:szCs w:val="20"/>
          <w:lang w:val="es-ES" w:eastAsia="es-MX"/>
        </w:rPr>
        <w:tab/>
        <w:t>Brandy</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023</w:t>
      </w:r>
      <w:r w:rsidRPr="00957B34">
        <w:rPr>
          <w:rFonts w:ascii="Verdana" w:eastAsia="Times New Roman" w:hAnsi="Verdana" w:cs="Times New Roman"/>
          <w:sz w:val="20"/>
          <w:szCs w:val="20"/>
          <w:lang w:val="es-ES" w:eastAsia="es-MX"/>
        </w:rPr>
        <w:tab/>
        <w:t>Amaretto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024</w:t>
      </w:r>
      <w:r w:rsidRPr="00957B34">
        <w:rPr>
          <w:rFonts w:ascii="Verdana" w:eastAsia="Times New Roman" w:hAnsi="Verdana" w:cs="Times New Roman"/>
          <w:sz w:val="20"/>
          <w:szCs w:val="20"/>
          <w:lang w:val="es-ES" w:eastAsia="es-MX"/>
        </w:rPr>
        <w:tab/>
        <w:t>Licor de Café o Cacao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025</w:t>
      </w:r>
      <w:r w:rsidRPr="00957B34">
        <w:rPr>
          <w:rFonts w:ascii="Verdana" w:eastAsia="Times New Roman" w:hAnsi="Verdana" w:cs="Times New Roman"/>
          <w:sz w:val="20"/>
          <w:szCs w:val="20"/>
          <w:lang w:val="es-ES" w:eastAsia="es-MX"/>
        </w:rPr>
        <w:tab/>
        <w:t>Licores y Cremas más de 20% Alc. Vol.</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w:t>
      </w:r>
      <w:r w:rsidRPr="00957B34">
        <w:rPr>
          <w:rFonts w:ascii="Verdana" w:eastAsia="Times New Roman" w:hAnsi="Verdana" w:cs="Times New Roman"/>
          <w:sz w:val="20"/>
          <w:szCs w:val="20"/>
          <w:lang w:val="es-ES" w:eastAsia="es-MX"/>
        </w:rPr>
        <w:tab/>
        <w:t>Tequila reposado o añejo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027</w:t>
      </w:r>
      <w:r w:rsidRPr="00957B34">
        <w:rPr>
          <w:rFonts w:ascii="Verdana" w:eastAsia="Times New Roman" w:hAnsi="Verdana" w:cs="Times New Roman"/>
          <w:sz w:val="20"/>
          <w:szCs w:val="20"/>
          <w:lang w:val="es-ES" w:eastAsia="es-MX"/>
        </w:rPr>
        <w:tab/>
        <w:t>Ron Añejo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028</w:t>
      </w:r>
      <w:r w:rsidRPr="00957B34">
        <w:rPr>
          <w:rFonts w:ascii="Verdana" w:eastAsia="Times New Roman" w:hAnsi="Verdana" w:cs="Times New Roman"/>
          <w:sz w:val="20"/>
          <w:szCs w:val="20"/>
          <w:lang w:val="es-ES" w:eastAsia="es-MX"/>
        </w:rPr>
        <w:tab/>
        <w:t>Brandy Reserva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029</w:t>
      </w:r>
      <w:r w:rsidRPr="00957B34">
        <w:rPr>
          <w:rFonts w:ascii="Verdana" w:eastAsia="Times New Roman" w:hAnsi="Verdana" w:cs="Times New Roman"/>
          <w:sz w:val="20"/>
          <w:szCs w:val="20"/>
          <w:lang w:val="es-ES" w:eastAsia="es-MX"/>
        </w:rPr>
        <w:tab/>
        <w:t>Ron con Sabor</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030</w:t>
      </w:r>
      <w:r w:rsidRPr="00957B34">
        <w:rPr>
          <w:rFonts w:ascii="Verdana" w:eastAsia="Times New Roman" w:hAnsi="Verdana" w:cs="Times New Roman"/>
          <w:sz w:val="20"/>
          <w:szCs w:val="20"/>
          <w:lang w:val="es-ES" w:eastAsia="es-MX"/>
        </w:rPr>
        <w:tab/>
        <w:t>Ron Reserva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031</w:t>
      </w:r>
      <w:r w:rsidRPr="00957B34">
        <w:rPr>
          <w:rFonts w:ascii="Verdana" w:eastAsia="Times New Roman" w:hAnsi="Verdana" w:cs="Times New Roman"/>
          <w:sz w:val="20"/>
          <w:szCs w:val="20"/>
          <w:lang w:val="es-ES" w:eastAsia="es-MX"/>
        </w:rPr>
        <w:tab/>
        <w:t>Tequila joven o blanco 100% agave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w:t>
      </w:r>
      <w:r w:rsidRPr="00957B34">
        <w:rPr>
          <w:rFonts w:ascii="Verdana" w:eastAsia="Times New Roman" w:hAnsi="Verdana" w:cs="Times New Roman"/>
          <w:sz w:val="20"/>
          <w:szCs w:val="20"/>
          <w:lang w:val="en-US" w:eastAsia="es-MX"/>
        </w:rPr>
        <w:tab/>
        <w:t>Tequila reposado 100% agave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033</w:t>
      </w:r>
      <w:r w:rsidRPr="00957B34">
        <w:rPr>
          <w:rFonts w:ascii="Verdana" w:eastAsia="Times New Roman" w:hAnsi="Verdana" w:cs="Times New Roman"/>
          <w:sz w:val="20"/>
          <w:szCs w:val="20"/>
          <w:lang w:val="en-US" w:eastAsia="es-MX"/>
        </w:rPr>
        <w:tab/>
        <w:t>Brandy Solera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034</w:t>
      </w:r>
      <w:r w:rsidRPr="00957B34">
        <w:rPr>
          <w:rFonts w:ascii="Verdana" w:eastAsia="Times New Roman" w:hAnsi="Verdana" w:cs="Times New Roman"/>
          <w:sz w:val="20"/>
          <w:szCs w:val="20"/>
          <w:lang w:val="en-US" w:eastAsia="es-MX"/>
        </w:rPr>
        <w:tab/>
        <w:t>Cremas base Whisky</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035</w:t>
      </w:r>
      <w:r w:rsidRPr="00957B34">
        <w:rPr>
          <w:rFonts w:ascii="Verdana" w:eastAsia="Times New Roman" w:hAnsi="Verdana" w:cs="Times New Roman"/>
          <w:sz w:val="20"/>
          <w:szCs w:val="20"/>
          <w:lang w:val="en-US" w:eastAsia="es-MX"/>
        </w:rPr>
        <w:tab/>
        <w:t>Whisky o Whiskey, Borbon o Bourbon</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036</w:t>
      </w:r>
      <w:r w:rsidRPr="00957B34">
        <w:rPr>
          <w:rFonts w:ascii="Verdana" w:eastAsia="Times New Roman" w:hAnsi="Verdana" w:cs="Times New Roman"/>
          <w:sz w:val="20"/>
          <w:szCs w:val="20"/>
          <w:lang w:val="en-US" w:eastAsia="es-MX"/>
        </w:rPr>
        <w:tab/>
        <w:t>Tenessee "Standard"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037</w:t>
      </w:r>
      <w:r w:rsidRPr="00957B34">
        <w:rPr>
          <w:rFonts w:ascii="Verdana" w:eastAsia="Times New Roman" w:hAnsi="Verdana" w:cs="Times New Roman"/>
          <w:sz w:val="20"/>
          <w:szCs w:val="20"/>
          <w:lang w:eastAsia="es-MX"/>
        </w:rPr>
        <w:tab/>
        <w:t>Calvados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038</w:t>
      </w:r>
      <w:r w:rsidRPr="00957B34">
        <w:rPr>
          <w:rFonts w:ascii="Verdana" w:eastAsia="Times New Roman" w:hAnsi="Verdana" w:cs="Times New Roman"/>
          <w:sz w:val="20"/>
          <w:szCs w:val="20"/>
          <w:lang w:eastAsia="es-MX"/>
        </w:rPr>
        <w:tab/>
        <w:t>Tequila añejo 100% agave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039</w:t>
      </w:r>
      <w:r w:rsidRPr="00957B34">
        <w:rPr>
          <w:rFonts w:ascii="Verdana" w:eastAsia="Times New Roman" w:hAnsi="Verdana" w:cs="Times New Roman"/>
          <w:sz w:val="20"/>
          <w:szCs w:val="20"/>
          <w:lang w:eastAsia="es-MX"/>
        </w:rPr>
        <w:tab/>
        <w:t>Cognac V.S.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041</w:t>
      </w:r>
      <w:r w:rsidRPr="00957B34">
        <w:rPr>
          <w:rFonts w:ascii="Verdana" w:eastAsia="Times New Roman" w:hAnsi="Verdana" w:cs="Times New Roman"/>
          <w:sz w:val="20"/>
          <w:szCs w:val="20"/>
          <w:lang w:eastAsia="es-MX"/>
        </w:rPr>
        <w:tab/>
        <w:t>Tenessee "de Luxe"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042</w:t>
      </w:r>
      <w:r w:rsidRPr="00957B34">
        <w:rPr>
          <w:rFonts w:ascii="Verdana" w:eastAsia="Times New Roman" w:hAnsi="Verdana" w:cs="Times New Roman"/>
          <w:sz w:val="20"/>
          <w:szCs w:val="20"/>
          <w:lang w:eastAsia="es-MX"/>
        </w:rPr>
        <w:tab/>
        <w:t>Cognac V.S.O.P.</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043</w:t>
      </w:r>
      <w:r w:rsidRPr="00957B34">
        <w:rPr>
          <w:rFonts w:ascii="Verdana" w:eastAsia="Times New Roman" w:hAnsi="Verdana" w:cs="Times New Roman"/>
          <w:sz w:val="20"/>
          <w:szCs w:val="20"/>
          <w:lang w:eastAsia="es-MX"/>
        </w:rPr>
        <w:tab/>
        <w:t>Cognac X.O.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044</w:t>
      </w:r>
      <w:r w:rsidRPr="00957B34">
        <w:rPr>
          <w:rFonts w:ascii="Verdana" w:eastAsia="Times New Roman" w:hAnsi="Verdana" w:cs="Times New Roman"/>
          <w:sz w:val="20"/>
          <w:szCs w:val="20"/>
          <w:lang w:val="es-ES" w:eastAsia="es-MX"/>
        </w:rPr>
        <w:tab/>
        <w:t>Cerveza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w:t>
      </w:r>
      <w:r w:rsidRPr="00957B34">
        <w:rPr>
          <w:rFonts w:ascii="Verdana" w:eastAsia="Times New Roman" w:hAnsi="Verdana" w:cs="Times New Roman"/>
          <w:sz w:val="20"/>
          <w:szCs w:val="20"/>
          <w:lang w:val="es-ES" w:eastAsia="es-MX"/>
        </w:rPr>
        <w:tab/>
        <w:t>Bebidas Refrescantes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046</w:t>
      </w:r>
      <w:r w:rsidRPr="00957B34">
        <w:rPr>
          <w:rFonts w:ascii="Verdana" w:eastAsia="Times New Roman" w:hAnsi="Verdana" w:cs="Times New Roman"/>
          <w:sz w:val="20"/>
          <w:szCs w:val="20"/>
          <w:lang w:val="es-ES" w:eastAsia="es-MX"/>
        </w:rPr>
        <w:tab/>
        <w:t>Vinos de mesa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w:t>
      </w:r>
      <w:r w:rsidRPr="00957B34">
        <w:rPr>
          <w:rFonts w:ascii="Verdana" w:eastAsia="Times New Roman" w:hAnsi="Verdana" w:cs="Times New Roman"/>
          <w:sz w:val="20"/>
          <w:szCs w:val="20"/>
          <w:lang w:val="es-ES" w:eastAsia="es-MX"/>
        </w:rPr>
        <w:tab/>
        <w:t>Otros</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vAlign w:val="center"/>
            <w:hideMark/>
          </w:tcPr>
          <w:p w:rsidR="00957B34" w:rsidRPr="00957B34" w:rsidRDefault="00957B34" w:rsidP="00957B34">
            <w:pPr>
              <w:spacing w:before="100" w:beforeAutospacing="1" w:after="100" w:afterAutospacing="1" w:line="20" w:lineRule="atLeast"/>
              <w:jc w:val="center"/>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lastRenderedPageBreak/>
              <w:t>Claves de marcas de tabacos labrados:</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5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w:t>
            </w:r>
            <w:r w:rsidRPr="00957B34">
              <w:rPr>
                <w:rFonts w:ascii="Verdana" w:eastAsia="Times New Roman" w:hAnsi="Verdana" w:cs="Arial"/>
                <w:b/>
                <w:noProof/>
                <w:sz w:val="20"/>
                <w:szCs w:val="20"/>
                <w:lang w:val="es-ES" w:eastAsia="es-MX"/>
              </w:rPr>
              <w:tab/>
              <w:t>BRITISH AMERICAN TOBACCO MEXICO, S.A. DE C.V.,</w:t>
            </w:r>
            <w:r w:rsidRPr="00957B34">
              <w:rPr>
                <w:rFonts w:ascii="Verdana" w:eastAsia="Times New Roman" w:hAnsi="Verdana" w:cs="Arial"/>
                <w:b/>
                <w:noProof/>
                <w:sz w:val="20"/>
                <w:szCs w:val="20"/>
                <w:lang w:val="es-ES" w:eastAsia="es-MX"/>
              </w:rPr>
              <w:tab/>
              <w:t>R.F.C. BAT910607F43</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t>CLAVES</w:t>
      </w:r>
      <w:r w:rsidRPr="00957B34">
        <w:rPr>
          <w:rFonts w:ascii="Verdana" w:eastAsia="Times New Roman" w:hAnsi="Verdana" w:cs="Times New Roman"/>
          <w:b/>
          <w:sz w:val="20"/>
          <w:szCs w:val="20"/>
          <w:lang w:val="en-US" w:eastAsia="es-MX"/>
        </w:rPr>
        <w:tab/>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001001</w:t>
      </w:r>
      <w:r w:rsidRPr="00957B34">
        <w:rPr>
          <w:rFonts w:ascii="Verdana" w:eastAsia="Times New Roman" w:hAnsi="Verdana" w:cs="Times New Roman"/>
          <w:sz w:val="20"/>
          <w:szCs w:val="20"/>
          <w:lang w:val="en-US" w:eastAsia="es-MX"/>
        </w:rPr>
        <w:tab/>
        <w:t>Lucky Strike 1916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001006</w:t>
      </w:r>
      <w:r w:rsidRPr="00957B34">
        <w:rPr>
          <w:rFonts w:ascii="Verdana" w:eastAsia="Times New Roman" w:hAnsi="Verdana" w:cs="Times New Roman"/>
          <w:sz w:val="20"/>
          <w:szCs w:val="20"/>
          <w:lang w:val="en-US" w:eastAsia="es-MX"/>
        </w:rPr>
        <w:tab/>
        <w:t>Kent Wallet White C.F.</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001008</w:t>
      </w:r>
      <w:r w:rsidRPr="00957B34">
        <w:rPr>
          <w:rFonts w:ascii="Verdana" w:eastAsia="Times New Roman" w:hAnsi="Verdana" w:cs="Times New Roman"/>
          <w:sz w:val="20"/>
          <w:szCs w:val="20"/>
          <w:lang w:val="en-US" w:eastAsia="es-MX"/>
        </w:rPr>
        <w:tab/>
        <w:t>Pall Mall Menthol C.F.</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001010</w:t>
      </w:r>
      <w:r w:rsidRPr="00957B34">
        <w:rPr>
          <w:rFonts w:ascii="Verdana" w:eastAsia="Times New Roman" w:hAnsi="Verdana" w:cs="Times New Roman"/>
          <w:sz w:val="20"/>
          <w:szCs w:val="20"/>
          <w:lang w:val="en-US" w:eastAsia="es-MX"/>
        </w:rPr>
        <w:tab/>
        <w:t>Dunhill King Size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001013</w:t>
      </w:r>
      <w:r w:rsidRPr="00957B34">
        <w:rPr>
          <w:rFonts w:ascii="Verdana" w:eastAsia="Times New Roman" w:hAnsi="Verdana" w:cs="Times New Roman"/>
          <w:sz w:val="20"/>
          <w:szCs w:val="20"/>
          <w:lang w:val="en-US" w:eastAsia="es-MX"/>
        </w:rPr>
        <w:tab/>
        <w:t>Pall Mall 25´s Rojos C.F.</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001014</w:t>
      </w:r>
      <w:r w:rsidRPr="00957B34">
        <w:rPr>
          <w:rFonts w:ascii="Verdana" w:eastAsia="Times New Roman" w:hAnsi="Verdana" w:cs="Times New Roman"/>
          <w:sz w:val="20"/>
          <w:szCs w:val="20"/>
          <w:lang w:val="en-US" w:eastAsia="es-MX"/>
        </w:rPr>
        <w:tab/>
        <w:t>Camel 14´s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001015</w:t>
      </w:r>
      <w:r w:rsidRPr="00957B34">
        <w:rPr>
          <w:rFonts w:ascii="Verdana" w:eastAsia="Times New Roman" w:hAnsi="Verdana" w:cs="Times New Roman"/>
          <w:sz w:val="20"/>
          <w:szCs w:val="20"/>
          <w:lang w:val="en-US" w:eastAsia="es-MX"/>
        </w:rPr>
        <w:tab/>
        <w:t>Camel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001016</w:t>
      </w:r>
      <w:r w:rsidRPr="00957B34">
        <w:rPr>
          <w:rFonts w:ascii="Verdana" w:eastAsia="Times New Roman" w:hAnsi="Verdana" w:cs="Times New Roman"/>
          <w:sz w:val="20"/>
          <w:szCs w:val="20"/>
          <w:lang w:val="en-US" w:eastAsia="es-MX"/>
        </w:rPr>
        <w:tab/>
        <w:t>Camel Smooth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001017</w:t>
      </w:r>
      <w:r w:rsidRPr="00957B34">
        <w:rPr>
          <w:rFonts w:ascii="Verdana" w:eastAsia="Times New Roman" w:hAnsi="Verdana" w:cs="Times New Roman"/>
          <w:sz w:val="20"/>
          <w:szCs w:val="20"/>
          <w:lang w:val="en-US" w:eastAsia="es-MX"/>
        </w:rPr>
        <w:tab/>
        <w:t>Salem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001018</w:t>
      </w:r>
      <w:r w:rsidRPr="00957B34">
        <w:rPr>
          <w:rFonts w:ascii="Verdana" w:eastAsia="Times New Roman" w:hAnsi="Verdana" w:cs="Times New Roman"/>
          <w:sz w:val="20"/>
          <w:szCs w:val="20"/>
          <w:lang w:val="en-US" w:eastAsia="es-MX"/>
        </w:rPr>
        <w:tab/>
        <w:t>Salem 83 M.M.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001019</w:t>
      </w:r>
      <w:r w:rsidRPr="00957B34">
        <w:rPr>
          <w:rFonts w:ascii="Verdana" w:eastAsia="Times New Roman" w:hAnsi="Verdana" w:cs="Times New Roman"/>
          <w:sz w:val="20"/>
          <w:szCs w:val="20"/>
          <w:lang w:val="en-US" w:eastAsia="es-MX"/>
        </w:rPr>
        <w:tab/>
        <w:t>Raleigh con Filtro</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001020</w:t>
      </w:r>
      <w:r w:rsidRPr="00957B34">
        <w:rPr>
          <w:rFonts w:ascii="Verdana" w:eastAsia="Times New Roman" w:hAnsi="Verdana" w:cs="Times New Roman"/>
          <w:sz w:val="20"/>
          <w:szCs w:val="20"/>
          <w:lang w:val="es-ES" w:eastAsia="es-MX"/>
        </w:rPr>
        <w:tab/>
        <w:t>Camel Natural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001021</w:t>
      </w:r>
      <w:r w:rsidRPr="00957B34">
        <w:rPr>
          <w:rFonts w:ascii="Verdana" w:eastAsia="Times New Roman" w:hAnsi="Verdana" w:cs="Times New Roman"/>
          <w:sz w:val="20"/>
          <w:szCs w:val="20"/>
          <w:lang w:val="es-ES" w:eastAsia="es-MX"/>
        </w:rPr>
        <w:tab/>
        <w:t>Fiesta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001022</w:t>
      </w:r>
      <w:r w:rsidRPr="00957B34">
        <w:rPr>
          <w:rFonts w:ascii="Verdana" w:eastAsia="Times New Roman" w:hAnsi="Verdana" w:cs="Times New Roman"/>
          <w:sz w:val="20"/>
          <w:szCs w:val="20"/>
          <w:lang w:val="en-US" w:eastAsia="es-MX"/>
        </w:rPr>
        <w:tab/>
        <w:t>Camel Natural Subtle Flavor D58 M.M.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001024</w:t>
      </w:r>
      <w:r w:rsidRPr="00957B34">
        <w:rPr>
          <w:rFonts w:ascii="Verdana" w:eastAsia="Times New Roman" w:hAnsi="Verdana" w:cs="Times New Roman"/>
          <w:sz w:val="20"/>
          <w:szCs w:val="20"/>
          <w:lang w:val="es-ES" w:eastAsia="es-MX"/>
        </w:rPr>
        <w:tab/>
        <w:t>Montana Fresh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001025</w:t>
      </w:r>
      <w:r w:rsidRPr="00957B34">
        <w:rPr>
          <w:rFonts w:ascii="Verdana" w:eastAsia="Times New Roman" w:hAnsi="Verdana" w:cs="Times New Roman"/>
          <w:sz w:val="20"/>
          <w:szCs w:val="20"/>
          <w:lang w:val="es-ES" w:eastAsia="es-MX"/>
        </w:rPr>
        <w:tab/>
        <w:t>Montana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001026</w:t>
      </w:r>
      <w:r w:rsidRPr="00957B34">
        <w:rPr>
          <w:rFonts w:ascii="Verdana" w:eastAsia="Times New Roman" w:hAnsi="Verdana" w:cs="Times New Roman"/>
          <w:sz w:val="20"/>
          <w:szCs w:val="20"/>
          <w:lang w:val="en-US" w:eastAsia="es-MX"/>
        </w:rPr>
        <w:tab/>
        <w:t>Montana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001027</w:t>
      </w:r>
      <w:r w:rsidRPr="00957B34">
        <w:rPr>
          <w:rFonts w:ascii="Verdana" w:eastAsia="Times New Roman" w:hAnsi="Verdana" w:cs="Times New Roman"/>
          <w:sz w:val="20"/>
          <w:szCs w:val="20"/>
          <w:lang w:val="en-US" w:eastAsia="es-MX"/>
        </w:rPr>
        <w:tab/>
        <w:t>Montana Spice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001028</w:t>
      </w:r>
      <w:r w:rsidRPr="00957B34">
        <w:rPr>
          <w:rFonts w:ascii="Verdana" w:eastAsia="Times New Roman" w:hAnsi="Verdana" w:cs="Times New Roman"/>
          <w:sz w:val="20"/>
          <w:szCs w:val="20"/>
          <w:lang w:val="en-US" w:eastAsia="es-MX"/>
        </w:rPr>
        <w:tab/>
        <w:t>Montana Shots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001029</w:t>
      </w:r>
      <w:r w:rsidRPr="00957B34">
        <w:rPr>
          <w:rFonts w:ascii="Verdana" w:eastAsia="Times New Roman" w:hAnsi="Verdana" w:cs="Times New Roman"/>
          <w:sz w:val="20"/>
          <w:szCs w:val="20"/>
          <w:lang w:val="en-US" w:eastAsia="es-MX"/>
        </w:rPr>
        <w:tab/>
        <w:t>Camel Winter</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001033</w:t>
      </w:r>
      <w:r w:rsidRPr="00957B34">
        <w:rPr>
          <w:rFonts w:ascii="Verdana" w:eastAsia="Times New Roman" w:hAnsi="Verdana" w:cs="Times New Roman"/>
          <w:sz w:val="20"/>
          <w:szCs w:val="20"/>
          <w:lang w:val="en-US" w:eastAsia="es-MX"/>
        </w:rPr>
        <w:tab/>
        <w:t>Montana Lights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001034</w:t>
      </w:r>
      <w:r w:rsidRPr="00957B34">
        <w:rPr>
          <w:rFonts w:ascii="Verdana" w:eastAsia="Times New Roman" w:hAnsi="Verdana" w:cs="Times New Roman"/>
          <w:sz w:val="20"/>
          <w:szCs w:val="20"/>
          <w:lang w:val="en-US" w:eastAsia="es-MX"/>
        </w:rPr>
        <w:tab/>
        <w:t>Montana Lights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001039</w:t>
      </w:r>
      <w:r w:rsidRPr="00957B34">
        <w:rPr>
          <w:rFonts w:ascii="Verdana" w:eastAsia="Times New Roman" w:hAnsi="Verdana" w:cs="Times New Roman"/>
          <w:sz w:val="20"/>
          <w:szCs w:val="20"/>
          <w:lang w:val="en-US" w:eastAsia="es-MX"/>
        </w:rPr>
        <w:tab/>
        <w:t>Montana Medium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001040</w:t>
      </w:r>
      <w:r w:rsidRPr="00957B34">
        <w:rPr>
          <w:rFonts w:ascii="Verdana" w:eastAsia="Times New Roman" w:hAnsi="Verdana" w:cs="Times New Roman"/>
          <w:sz w:val="20"/>
          <w:szCs w:val="20"/>
          <w:lang w:val="en-US" w:eastAsia="es-MX"/>
        </w:rPr>
        <w:tab/>
        <w:t>Viceroy Ultra Lights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001043</w:t>
      </w:r>
      <w:r w:rsidRPr="00957B34">
        <w:rPr>
          <w:rFonts w:ascii="Verdana" w:eastAsia="Times New Roman" w:hAnsi="Verdana" w:cs="Times New Roman"/>
          <w:sz w:val="20"/>
          <w:szCs w:val="20"/>
          <w:lang w:val="en-US" w:eastAsia="es-MX"/>
        </w:rPr>
        <w:tab/>
        <w:t>Raleigh 70 M.M.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001045</w:t>
      </w:r>
      <w:r w:rsidRPr="00957B34">
        <w:rPr>
          <w:rFonts w:ascii="Verdana" w:eastAsia="Times New Roman" w:hAnsi="Verdana" w:cs="Times New Roman"/>
          <w:sz w:val="20"/>
          <w:szCs w:val="20"/>
          <w:lang w:val="en-US" w:eastAsia="es-MX"/>
        </w:rPr>
        <w:tab/>
        <w:t>Viceroy Lights F.D.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001048</w:t>
      </w:r>
      <w:r w:rsidRPr="00957B34">
        <w:rPr>
          <w:rFonts w:ascii="Verdana" w:eastAsia="Times New Roman" w:hAnsi="Verdana" w:cs="Times New Roman"/>
          <w:sz w:val="20"/>
          <w:szCs w:val="20"/>
          <w:lang w:val="es-ES" w:eastAsia="es-MX"/>
        </w:rPr>
        <w:tab/>
        <w:t>Alas con Filtro</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001051</w:t>
      </w:r>
      <w:r w:rsidRPr="00957B34">
        <w:rPr>
          <w:rFonts w:ascii="Verdana" w:eastAsia="Times New Roman" w:hAnsi="Verdana" w:cs="Times New Roman"/>
          <w:sz w:val="20"/>
          <w:szCs w:val="20"/>
          <w:lang w:val="es-ES" w:eastAsia="es-MX"/>
        </w:rPr>
        <w:tab/>
        <w:t>Raleigh Reserva Especial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001054</w:t>
      </w:r>
      <w:r w:rsidRPr="00957B34">
        <w:rPr>
          <w:rFonts w:ascii="Verdana" w:eastAsia="Times New Roman" w:hAnsi="Verdana" w:cs="Times New Roman"/>
          <w:sz w:val="20"/>
          <w:szCs w:val="20"/>
          <w:lang w:val="en-US" w:eastAsia="es-MX"/>
        </w:rPr>
        <w:tab/>
        <w:t>Raleigh Reserva Especial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001070</w:t>
      </w:r>
      <w:r w:rsidRPr="00957B34">
        <w:rPr>
          <w:rFonts w:ascii="Verdana" w:eastAsia="Times New Roman" w:hAnsi="Verdana" w:cs="Times New Roman"/>
          <w:sz w:val="20"/>
          <w:szCs w:val="20"/>
          <w:lang w:val="en-US" w:eastAsia="es-MX"/>
        </w:rPr>
        <w:tab/>
        <w:t>Pall Mall Azul 20´s C.D. C.F.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001071</w:t>
      </w:r>
      <w:r w:rsidRPr="00957B34">
        <w:rPr>
          <w:rFonts w:ascii="Verdana" w:eastAsia="Times New Roman" w:hAnsi="Verdana" w:cs="Times New Roman"/>
          <w:sz w:val="20"/>
          <w:szCs w:val="20"/>
          <w:lang w:val="en-US" w:eastAsia="es-MX"/>
        </w:rPr>
        <w:tab/>
        <w:t>Pall Mall Naranja 20´s C.D. C.F.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001072</w:t>
      </w:r>
      <w:r w:rsidRPr="00957B34">
        <w:rPr>
          <w:rFonts w:ascii="Verdana" w:eastAsia="Times New Roman" w:hAnsi="Verdana" w:cs="Times New Roman"/>
          <w:sz w:val="20"/>
          <w:szCs w:val="20"/>
          <w:lang w:val="en-US" w:eastAsia="es-MX"/>
        </w:rPr>
        <w:tab/>
        <w:t>Pall Mall Superslims C.D. C.F.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001073</w:t>
      </w:r>
      <w:r w:rsidRPr="00957B34">
        <w:rPr>
          <w:rFonts w:ascii="Verdana" w:eastAsia="Times New Roman" w:hAnsi="Verdana" w:cs="Times New Roman"/>
          <w:sz w:val="20"/>
          <w:szCs w:val="20"/>
          <w:lang w:val="en-US" w:eastAsia="es-MX"/>
        </w:rPr>
        <w:tab/>
        <w:t>Pall Mall F.F.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001074</w:t>
      </w:r>
      <w:r w:rsidRPr="00957B34">
        <w:rPr>
          <w:rFonts w:ascii="Verdana" w:eastAsia="Times New Roman" w:hAnsi="Verdana" w:cs="Times New Roman"/>
          <w:sz w:val="20"/>
          <w:szCs w:val="20"/>
          <w:lang w:val="en-US" w:eastAsia="es-MX"/>
        </w:rPr>
        <w:tab/>
        <w:t>Pall Mall F.F.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001075</w:t>
      </w:r>
      <w:r w:rsidRPr="00957B34">
        <w:rPr>
          <w:rFonts w:ascii="Verdana" w:eastAsia="Times New Roman" w:hAnsi="Verdana" w:cs="Times New Roman"/>
          <w:sz w:val="20"/>
          <w:szCs w:val="20"/>
          <w:lang w:val="en-US" w:eastAsia="es-MX"/>
        </w:rPr>
        <w:tab/>
        <w:t>Pall Mall Lights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001076</w:t>
      </w:r>
      <w:r w:rsidRPr="00957B34">
        <w:rPr>
          <w:rFonts w:ascii="Verdana" w:eastAsia="Times New Roman" w:hAnsi="Verdana" w:cs="Times New Roman"/>
          <w:sz w:val="20"/>
          <w:szCs w:val="20"/>
          <w:lang w:val="en-US" w:eastAsia="es-MX"/>
        </w:rPr>
        <w:tab/>
        <w:t>Pall Mall Lights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001077</w:t>
      </w:r>
      <w:r w:rsidRPr="00957B34">
        <w:rPr>
          <w:rFonts w:ascii="Verdana" w:eastAsia="Times New Roman" w:hAnsi="Verdana" w:cs="Times New Roman"/>
          <w:sz w:val="20"/>
          <w:szCs w:val="20"/>
          <w:lang w:val="en-US" w:eastAsia="es-MX"/>
        </w:rPr>
        <w:tab/>
        <w:t>Camel Lights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001078</w:t>
      </w:r>
      <w:r w:rsidRPr="00957B34">
        <w:rPr>
          <w:rFonts w:ascii="Verdana" w:eastAsia="Times New Roman" w:hAnsi="Verdana" w:cs="Times New Roman"/>
          <w:sz w:val="20"/>
          <w:szCs w:val="20"/>
          <w:lang w:val="en-US" w:eastAsia="es-MX"/>
        </w:rPr>
        <w:tab/>
        <w:t>Lucky Strike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001079</w:t>
      </w:r>
      <w:r w:rsidRPr="00957B34">
        <w:rPr>
          <w:rFonts w:ascii="Verdana" w:eastAsia="Times New Roman" w:hAnsi="Verdana" w:cs="Times New Roman"/>
          <w:sz w:val="20"/>
          <w:szCs w:val="20"/>
          <w:lang w:val="en-US" w:eastAsia="es-MX"/>
        </w:rPr>
        <w:tab/>
        <w:t>Lucky Strike Lights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001080</w:t>
      </w:r>
      <w:r w:rsidRPr="00957B34">
        <w:rPr>
          <w:rFonts w:ascii="Verdana" w:eastAsia="Times New Roman" w:hAnsi="Verdana" w:cs="Times New Roman"/>
          <w:sz w:val="20"/>
          <w:szCs w:val="20"/>
          <w:lang w:val="en-US" w:eastAsia="es-MX"/>
        </w:rPr>
        <w:tab/>
        <w:t>Raleigh Suave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proofErr w:type="gramStart"/>
      <w:r w:rsidRPr="00957B34">
        <w:rPr>
          <w:rFonts w:ascii="Verdana" w:eastAsia="Times New Roman" w:hAnsi="Verdana" w:cs="Times New Roman"/>
          <w:sz w:val="20"/>
          <w:szCs w:val="20"/>
          <w:lang w:val="en-US" w:eastAsia="es-MX"/>
        </w:rPr>
        <w:t>001081</w:t>
      </w:r>
      <w:r w:rsidRPr="00957B34">
        <w:rPr>
          <w:rFonts w:ascii="Verdana" w:eastAsia="Times New Roman" w:hAnsi="Verdana" w:cs="Times New Roman"/>
          <w:sz w:val="20"/>
          <w:szCs w:val="20"/>
          <w:lang w:val="en-US" w:eastAsia="es-MX"/>
        </w:rPr>
        <w:tab/>
        <w:t>Gol 70 C.S.</w:t>
      </w:r>
      <w:proofErr w:type="gramEnd"/>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001084</w:t>
      </w:r>
      <w:r w:rsidRPr="00957B34">
        <w:rPr>
          <w:rFonts w:ascii="Verdana" w:eastAsia="Times New Roman" w:hAnsi="Verdana" w:cs="Times New Roman"/>
          <w:sz w:val="20"/>
          <w:szCs w:val="20"/>
          <w:lang w:val="es-ES" w:eastAsia="es-MX"/>
        </w:rPr>
        <w:tab/>
        <w:t>Camel C.D. Ed. de Lujo</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001085</w:t>
      </w:r>
      <w:r w:rsidRPr="00957B34">
        <w:rPr>
          <w:rFonts w:ascii="Verdana" w:eastAsia="Times New Roman" w:hAnsi="Verdana" w:cs="Times New Roman"/>
          <w:sz w:val="20"/>
          <w:szCs w:val="20"/>
          <w:lang w:eastAsia="es-MX"/>
        </w:rPr>
        <w:tab/>
        <w:t>Camel C.D. Ed. Especial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001086</w:t>
      </w:r>
      <w:r w:rsidRPr="00957B34">
        <w:rPr>
          <w:rFonts w:ascii="Verdana" w:eastAsia="Times New Roman" w:hAnsi="Verdana" w:cs="Times New Roman"/>
          <w:sz w:val="20"/>
          <w:szCs w:val="20"/>
          <w:lang w:val="en-US" w:eastAsia="es-MX"/>
        </w:rPr>
        <w:tab/>
        <w:t>Lucky Strike C.D. P.B.</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001087</w:t>
      </w:r>
      <w:r w:rsidRPr="00957B34">
        <w:rPr>
          <w:rFonts w:ascii="Verdana" w:eastAsia="Times New Roman" w:hAnsi="Verdana" w:cs="Times New Roman"/>
          <w:sz w:val="20"/>
          <w:szCs w:val="20"/>
          <w:lang w:val="en-US" w:eastAsia="es-MX"/>
        </w:rPr>
        <w:tab/>
        <w:t>Lucky Strike Lights C.D. P.B.</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001093</w:t>
      </w:r>
      <w:r w:rsidRPr="00957B34">
        <w:rPr>
          <w:rFonts w:ascii="Verdana" w:eastAsia="Times New Roman" w:hAnsi="Verdana" w:cs="Times New Roman"/>
          <w:sz w:val="20"/>
          <w:szCs w:val="20"/>
          <w:lang w:val="en-US" w:eastAsia="es-MX"/>
        </w:rPr>
        <w:tab/>
        <w:t>Montana Menthol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001094</w:t>
      </w:r>
      <w:r w:rsidRPr="00957B34">
        <w:rPr>
          <w:rFonts w:ascii="Verdana" w:eastAsia="Times New Roman" w:hAnsi="Verdana" w:cs="Times New Roman"/>
          <w:sz w:val="20"/>
          <w:szCs w:val="20"/>
          <w:lang w:val="en-US" w:eastAsia="es-MX"/>
        </w:rPr>
        <w:tab/>
        <w:t>Montana Menthol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001095</w:t>
      </w:r>
      <w:r w:rsidRPr="00957B34">
        <w:rPr>
          <w:rFonts w:ascii="Verdana" w:eastAsia="Times New Roman" w:hAnsi="Verdana" w:cs="Times New Roman"/>
          <w:sz w:val="20"/>
          <w:szCs w:val="20"/>
          <w:lang w:val="en-US" w:eastAsia="es-MX"/>
        </w:rPr>
        <w:tab/>
        <w:t>Kent Blue Ten H.L.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001096</w:t>
      </w:r>
      <w:r w:rsidRPr="00957B34">
        <w:rPr>
          <w:rFonts w:ascii="Verdana" w:eastAsia="Times New Roman" w:hAnsi="Verdana" w:cs="Times New Roman"/>
          <w:sz w:val="20"/>
          <w:szCs w:val="20"/>
          <w:lang w:val="en-US" w:eastAsia="es-MX"/>
        </w:rPr>
        <w:tab/>
        <w:t>Kent Silver Five H.L.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001097</w:t>
      </w:r>
      <w:r w:rsidRPr="00957B34">
        <w:rPr>
          <w:rFonts w:ascii="Verdana" w:eastAsia="Times New Roman" w:hAnsi="Verdana" w:cs="Times New Roman"/>
          <w:sz w:val="20"/>
          <w:szCs w:val="20"/>
          <w:lang w:val="en-US" w:eastAsia="es-MX"/>
        </w:rPr>
        <w:tab/>
        <w:t>Kent Gold One H.L.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001100</w:t>
      </w:r>
      <w:r w:rsidRPr="00957B34">
        <w:rPr>
          <w:rFonts w:ascii="Verdana" w:eastAsia="Times New Roman" w:hAnsi="Verdana" w:cs="Times New Roman"/>
          <w:sz w:val="20"/>
          <w:szCs w:val="20"/>
          <w:lang w:val="en-US" w:eastAsia="es-MX"/>
        </w:rPr>
        <w:tab/>
        <w:t>Pall Mall Exactos 25´s F.F.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001101</w:t>
      </w:r>
      <w:r w:rsidRPr="00957B34">
        <w:rPr>
          <w:rFonts w:ascii="Verdana" w:eastAsia="Times New Roman" w:hAnsi="Verdana" w:cs="Times New Roman"/>
          <w:sz w:val="20"/>
          <w:szCs w:val="20"/>
          <w:lang w:val="en-US" w:eastAsia="es-MX"/>
        </w:rPr>
        <w:tab/>
        <w:t>Pall Mall Exactos F.F.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001102</w:t>
      </w:r>
      <w:r w:rsidRPr="00957B34">
        <w:rPr>
          <w:rFonts w:ascii="Verdana" w:eastAsia="Times New Roman" w:hAnsi="Verdana" w:cs="Times New Roman"/>
          <w:sz w:val="20"/>
          <w:szCs w:val="20"/>
          <w:lang w:val="en-US" w:eastAsia="es-MX"/>
        </w:rPr>
        <w:tab/>
        <w:t>Pall Mall Exactos Lights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001103</w:t>
      </w:r>
      <w:r w:rsidRPr="00957B34">
        <w:rPr>
          <w:rFonts w:ascii="Verdana" w:eastAsia="Times New Roman" w:hAnsi="Verdana" w:cs="Times New Roman"/>
          <w:sz w:val="20"/>
          <w:szCs w:val="20"/>
          <w:lang w:val="en-US" w:eastAsia="es-MX"/>
        </w:rPr>
        <w:tab/>
        <w:t>Pall Mall Special Lights 100´s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001104</w:t>
      </w:r>
      <w:r w:rsidRPr="00957B34">
        <w:rPr>
          <w:rFonts w:ascii="Verdana" w:eastAsia="Times New Roman" w:hAnsi="Verdana" w:cs="Times New Roman"/>
          <w:sz w:val="20"/>
          <w:szCs w:val="20"/>
          <w:lang w:val="en-US" w:eastAsia="es-MX"/>
        </w:rPr>
        <w:tab/>
        <w:t>Pall Mall Lights 20´s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001105</w:t>
      </w:r>
      <w:r w:rsidRPr="00957B34">
        <w:rPr>
          <w:rFonts w:ascii="Verdana" w:eastAsia="Times New Roman" w:hAnsi="Verdana" w:cs="Times New Roman"/>
          <w:sz w:val="20"/>
          <w:szCs w:val="20"/>
          <w:lang w:val="en-US" w:eastAsia="es-MX"/>
        </w:rPr>
        <w:tab/>
        <w:t>Pall Mall Menthol 20´s C.F.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001106</w:t>
      </w:r>
      <w:r w:rsidRPr="00957B34">
        <w:rPr>
          <w:rFonts w:ascii="Verdana" w:eastAsia="Times New Roman" w:hAnsi="Verdana" w:cs="Times New Roman"/>
          <w:sz w:val="20"/>
          <w:szCs w:val="20"/>
          <w:lang w:val="en-US" w:eastAsia="es-MX"/>
        </w:rPr>
        <w:tab/>
        <w:t>Montana 14´s F.F.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001107</w:t>
      </w:r>
      <w:r w:rsidRPr="00957B34">
        <w:rPr>
          <w:rFonts w:ascii="Verdana" w:eastAsia="Times New Roman" w:hAnsi="Verdana" w:cs="Times New Roman"/>
          <w:sz w:val="20"/>
          <w:szCs w:val="20"/>
          <w:lang w:val="en-US" w:eastAsia="es-MX"/>
        </w:rPr>
        <w:tab/>
        <w:t>Camel Blue</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001108</w:t>
      </w:r>
      <w:r w:rsidRPr="00957B34">
        <w:rPr>
          <w:rFonts w:ascii="Verdana" w:eastAsia="Times New Roman" w:hAnsi="Verdana" w:cs="Times New Roman"/>
          <w:sz w:val="20"/>
          <w:szCs w:val="20"/>
          <w:lang w:val="en-US" w:eastAsia="es-MX"/>
        </w:rPr>
        <w:tab/>
        <w:t>Montana Shots 14´s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001109</w:t>
      </w:r>
      <w:r w:rsidRPr="00957B34">
        <w:rPr>
          <w:rFonts w:ascii="Verdana" w:eastAsia="Times New Roman" w:hAnsi="Verdana" w:cs="Times New Roman"/>
          <w:sz w:val="20"/>
          <w:szCs w:val="20"/>
          <w:lang w:val="en-US" w:eastAsia="es-MX"/>
        </w:rPr>
        <w:tab/>
        <w:t>Montana Shots F.F. 25´s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001110</w:t>
      </w:r>
      <w:r w:rsidRPr="00957B34">
        <w:rPr>
          <w:rFonts w:ascii="Verdana" w:eastAsia="Times New Roman" w:hAnsi="Verdana" w:cs="Times New Roman"/>
          <w:sz w:val="20"/>
          <w:szCs w:val="20"/>
          <w:lang w:val="en-US" w:eastAsia="es-MX"/>
        </w:rPr>
        <w:tab/>
        <w:t>Pall Mall Multicolor</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001111</w:t>
      </w:r>
      <w:r w:rsidRPr="00957B34">
        <w:rPr>
          <w:rFonts w:ascii="Verdana" w:eastAsia="Times New Roman" w:hAnsi="Verdana" w:cs="Times New Roman"/>
          <w:sz w:val="20"/>
          <w:szCs w:val="20"/>
          <w:lang w:val="en-US" w:eastAsia="es-MX"/>
        </w:rPr>
        <w:tab/>
        <w:t>Camel Silver</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001112</w:t>
      </w:r>
      <w:r w:rsidRPr="00957B34">
        <w:rPr>
          <w:rFonts w:ascii="Verdana" w:eastAsia="Times New Roman" w:hAnsi="Verdana" w:cs="Times New Roman"/>
          <w:sz w:val="20"/>
          <w:szCs w:val="20"/>
          <w:lang w:val="en-US" w:eastAsia="es-MX"/>
        </w:rPr>
        <w:tab/>
        <w:t>Raleigh 25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001113</w:t>
      </w:r>
      <w:r w:rsidRPr="00957B34">
        <w:rPr>
          <w:rFonts w:ascii="Verdana" w:eastAsia="Times New Roman" w:hAnsi="Verdana" w:cs="Times New Roman"/>
          <w:sz w:val="20"/>
          <w:szCs w:val="20"/>
          <w:lang w:val="en-US" w:eastAsia="es-MX"/>
        </w:rPr>
        <w:tab/>
        <w:t>Raleigh 84 M.M.</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001114</w:t>
      </w:r>
      <w:r w:rsidRPr="00957B34">
        <w:rPr>
          <w:rFonts w:ascii="Verdana" w:eastAsia="Times New Roman" w:hAnsi="Verdana" w:cs="Times New Roman"/>
          <w:sz w:val="20"/>
          <w:szCs w:val="20"/>
          <w:lang w:val="en-US" w:eastAsia="es-MX"/>
        </w:rPr>
        <w:tab/>
        <w:t>Dunhill Blonde Blend KS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001115</w:t>
      </w:r>
      <w:r w:rsidRPr="00957B34">
        <w:rPr>
          <w:rFonts w:ascii="Verdana" w:eastAsia="Times New Roman" w:hAnsi="Verdana" w:cs="Times New Roman"/>
          <w:sz w:val="20"/>
          <w:szCs w:val="20"/>
          <w:lang w:val="en-US" w:eastAsia="es-MX"/>
        </w:rPr>
        <w:tab/>
        <w:t>Dunhill Swiss Blend KS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001116</w:t>
      </w:r>
      <w:r w:rsidRPr="00957B34">
        <w:rPr>
          <w:rFonts w:ascii="Verdana" w:eastAsia="Times New Roman" w:hAnsi="Verdana" w:cs="Times New Roman"/>
          <w:sz w:val="20"/>
          <w:szCs w:val="20"/>
          <w:lang w:val="en-US" w:eastAsia="es-MX"/>
        </w:rPr>
        <w:tab/>
        <w:t>Dunhill Master Blend KS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001117</w:t>
      </w:r>
      <w:r w:rsidRPr="00957B34">
        <w:rPr>
          <w:rFonts w:ascii="Verdana" w:eastAsia="Times New Roman" w:hAnsi="Verdana" w:cs="Times New Roman"/>
          <w:sz w:val="20"/>
          <w:szCs w:val="20"/>
          <w:lang w:val="en-US" w:eastAsia="es-MX"/>
        </w:rPr>
        <w:tab/>
        <w:t>Camel Cool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001118</w:t>
      </w:r>
      <w:r w:rsidRPr="00957B34">
        <w:rPr>
          <w:rFonts w:ascii="Verdana" w:eastAsia="Times New Roman" w:hAnsi="Verdana" w:cs="Times New Roman"/>
          <w:sz w:val="20"/>
          <w:szCs w:val="20"/>
          <w:lang w:val="en-US" w:eastAsia="es-MX"/>
        </w:rPr>
        <w:tab/>
        <w:t>Pall Mall XL Fresh HL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001119</w:t>
      </w:r>
      <w:r w:rsidRPr="00957B34">
        <w:rPr>
          <w:rFonts w:ascii="Verdana" w:eastAsia="Times New Roman" w:hAnsi="Verdana" w:cs="Times New Roman"/>
          <w:sz w:val="20"/>
          <w:szCs w:val="20"/>
          <w:lang w:eastAsia="es-MX"/>
        </w:rPr>
        <w:tab/>
        <w:t>Montana 100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001120</w:t>
      </w:r>
      <w:r w:rsidRPr="00957B34">
        <w:rPr>
          <w:rFonts w:ascii="Verdana" w:eastAsia="Times New Roman" w:hAnsi="Verdana" w:cs="Times New Roman"/>
          <w:sz w:val="20"/>
          <w:szCs w:val="20"/>
          <w:lang w:eastAsia="es-MX"/>
        </w:rPr>
        <w:tab/>
        <w:t>Montana 100 LI</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001121</w:t>
      </w:r>
      <w:r w:rsidRPr="00957B34">
        <w:rPr>
          <w:rFonts w:ascii="Verdana" w:eastAsia="Times New Roman" w:hAnsi="Verdana" w:cs="Times New Roman"/>
          <w:sz w:val="20"/>
          <w:szCs w:val="20"/>
          <w:lang w:eastAsia="es-MX"/>
        </w:rPr>
        <w:tab/>
        <w:t>Montana 100 ME</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 xml:space="preserve">001122 </w:t>
      </w:r>
      <w:r w:rsidRPr="00957B34">
        <w:rPr>
          <w:rFonts w:ascii="Verdana" w:eastAsia="Times New Roman" w:hAnsi="Verdana" w:cs="Times New Roman"/>
          <w:sz w:val="20"/>
          <w:szCs w:val="20"/>
          <w:lang w:val="en-US" w:eastAsia="es-MX"/>
        </w:rPr>
        <w:tab/>
        <w:t>Pall Mall Exactos 14´s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001123</w:t>
      </w:r>
      <w:r w:rsidRPr="00957B34">
        <w:rPr>
          <w:rFonts w:ascii="Verdana" w:eastAsia="Times New Roman" w:hAnsi="Verdana" w:cs="Times New Roman"/>
          <w:sz w:val="20"/>
          <w:szCs w:val="20"/>
          <w:lang w:val="en-US" w:eastAsia="es-MX"/>
        </w:rPr>
        <w:tab/>
        <w:t>Raleigh 18 HL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001124</w:t>
      </w:r>
      <w:r w:rsidRPr="00957B34">
        <w:rPr>
          <w:rFonts w:ascii="Verdana" w:eastAsia="Times New Roman" w:hAnsi="Verdana" w:cs="Times New Roman"/>
          <w:sz w:val="20"/>
          <w:szCs w:val="20"/>
          <w:lang w:val="en-US" w:eastAsia="es-MX"/>
        </w:rPr>
        <w:tab/>
        <w:t>Camel Ff 100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001125</w:t>
      </w:r>
      <w:r w:rsidRPr="00957B34">
        <w:rPr>
          <w:rFonts w:ascii="Verdana" w:eastAsia="Times New Roman" w:hAnsi="Verdana" w:cs="Times New Roman"/>
          <w:sz w:val="20"/>
          <w:szCs w:val="20"/>
          <w:lang w:val="en-US" w:eastAsia="es-MX"/>
        </w:rPr>
        <w:tab/>
        <w:t>Dunhill Capsule Switch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001126</w:t>
      </w:r>
      <w:r w:rsidRPr="00957B34">
        <w:rPr>
          <w:rFonts w:ascii="Verdana" w:eastAsia="Times New Roman" w:hAnsi="Verdana" w:cs="Times New Roman"/>
          <w:sz w:val="20"/>
          <w:szCs w:val="20"/>
          <w:lang w:val="en-US" w:eastAsia="es-MX"/>
        </w:rPr>
        <w:tab/>
        <w:t>Pall Mall XL Lights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001127</w:t>
      </w:r>
      <w:r w:rsidRPr="00957B34">
        <w:rPr>
          <w:rFonts w:ascii="Verdana" w:eastAsia="Times New Roman" w:hAnsi="Verdana" w:cs="Times New Roman"/>
          <w:sz w:val="20"/>
          <w:szCs w:val="20"/>
          <w:lang w:val="en-US" w:eastAsia="es-MX"/>
        </w:rPr>
        <w:tab/>
        <w:t>Pall Mall XL Fresh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001128</w:t>
      </w:r>
      <w:r w:rsidRPr="00957B34">
        <w:rPr>
          <w:rFonts w:ascii="Verdana" w:eastAsia="Times New Roman" w:hAnsi="Verdana" w:cs="Times New Roman"/>
          <w:sz w:val="20"/>
          <w:szCs w:val="20"/>
          <w:lang w:val="en-US" w:eastAsia="es-MX"/>
        </w:rPr>
        <w:tab/>
        <w:t>Camel Colors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001129</w:t>
      </w:r>
      <w:r w:rsidRPr="00957B34">
        <w:rPr>
          <w:rFonts w:ascii="Verdana" w:eastAsia="Times New Roman" w:hAnsi="Verdana" w:cs="Times New Roman"/>
          <w:sz w:val="20"/>
          <w:szCs w:val="20"/>
          <w:lang w:val="en-US" w:eastAsia="es-MX"/>
        </w:rPr>
        <w:tab/>
        <w:t>Bohemios 14s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001130</w:t>
      </w:r>
      <w:r w:rsidRPr="00957B34">
        <w:rPr>
          <w:rFonts w:ascii="Verdana" w:eastAsia="Times New Roman" w:hAnsi="Verdana" w:cs="Times New Roman"/>
          <w:sz w:val="20"/>
          <w:szCs w:val="20"/>
          <w:lang w:val="en-US" w:eastAsia="es-MX"/>
        </w:rPr>
        <w:tab/>
        <w:t>Bohemios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001131</w:t>
      </w:r>
      <w:r w:rsidRPr="00957B34">
        <w:rPr>
          <w:rFonts w:ascii="Verdana" w:eastAsia="Times New Roman" w:hAnsi="Verdana" w:cs="Times New Roman"/>
          <w:sz w:val="20"/>
          <w:szCs w:val="20"/>
          <w:lang w:val="en-US" w:eastAsia="es-MX"/>
        </w:rPr>
        <w:tab/>
        <w:t>Gol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001132</w:t>
      </w:r>
      <w:r w:rsidRPr="00957B34">
        <w:rPr>
          <w:rFonts w:ascii="Verdana" w:eastAsia="Times New Roman" w:hAnsi="Verdana" w:cs="Times New Roman"/>
          <w:sz w:val="20"/>
          <w:szCs w:val="20"/>
          <w:lang w:val="en-US" w:eastAsia="es-MX"/>
        </w:rPr>
        <w:tab/>
        <w:t>Pall Mall XL LI Switch</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001133</w:t>
      </w:r>
      <w:r w:rsidRPr="00957B34">
        <w:rPr>
          <w:rFonts w:ascii="Verdana" w:eastAsia="Times New Roman" w:hAnsi="Verdana" w:cs="Times New Roman"/>
          <w:sz w:val="20"/>
          <w:szCs w:val="20"/>
          <w:lang w:val="en-US" w:eastAsia="es-MX"/>
        </w:rPr>
        <w:tab/>
        <w:t>Pall Mall XL FF Switch</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proofErr w:type="gramStart"/>
      <w:r w:rsidRPr="00957B34">
        <w:rPr>
          <w:rFonts w:ascii="Verdana" w:eastAsia="Times New Roman" w:hAnsi="Verdana" w:cs="Times New Roman"/>
          <w:sz w:val="20"/>
          <w:szCs w:val="20"/>
          <w:lang w:val="en-US" w:eastAsia="es-MX"/>
        </w:rPr>
        <w:t>001134</w:t>
      </w:r>
      <w:r w:rsidRPr="00957B34">
        <w:rPr>
          <w:rFonts w:ascii="Verdana" w:eastAsia="Times New Roman" w:hAnsi="Verdana" w:cs="Times New Roman"/>
          <w:sz w:val="20"/>
          <w:szCs w:val="20"/>
          <w:lang w:val="en-US" w:eastAsia="es-MX"/>
        </w:rPr>
        <w:tab/>
        <w:t>Pall Mall XL 14 Light Switch</w:t>
      </w:r>
      <w:proofErr w:type="gramEnd"/>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001135</w:t>
      </w:r>
      <w:r w:rsidRPr="00957B34">
        <w:rPr>
          <w:rFonts w:ascii="Verdana" w:eastAsia="Times New Roman" w:hAnsi="Verdana" w:cs="Times New Roman"/>
          <w:sz w:val="20"/>
          <w:szCs w:val="20"/>
          <w:lang w:val="en-US" w:eastAsia="es-MX"/>
        </w:rPr>
        <w:tab/>
        <w:t>Pall Mall XL Me Boost</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001136</w:t>
      </w:r>
      <w:r w:rsidRPr="00957B34">
        <w:rPr>
          <w:rFonts w:ascii="Verdana" w:eastAsia="Times New Roman" w:hAnsi="Verdana" w:cs="Times New Roman"/>
          <w:sz w:val="20"/>
          <w:szCs w:val="20"/>
          <w:lang w:val="en-US" w:eastAsia="es-MX"/>
        </w:rPr>
        <w:tab/>
        <w:t xml:space="preserve">Dunhill Blonde </w:t>
      </w:r>
      <w:proofErr w:type="gramStart"/>
      <w:r w:rsidRPr="00957B34">
        <w:rPr>
          <w:rFonts w:ascii="Verdana" w:eastAsia="Times New Roman" w:hAnsi="Verdana" w:cs="Times New Roman"/>
          <w:sz w:val="20"/>
          <w:szCs w:val="20"/>
          <w:lang w:val="en-US" w:eastAsia="es-MX"/>
        </w:rPr>
        <w:t>Switch</w:t>
      </w:r>
      <w:proofErr w:type="gramEnd"/>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001137</w:t>
      </w:r>
      <w:r w:rsidRPr="00957B34">
        <w:rPr>
          <w:rFonts w:ascii="Verdana" w:eastAsia="Times New Roman" w:hAnsi="Verdana" w:cs="Times New Roman"/>
          <w:sz w:val="20"/>
          <w:szCs w:val="20"/>
          <w:lang w:val="en-US" w:eastAsia="es-MX"/>
        </w:rPr>
        <w:tab/>
        <w:t>Dunhill Switch 100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001138</w:t>
      </w:r>
      <w:r w:rsidRPr="00957B34">
        <w:rPr>
          <w:rFonts w:ascii="Verdana" w:eastAsia="Times New Roman" w:hAnsi="Verdana" w:cs="Times New Roman"/>
          <w:sz w:val="20"/>
          <w:szCs w:val="20"/>
          <w:lang w:val="en-US" w:eastAsia="es-MX"/>
        </w:rPr>
        <w:tab/>
        <w:t>Dunhill Boost 100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001139</w:t>
      </w:r>
      <w:r w:rsidRPr="00957B34">
        <w:rPr>
          <w:rFonts w:ascii="Verdana" w:eastAsia="Times New Roman" w:hAnsi="Verdana" w:cs="Times New Roman"/>
          <w:sz w:val="20"/>
          <w:szCs w:val="20"/>
          <w:lang w:val="en-US" w:eastAsia="es-MX"/>
        </w:rPr>
        <w:tab/>
        <w:t>Pall Mall XL 14 FF Switch</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001140</w:t>
      </w:r>
      <w:r w:rsidRPr="00957B34">
        <w:rPr>
          <w:rFonts w:ascii="Verdana" w:eastAsia="Times New Roman" w:hAnsi="Verdana" w:cs="Times New Roman"/>
          <w:sz w:val="20"/>
          <w:szCs w:val="20"/>
          <w:lang w:val="en-US" w:eastAsia="es-MX"/>
        </w:rPr>
        <w:tab/>
        <w:t>Pall Mall XL 14 ME Boost</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001141</w:t>
      </w:r>
      <w:r w:rsidRPr="00957B34">
        <w:rPr>
          <w:rFonts w:ascii="Verdana" w:eastAsia="Times New Roman" w:hAnsi="Verdana" w:cs="Times New Roman"/>
          <w:sz w:val="20"/>
          <w:szCs w:val="20"/>
          <w:lang w:eastAsia="es-MX"/>
        </w:rPr>
        <w:tab/>
        <w:t>Camel Activa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001142</w:t>
      </w:r>
      <w:r w:rsidRPr="00957B34">
        <w:rPr>
          <w:rFonts w:ascii="Verdana" w:eastAsia="Times New Roman" w:hAnsi="Verdana" w:cs="Times New Roman"/>
          <w:sz w:val="20"/>
          <w:szCs w:val="20"/>
          <w:lang w:val="es-ES" w:eastAsia="es-MX"/>
        </w:rPr>
        <w:tab/>
        <w:t>Camel Activa LI</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001143</w:t>
      </w:r>
      <w:r w:rsidRPr="00957B34">
        <w:rPr>
          <w:rFonts w:ascii="Verdana" w:eastAsia="Times New Roman" w:hAnsi="Verdana" w:cs="Times New Roman"/>
          <w:sz w:val="20"/>
          <w:szCs w:val="20"/>
          <w:lang w:val="en-US" w:eastAsia="es-MX"/>
        </w:rPr>
        <w:tab/>
        <w:t>Pall Mall Exactos 14 LI</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001144</w:t>
      </w:r>
      <w:r w:rsidRPr="00957B34">
        <w:rPr>
          <w:rFonts w:ascii="Verdana" w:eastAsia="Times New Roman" w:hAnsi="Verdana" w:cs="Times New Roman"/>
          <w:sz w:val="20"/>
          <w:szCs w:val="20"/>
          <w:lang w:val="en-US" w:eastAsia="es-MX"/>
        </w:rPr>
        <w:tab/>
        <w:t>Gratos CD 20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001145</w:t>
      </w:r>
      <w:r w:rsidRPr="00957B34">
        <w:rPr>
          <w:rFonts w:ascii="Verdana" w:eastAsia="Times New Roman" w:hAnsi="Verdana" w:cs="Times New Roman"/>
          <w:sz w:val="20"/>
          <w:szCs w:val="20"/>
          <w:lang w:val="en-US" w:eastAsia="es-MX"/>
        </w:rPr>
        <w:tab/>
        <w:t>Montana Boost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001146</w:t>
      </w:r>
      <w:r w:rsidRPr="00957B34">
        <w:rPr>
          <w:rFonts w:ascii="Verdana" w:eastAsia="Times New Roman" w:hAnsi="Verdana" w:cs="Times New Roman"/>
          <w:sz w:val="20"/>
          <w:szCs w:val="20"/>
          <w:lang w:val="en-US" w:eastAsia="es-MX"/>
        </w:rPr>
        <w:tab/>
        <w:t>Camel Activa FF 14’s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001147</w:t>
      </w:r>
      <w:r w:rsidRPr="00957B34">
        <w:rPr>
          <w:rFonts w:ascii="Verdana" w:eastAsia="Times New Roman" w:hAnsi="Verdana" w:cs="Times New Roman"/>
          <w:sz w:val="20"/>
          <w:szCs w:val="20"/>
          <w:lang w:val="en-US" w:eastAsia="es-MX"/>
        </w:rPr>
        <w:tab/>
        <w:t>Camel Activa LI 14’s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001148</w:t>
      </w:r>
      <w:r w:rsidRPr="00957B34">
        <w:rPr>
          <w:rFonts w:ascii="Verdana" w:eastAsia="Times New Roman" w:hAnsi="Verdana" w:cs="Times New Roman"/>
          <w:sz w:val="20"/>
          <w:szCs w:val="20"/>
          <w:lang w:val="en-US" w:eastAsia="es-MX"/>
        </w:rPr>
        <w:tab/>
        <w:t>Pall Mall FF 15’s Exactos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001149</w:t>
      </w:r>
      <w:r w:rsidRPr="00957B34">
        <w:rPr>
          <w:rFonts w:ascii="Verdana" w:eastAsia="Times New Roman" w:hAnsi="Verdana" w:cs="Times New Roman"/>
          <w:sz w:val="20"/>
          <w:szCs w:val="20"/>
          <w:lang w:val="en-US" w:eastAsia="es-MX"/>
        </w:rPr>
        <w:tab/>
        <w:t>Pall Mall LI 15’s Exactos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001150</w:t>
      </w:r>
      <w:r w:rsidRPr="00957B34">
        <w:rPr>
          <w:rFonts w:ascii="Verdana" w:eastAsia="Times New Roman" w:hAnsi="Verdana" w:cs="Times New Roman"/>
          <w:sz w:val="20"/>
          <w:szCs w:val="20"/>
          <w:lang w:val="en-US" w:eastAsia="es-MX"/>
        </w:rPr>
        <w:tab/>
        <w:t>Montana Shots 15´s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001151</w:t>
      </w:r>
      <w:r w:rsidRPr="00957B34">
        <w:rPr>
          <w:rFonts w:ascii="Verdana" w:eastAsia="Times New Roman" w:hAnsi="Verdana" w:cs="Times New Roman"/>
          <w:sz w:val="20"/>
          <w:szCs w:val="20"/>
          <w:lang w:val="en-US" w:eastAsia="es-MX"/>
        </w:rPr>
        <w:tab/>
        <w:t>Lucky Strike Additive Free FF 74 MM 25s TR</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001152</w:t>
      </w:r>
      <w:r w:rsidRPr="00957B34">
        <w:rPr>
          <w:rFonts w:ascii="Verdana" w:eastAsia="Times New Roman" w:hAnsi="Verdana" w:cs="Times New Roman"/>
          <w:sz w:val="20"/>
          <w:szCs w:val="20"/>
          <w:lang w:val="en-US" w:eastAsia="es-MX"/>
        </w:rPr>
        <w:tab/>
        <w:t>Lucky Strike Additive Free FF 69 MM 20s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001153</w:t>
      </w:r>
      <w:r w:rsidRPr="00957B34">
        <w:rPr>
          <w:rFonts w:ascii="Verdana" w:eastAsia="Times New Roman" w:hAnsi="Verdana" w:cs="Times New Roman"/>
          <w:sz w:val="20"/>
          <w:szCs w:val="20"/>
          <w:lang w:val="en-US" w:eastAsia="es-MX"/>
        </w:rPr>
        <w:tab/>
        <w:t>Lucky Strike Additive Free FF 83 MM 20s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001154</w:t>
      </w:r>
      <w:r w:rsidRPr="00957B34">
        <w:rPr>
          <w:rFonts w:ascii="Verdana" w:eastAsia="Times New Roman" w:hAnsi="Verdana" w:cs="Times New Roman"/>
          <w:sz w:val="20"/>
          <w:szCs w:val="20"/>
          <w:lang w:val="en-US" w:eastAsia="es-MX"/>
        </w:rPr>
        <w:tab/>
        <w:t>Lucky Strike Additive Free NFF 83 MM 20s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001155</w:t>
      </w:r>
      <w:r w:rsidRPr="00957B34">
        <w:rPr>
          <w:rFonts w:ascii="Verdana" w:eastAsia="Times New Roman" w:hAnsi="Verdana" w:cs="Times New Roman"/>
          <w:sz w:val="20"/>
          <w:szCs w:val="20"/>
          <w:lang w:val="en-US" w:eastAsia="es-MX"/>
        </w:rPr>
        <w:tab/>
        <w:t>Camel FF 16’s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001156</w:t>
      </w:r>
      <w:r w:rsidRPr="00957B34">
        <w:rPr>
          <w:rFonts w:ascii="Verdana" w:eastAsia="Times New Roman" w:hAnsi="Verdana" w:cs="Times New Roman"/>
          <w:sz w:val="20"/>
          <w:szCs w:val="20"/>
          <w:lang w:val="en-US" w:eastAsia="es-MX"/>
        </w:rPr>
        <w:tab/>
        <w:t>Montana Shots 24’s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001157</w:t>
      </w:r>
      <w:r w:rsidRPr="00957B34">
        <w:rPr>
          <w:rFonts w:ascii="Verdana" w:eastAsia="Times New Roman" w:hAnsi="Verdana" w:cs="Times New Roman"/>
          <w:sz w:val="20"/>
          <w:szCs w:val="20"/>
          <w:lang w:val="en-US" w:eastAsia="es-MX"/>
        </w:rPr>
        <w:tab/>
        <w:t>Lucky Strike Original NFF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001158</w:t>
      </w:r>
      <w:r w:rsidRPr="00957B34">
        <w:rPr>
          <w:rFonts w:ascii="Verdana" w:eastAsia="Times New Roman" w:hAnsi="Verdana" w:cs="Times New Roman"/>
          <w:sz w:val="20"/>
          <w:szCs w:val="20"/>
          <w:lang w:val="en-US" w:eastAsia="es-MX"/>
        </w:rPr>
        <w:tab/>
        <w:t>Pall Mall Exacto Mentol 15´s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001159</w:t>
      </w:r>
      <w:r w:rsidRPr="00957B34">
        <w:rPr>
          <w:rFonts w:ascii="Verdana" w:eastAsia="Times New Roman" w:hAnsi="Verdana" w:cs="Times New Roman"/>
          <w:sz w:val="20"/>
          <w:szCs w:val="20"/>
          <w:lang w:val="en-US" w:eastAsia="es-MX"/>
        </w:rPr>
        <w:tab/>
        <w:t>Lucky Strike FF 83MM HLSQ 15s SIGNATURE</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001160</w:t>
      </w:r>
      <w:r w:rsidRPr="00957B34">
        <w:rPr>
          <w:rFonts w:ascii="Verdana" w:eastAsia="Times New Roman" w:hAnsi="Verdana" w:cs="Times New Roman"/>
          <w:sz w:val="20"/>
          <w:szCs w:val="20"/>
          <w:lang w:val="en-US" w:eastAsia="es-MX"/>
        </w:rPr>
        <w:tab/>
        <w:t>Pall Mall Black Edition Havana Nights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001161</w:t>
      </w:r>
      <w:r w:rsidRPr="00957B34">
        <w:rPr>
          <w:rFonts w:ascii="Verdana" w:eastAsia="Times New Roman" w:hAnsi="Verdana" w:cs="Times New Roman"/>
          <w:sz w:val="20"/>
          <w:szCs w:val="20"/>
          <w:lang w:val="en-US" w:eastAsia="es-MX"/>
        </w:rPr>
        <w:tab/>
        <w:t>Lucky Strike Original FF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001162</w:t>
      </w:r>
      <w:r w:rsidRPr="00957B34">
        <w:rPr>
          <w:rFonts w:ascii="Verdana" w:eastAsia="Times New Roman" w:hAnsi="Verdana" w:cs="Times New Roman"/>
          <w:sz w:val="20"/>
          <w:szCs w:val="20"/>
          <w:lang w:val="en-US" w:eastAsia="es-MX"/>
        </w:rPr>
        <w:tab/>
        <w:t>Pall Mall XL Ibiza Sunset 20s 100MM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001163</w:t>
      </w:r>
      <w:r w:rsidRPr="00957B34">
        <w:rPr>
          <w:rFonts w:ascii="Verdana" w:eastAsia="Times New Roman" w:hAnsi="Verdana" w:cs="Times New Roman"/>
          <w:sz w:val="20"/>
          <w:szCs w:val="20"/>
          <w:lang w:val="en-US" w:eastAsia="es-MX"/>
        </w:rPr>
        <w:tab/>
        <w:t>Pall Mall XL Click and Twist 20s 100MM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001164</w:t>
      </w:r>
      <w:r w:rsidRPr="00957B34">
        <w:rPr>
          <w:rFonts w:ascii="Verdana" w:eastAsia="Times New Roman" w:hAnsi="Verdana" w:cs="Times New Roman"/>
          <w:sz w:val="20"/>
          <w:szCs w:val="20"/>
          <w:lang w:val="en-US" w:eastAsia="es-MX"/>
        </w:rPr>
        <w:tab/>
        <w:t>Lucky Strike Original 15s FF 83MM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001165</w:t>
      </w:r>
      <w:r w:rsidRPr="00957B34">
        <w:rPr>
          <w:rFonts w:ascii="Verdana" w:eastAsia="Times New Roman" w:hAnsi="Verdana" w:cs="Times New Roman"/>
          <w:sz w:val="20"/>
          <w:szCs w:val="20"/>
          <w:lang w:val="en-US" w:eastAsia="es-MX"/>
        </w:rPr>
        <w:tab/>
        <w:t>Lucky Strike Click 4 Mix 20s Mentol 83MM CD con Capsulas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001166</w:t>
      </w:r>
      <w:r w:rsidRPr="00957B34">
        <w:rPr>
          <w:rFonts w:ascii="Verdana" w:eastAsia="Times New Roman" w:hAnsi="Verdana" w:cs="Times New Roman"/>
          <w:sz w:val="20"/>
          <w:szCs w:val="20"/>
          <w:lang w:val="en-US" w:eastAsia="es-MX"/>
        </w:rPr>
        <w:tab/>
        <w:t>Pall Mall XL Ibiza Sunset 14s 100MM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001167</w:t>
      </w:r>
      <w:r w:rsidRPr="00957B34">
        <w:rPr>
          <w:rFonts w:ascii="Verdana" w:eastAsia="Times New Roman" w:hAnsi="Verdana" w:cs="Times New Roman"/>
          <w:sz w:val="20"/>
          <w:szCs w:val="20"/>
          <w:lang w:val="en-US" w:eastAsia="es-MX"/>
        </w:rPr>
        <w:tab/>
        <w:t>Pall Mall XL Tokyo Midnight Double Click 20s Mentol 100MM CD con Capsulas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001168</w:t>
      </w:r>
      <w:r w:rsidRPr="00957B34">
        <w:rPr>
          <w:rFonts w:ascii="Verdana" w:eastAsia="Times New Roman" w:hAnsi="Verdana" w:cs="Times New Roman"/>
          <w:sz w:val="20"/>
          <w:szCs w:val="20"/>
          <w:lang w:val="en-US" w:eastAsia="es-MX"/>
        </w:rPr>
        <w:tab/>
        <w:t>Lucky Strike Convertibles 15s Mentol 83MM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001169</w:t>
      </w:r>
      <w:r w:rsidRPr="00957B34">
        <w:rPr>
          <w:rFonts w:ascii="Verdana" w:eastAsia="Times New Roman" w:hAnsi="Verdana" w:cs="Times New Roman"/>
          <w:sz w:val="20"/>
          <w:szCs w:val="20"/>
          <w:lang w:val="en-US" w:eastAsia="es-MX"/>
        </w:rPr>
        <w:tab/>
        <w:t>Lucky Strike Original 20s FF 83MM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001170</w:t>
      </w:r>
      <w:r w:rsidRPr="00957B34">
        <w:rPr>
          <w:rFonts w:ascii="Verdana" w:eastAsia="Times New Roman" w:hAnsi="Verdana" w:cs="Times New Roman"/>
          <w:sz w:val="20"/>
          <w:szCs w:val="20"/>
          <w:lang w:eastAsia="es-MX"/>
        </w:rPr>
        <w:tab/>
        <w:t>Fiesta 20s FF 83 MM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001171</w:t>
      </w:r>
      <w:r w:rsidRPr="00957B34">
        <w:rPr>
          <w:rFonts w:ascii="Verdana" w:eastAsia="Times New Roman" w:hAnsi="Verdana" w:cs="Times New Roman"/>
          <w:sz w:val="20"/>
          <w:szCs w:val="20"/>
          <w:lang w:val="en-US" w:eastAsia="es-MX"/>
        </w:rPr>
        <w:tab/>
        <w:t>Pall Mall XL Maui Crepuscule 20s Mentol 100 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001172</w:t>
      </w:r>
      <w:r w:rsidRPr="00957B34">
        <w:rPr>
          <w:rFonts w:ascii="Verdana" w:eastAsia="Times New Roman" w:hAnsi="Verdana" w:cs="Times New Roman"/>
          <w:sz w:val="20"/>
          <w:szCs w:val="20"/>
          <w:lang w:val="en-US" w:eastAsia="es-MX"/>
        </w:rPr>
        <w:tab/>
        <w:t>Pall Mall Exactos 24s FF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001173</w:t>
      </w:r>
      <w:r w:rsidRPr="00957B34">
        <w:rPr>
          <w:rFonts w:ascii="Verdana" w:eastAsia="Times New Roman" w:hAnsi="Verdana" w:cs="Times New Roman"/>
          <w:sz w:val="20"/>
          <w:szCs w:val="20"/>
          <w:lang w:val="en-US" w:eastAsia="es-MX"/>
        </w:rPr>
        <w:tab/>
        <w:t>Boots LI 20s 83MM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001174</w:t>
      </w:r>
      <w:r w:rsidRPr="00957B34">
        <w:rPr>
          <w:rFonts w:ascii="Verdana" w:eastAsia="Times New Roman" w:hAnsi="Verdana" w:cs="Times New Roman"/>
          <w:sz w:val="20"/>
          <w:szCs w:val="20"/>
          <w:lang w:val="en-US" w:eastAsia="es-MX"/>
        </w:rPr>
        <w:tab/>
        <w:t>Boots FF 20s 83MM CD</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001175</w:t>
      </w:r>
      <w:r w:rsidRPr="00957B34">
        <w:rPr>
          <w:rFonts w:ascii="Verdana" w:eastAsia="Times New Roman" w:hAnsi="Verdana" w:cs="Times New Roman"/>
          <w:sz w:val="20"/>
          <w:szCs w:val="20"/>
          <w:lang w:val="en-US" w:eastAsia="es-MX"/>
        </w:rPr>
        <w:tab/>
        <w:t>Lucky Strike Original 20s FF 83MM CD Con Filtro Tube</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001176</w:t>
      </w:r>
      <w:r w:rsidRPr="00957B34">
        <w:rPr>
          <w:rFonts w:ascii="Verdana" w:eastAsia="Times New Roman" w:hAnsi="Verdana" w:cs="Times New Roman"/>
          <w:sz w:val="20"/>
          <w:szCs w:val="20"/>
          <w:lang w:val="en-US" w:eastAsia="es-MX"/>
        </w:rPr>
        <w:tab/>
        <w:t>Lucky Strike 20s Mentol 83MM CD Con Filtro Tube y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001177</w:t>
      </w:r>
      <w:r w:rsidRPr="00957B34">
        <w:rPr>
          <w:rFonts w:ascii="Verdana" w:eastAsia="Times New Roman" w:hAnsi="Verdana" w:cs="Times New Roman"/>
          <w:sz w:val="20"/>
          <w:szCs w:val="20"/>
          <w:lang w:val="en-US" w:eastAsia="es-MX"/>
        </w:rPr>
        <w:tab/>
        <w:t>Lucky Strike Convertibles Rojos 20s ME 83MM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001178</w:t>
      </w:r>
      <w:r w:rsidRPr="00957B34">
        <w:rPr>
          <w:rFonts w:ascii="Verdana" w:eastAsia="Times New Roman" w:hAnsi="Verdana" w:cs="Times New Roman"/>
          <w:sz w:val="20"/>
          <w:szCs w:val="20"/>
          <w:lang w:val="en-US" w:eastAsia="es-MX"/>
        </w:rPr>
        <w:tab/>
        <w:t>Lucky Strike Convertibles Azules 20s ME 83MM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001179</w:t>
      </w:r>
      <w:r w:rsidRPr="00957B34">
        <w:rPr>
          <w:rFonts w:ascii="Verdana" w:eastAsia="Times New Roman" w:hAnsi="Verdana" w:cs="Times New Roman"/>
          <w:sz w:val="20"/>
          <w:szCs w:val="20"/>
          <w:lang w:val="en-US" w:eastAsia="es-MX"/>
        </w:rPr>
        <w:tab/>
        <w:t>Pall Mall XL Mykonos 20s ME 100MM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001180</w:t>
      </w:r>
      <w:r w:rsidRPr="00957B34">
        <w:rPr>
          <w:rFonts w:ascii="Verdana" w:eastAsia="Times New Roman" w:hAnsi="Verdana" w:cs="Times New Roman"/>
          <w:sz w:val="20"/>
          <w:szCs w:val="20"/>
          <w:lang w:val="en-US" w:eastAsia="es-MX"/>
        </w:rPr>
        <w:tab/>
        <w:t>Pall Mall XL Essence 20s NFF 100MM CD Con Capsula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001181</w:t>
      </w:r>
      <w:r w:rsidRPr="00957B34">
        <w:rPr>
          <w:rFonts w:ascii="Verdana" w:eastAsia="Times New Roman" w:hAnsi="Verdana" w:cs="Times New Roman"/>
          <w:sz w:val="20"/>
          <w:szCs w:val="20"/>
          <w:lang w:val="en-US" w:eastAsia="es-MX"/>
        </w:rPr>
        <w:tab/>
        <w:t>Lucky Strike Amarillos FF 83MM 25s CD</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001182</w:t>
      </w:r>
      <w:r w:rsidRPr="00957B34">
        <w:rPr>
          <w:rFonts w:ascii="Verdana" w:eastAsia="Times New Roman" w:hAnsi="Verdana" w:cs="Times New Roman"/>
          <w:sz w:val="20"/>
          <w:szCs w:val="20"/>
          <w:lang w:val="en-US" w:eastAsia="es-MX"/>
        </w:rPr>
        <w:tab/>
        <w:t>Lucky Strike Amarillos FF 69MM 20s CS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001183</w:t>
      </w:r>
      <w:r w:rsidRPr="00957B34">
        <w:rPr>
          <w:rFonts w:ascii="Verdana" w:eastAsia="Times New Roman" w:hAnsi="Verdana" w:cs="Times New Roman"/>
          <w:sz w:val="20"/>
          <w:szCs w:val="20"/>
          <w:lang w:val="en-US" w:eastAsia="es-MX"/>
        </w:rPr>
        <w:tab/>
        <w:t>Lucky Strike Convertibles Morados 20s Mentol 83MM CD Con Capsula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001184</w:t>
      </w:r>
      <w:r w:rsidRPr="00957B34">
        <w:rPr>
          <w:rFonts w:ascii="Verdana" w:eastAsia="Times New Roman" w:hAnsi="Verdana" w:cs="Times New Roman"/>
          <w:sz w:val="20"/>
          <w:szCs w:val="20"/>
          <w:lang w:val="en-US" w:eastAsia="es-MX"/>
        </w:rPr>
        <w:tab/>
        <w:t>Lucky Strike Original 20s FF 83MM CD Con Filtro Tube y Capsula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001185</w:t>
      </w:r>
      <w:r w:rsidRPr="00957B34">
        <w:rPr>
          <w:rFonts w:ascii="Verdana" w:eastAsia="Times New Roman" w:hAnsi="Verdana" w:cs="Times New Roman"/>
          <w:sz w:val="20"/>
          <w:szCs w:val="20"/>
          <w:lang w:val="en-US" w:eastAsia="es-MX"/>
        </w:rPr>
        <w:tab/>
        <w:t>Pall Mall XL Tokyo Midnight Double Click 14s Mentol 100MM CD Con Capsulas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001186</w:t>
      </w:r>
      <w:r w:rsidRPr="00957B34">
        <w:rPr>
          <w:rFonts w:ascii="Verdana" w:eastAsia="Times New Roman" w:hAnsi="Verdana" w:cs="Times New Roman"/>
          <w:sz w:val="20"/>
          <w:szCs w:val="20"/>
          <w:lang w:val="en-US" w:eastAsia="es-MX"/>
        </w:rPr>
        <w:tab/>
        <w:t>Pall Mall Red Beat 20s Mentol 90MM CD Con Capsula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001187</w:t>
      </w:r>
      <w:r w:rsidRPr="00957B34">
        <w:rPr>
          <w:rFonts w:ascii="Verdana" w:eastAsia="Times New Roman" w:hAnsi="Verdana" w:cs="Times New Roman"/>
          <w:sz w:val="20"/>
          <w:szCs w:val="20"/>
          <w:lang w:val="en-US" w:eastAsia="es-MX"/>
        </w:rPr>
        <w:tab/>
        <w:t>Lucky Strike Click 4 Mix 3.0 20s Mentol 83MM CD Con Capsulas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001188</w:t>
      </w:r>
      <w:r w:rsidRPr="00957B34">
        <w:rPr>
          <w:rFonts w:ascii="Verdana" w:eastAsia="Times New Roman" w:hAnsi="Verdana" w:cs="Times New Roman"/>
          <w:sz w:val="20"/>
          <w:szCs w:val="20"/>
          <w:lang w:val="en-US" w:eastAsia="es-MX"/>
        </w:rPr>
        <w:tab/>
        <w:t>Pall Mall XL Aruba Sunrise Double Click 20s Mentol 100MM CD Con Capsulas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001189</w:t>
      </w:r>
      <w:r w:rsidRPr="00957B34">
        <w:rPr>
          <w:rFonts w:ascii="Verdana" w:eastAsia="Times New Roman" w:hAnsi="Verdana" w:cs="Times New Roman"/>
          <w:sz w:val="20"/>
          <w:szCs w:val="20"/>
          <w:lang w:val="en-US" w:eastAsia="es-MX"/>
        </w:rPr>
        <w:tab/>
        <w:t>Lucky Strike Original 25s FF 83MM CD Con Filtro Tubo</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001190</w:t>
      </w:r>
      <w:r w:rsidRPr="00957B34">
        <w:rPr>
          <w:rFonts w:ascii="Verdana" w:eastAsia="Times New Roman" w:hAnsi="Verdana" w:cs="Times New Roman"/>
          <w:sz w:val="20"/>
          <w:szCs w:val="20"/>
          <w:lang w:val="en-US" w:eastAsia="es-MX"/>
        </w:rPr>
        <w:tab/>
        <w:t>Lucky Strike Dark Infuse 20s FF 83MM CD Con Filtro Tubo</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001191</w:t>
      </w:r>
      <w:r w:rsidRPr="00957B34">
        <w:rPr>
          <w:rFonts w:ascii="Verdana" w:eastAsia="Times New Roman" w:hAnsi="Verdana" w:cs="Times New Roman"/>
          <w:sz w:val="20"/>
          <w:szCs w:val="20"/>
          <w:lang w:val="en-US" w:eastAsia="es-MX"/>
        </w:rPr>
        <w:tab/>
        <w:t>Lucky Strike Blond Infuse 20s FF 83MM CD Con Filtro Tubo</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001192</w:t>
      </w:r>
      <w:r w:rsidRPr="00957B34">
        <w:rPr>
          <w:rFonts w:ascii="Verdana" w:eastAsia="Times New Roman" w:hAnsi="Verdana" w:cs="Times New Roman"/>
          <w:sz w:val="20"/>
          <w:szCs w:val="20"/>
          <w:lang w:val="en-US" w:eastAsia="es-MX"/>
        </w:rPr>
        <w:tab/>
        <w:t>Pall Mall XL Aruba Sunrise Double Click 14s Mentol 100MM CD Con Capsulas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001193</w:t>
      </w:r>
      <w:r w:rsidRPr="00957B34">
        <w:rPr>
          <w:rFonts w:ascii="Verdana" w:eastAsia="Times New Roman" w:hAnsi="Verdana" w:cs="Times New Roman"/>
          <w:sz w:val="20"/>
          <w:szCs w:val="20"/>
          <w:lang w:val="en-US" w:eastAsia="es-MX"/>
        </w:rPr>
        <w:tab/>
        <w:t>Lucky Strike Wild Mentol Tube + Double Capsule 20s 83 MM</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001194</w:t>
      </w:r>
      <w:r w:rsidRPr="00957B34">
        <w:rPr>
          <w:rFonts w:ascii="Verdana" w:eastAsia="Times New Roman" w:hAnsi="Verdana" w:cs="Times New Roman"/>
          <w:sz w:val="20"/>
          <w:szCs w:val="20"/>
          <w:lang w:val="en-US" w:eastAsia="es-MX"/>
        </w:rPr>
        <w:tab/>
        <w:t>Pall Mall XL Mykonos 20s ME 100MM CD con DC</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001195</w:t>
      </w:r>
      <w:r w:rsidRPr="00957B34">
        <w:rPr>
          <w:rFonts w:ascii="Verdana" w:eastAsia="Times New Roman" w:hAnsi="Verdana" w:cs="Times New Roman"/>
          <w:sz w:val="20"/>
          <w:szCs w:val="20"/>
          <w:lang w:val="en-US" w:eastAsia="es-MX"/>
        </w:rPr>
        <w:tab/>
        <w:t>Lucky Strike Original 20s FF 100MM CD Con Filtro Tube y Capsula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001196 </w:t>
      </w:r>
      <w:r w:rsidRPr="00957B34">
        <w:rPr>
          <w:rFonts w:ascii="Verdana" w:eastAsia="Times New Roman" w:hAnsi="Verdana" w:cs="Times New Roman"/>
          <w:sz w:val="20"/>
          <w:szCs w:val="20"/>
          <w:lang w:val="en-US" w:eastAsia="es-MX"/>
        </w:rPr>
        <w:tab/>
        <w:t>Lucky Strike 20s Dark Infuse FF 94MM CD con Filtro Tubo</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001197 </w:t>
      </w:r>
      <w:r w:rsidRPr="00957B34">
        <w:rPr>
          <w:rFonts w:ascii="Verdana" w:eastAsia="Times New Roman" w:hAnsi="Verdana" w:cs="Times New Roman"/>
          <w:sz w:val="20"/>
          <w:szCs w:val="20"/>
          <w:lang w:val="en-US" w:eastAsia="es-MX"/>
        </w:rPr>
        <w:tab/>
        <w:t>Lucky Strike 20s Blond Infuse FF 94MM CD con Filtro Tubo</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001198</w:t>
      </w:r>
      <w:r w:rsidRPr="00957B34">
        <w:rPr>
          <w:rFonts w:ascii="Verdana" w:eastAsia="Times New Roman" w:hAnsi="Verdana" w:cs="Times New Roman"/>
          <w:sz w:val="20"/>
          <w:szCs w:val="20"/>
          <w:lang w:val="en-US" w:eastAsia="es-MX"/>
        </w:rPr>
        <w:tab/>
        <w:t>Lucky Strike 20s Hazel Infuse FF 94MM CD con Filtro Tubo</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001199</w:t>
      </w:r>
      <w:r w:rsidRPr="00957B34">
        <w:rPr>
          <w:rFonts w:ascii="Verdana" w:eastAsia="Times New Roman" w:hAnsi="Verdana" w:cs="Times New Roman"/>
          <w:sz w:val="20"/>
          <w:szCs w:val="20"/>
          <w:lang w:val="en-US" w:eastAsia="es-MX"/>
        </w:rPr>
        <w:tab/>
        <w:t>Pall Mall XL Exotic Mix ME 100MM CD Con Capsula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001200</w:t>
      </w:r>
      <w:r w:rsidRPr="00957B34">
        <w:rPr>
          <w:rFonts w:ascii="Verdana" w:eastAsia="Times New Roman" w:hAnsi="Verdana" w:cs="Times New Roman"/>
          <w:sz w:val="20"/>
          <w:szCs w:val="20"/>
          <w:lang w:val="en-US" w:eastAsia="es-MX"/>
        </w:rPr>
        <w:tab/>
        <w:t>Pall Mall XL Mykonos 14´s ME 100MM CD con DC</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001201</w:t>
      </w:r>
      <w:r w:rsidRPr="00957B34">
        <w:rPr>
          <w:rFonts w:ascii="Verdana" w:eastAsia="Times New Roman" w:hAnsi="Verdana" w:cs="Times New Roman"/>
          <w:sz w:val="20"/>
          <w:szCs w:val="20"/>
          <w:lang w:val="en-US" w:eastAsia="es-MX"/>
        </w:rPr>
        <w:tab/>
        <w:t>Pall Mall XL Black Edition New York 20s ME 99MM CD Con Capsula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101001</w:t>
      </w:r>
      <w:r w:rsidRPr="00957B34">
        <w:rPr>
          <w:rFonts w:ascii="Verdana" w:eastAsia="Times New Roman" w:hAnsi="Verdana" w:cs="Times New Roman"/>
          <w:sz w:val="20"/>
          <w:szCs w:val="20"/>
          <w:lang w:val="es-ES" w:eastAsia="es-MX"/>
        </w:rPr>
        <w:tab/>
        <w:t>Alas Extra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101004</w:t>
      </w:r>
      <w:r w:rsidRPr="00957B34">
        <w:rPr>
          <w:rFonts w:ascii="Verdana" w:eastAsia="Times New Roman" w:hAnsi="Verdana" w:cs="Times New Roman"/>
          <w:sz w:val="20"/>
          <w:szCs w:val="20"/>
          <w:lang w:val="es-ES" w:eastAsia="es-MX"/>
        </w:rPr>
        <w:tab/>
        <w:t>Alas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101006</w:t>
      </w:r>
      <w:r w:rsidRPr="00957B34">
        <w:rPr>
          <w:rFonts w:ascii="Verdana" w:eastAsia="Times New Roman" w:hAnsi="Verdana" w:cs="Times New Roman"/>
          <w:sz w:val="20"/>
          <w:szCs w:val="20"/>
          <w:lang w:val="es-ES" w:eastAsia="es-MX"/>
        </w:rPr>
        <w:tab/>
        <w:t>Gratos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101012</w:t>
      </w:r>
      <w:r w:rsidRPr="00957B34">
        <w:rPr>
          <w:rFonts w:ascii="Verdana" w:eastAsia="Times New Roman" w:hAnsi="Verdana" w:cs="Times New Roman"/>
          <w:sz w:val="20"/>
          <w:szCs w:val="20"/>
          <w:lang w:val="es-ES" w:eastAsia="es-MX"/>
        </w:rPr>
        <w:tab/>
        <w:t>Alitas 15´s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101018</w:t>
      </w:r>
      <w:r w:rsidRPr="00957B34">
        <w:rPr>
          <w:rFonts w:ascii="Verdana" w:eastAsia="Times New Roman" w:hAnsi="Verdana" w:cs="Times New Roman"/>
          <w:sz w:val="20"/>
          <w:szCs w:val="20"/>
          <w:lang w:val="es-ES" w:eastAsia="es-MX"/>
        </w:rPr>
        <w:tab/>
        <w:t>Raleigh sin filtro Ovalados</w:t>
      </w:r>
    </w:p>
    <w:p w:rsidR="00957B34" w:rsidRPr="00957B34" w:rsidRDefault="00957B34" w:rsidP="00957B34">
      <w:pPr>
        <w:spacing w:before="100" w:beforeAutospacing="1" w:after="88"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after="88"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4.</w:t>
            </w:r>
            <w:r w:rsidRPr="00957B34">
              <w:rPr>
                <w:rFonts w:ascii="Verdana" w:eastAsia="Times New Roman" w:hAnsi="Verdana" w:cs="Arial"/>
                <w:b/>
                <w:noProof/>
                <w:sz w:val="20"/>
                <w:szCs w:val="20"/>
                <w:lang w:val="es-ES" w:eastAsia="es-MX"/>
              </w:rPr>
              <w:tab/>
              <w:t>CASA AUTREY, S.A. DE C.V.,</w:t>
            </w:r>
            <w:r w:rsidRPr="00957B34">
              <w:rPr>
                <w:rFonts w:ascii="Verdana" w:eastAsia="Times New Roman" w:hAnsi="Verdana" w:cs="Arial"/>
                <w:b/>
                <w:noProof/>
                <w:sz w:val="20"/>
                <w:szCs w:val="20"/>
                <w:lang w:val="es-ES" w:eastAsia="es-MX"/>
              </w:rPr>
              <w:tab/>
              <w:t>R.F.C. CAU801002699</w:t>
            </w:r>
          </w:p>
        </w:tc>
      </w:tr>
    </w:tbl>
    <w:p w:rsidR="00957B34" w:rsidRPr="00957B34" w:rsidRDefault="00957B34" w:rsidP="00957B34">
      <w:pPr>
        <w:spacing w:before="100" w:beforeAutospacing="1" w:after="88"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t>CLAVES</w:t>
      </w:r>
      <w:r w:rsidRPr="00957B34">
        <w:rPr>
          <w:rFonts w:ascii="Verdana" w:eastAsia="Times New Roman" w:hAnsi="Verdana" w:cs="Times New Roman"/>
          <w:b/>
          <w:sz w:val="20"/>
          <w:szCs w:val="20"/>
          <w:lang w:val="en-US" w:eastAsia="es-MX"/>
        </w:rPr>
        <w:tab/>
        <w:t>MARCAS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004001</w:t>
      </w:r>
      <w:r w:rsidRPr="00957B34">
        <w:rPr>
          <w:rFonts w:ascii="Verdana" w:eastAsia="Times New Roman" w:hAnsi="Verdana" w:cs="Times New Roman"/>
          <w:sz w:val="20"/>
          <w:szCs w:val="20"/>
          <w:lang w:val="en-GB" w:eastAsia="es-MX"/>
        </w:rPr>
        <w:tab/>
        <w:t>Kent Box C.D.</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proofErr w:type="gramStart"/>
      <w:r w:rsidRPr="00957B34">
        <w:rPr>
          <w:rFonts w:ascii="Verdana" w:eastAsia="Times New Roman" w:hAnsi="Verdana" w:cs="Times New Roman"/>
          <w:sz w:val="20"/>
          <w:szCs w:val="20"/>
          <w:lang w:val="en-GB" w:eastAsia="es-MX"/>
        </w:rPr>
        <w:t>004002</w:t>
      </w:r>
      <w:r w:rsidRPr="00957B34">
        <w:rPr>
          <w:rFonts w:ascii="Verdana" w:eastAsia="Times New Roman" w:hAnsi="Verdana" w:cs="Times New Roman"/>
          <w:sz w:val="20"/>
          <w:szCs w:val="20"/>
          <w:lang w:val="en-GB" w:eastAsia="es-MX"/>
        </w:rPr>
        <w:tab/>
        <w:t>Kent Super Light C.D.</w:t>
      </w:r>
      <w:proofErr w:type="gramEnd"/>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proofErr w:type="gramStart"/>
      <w:r w:rsidRPr="00957B34">
        <w:rPr>
          <w:rFonts w:ascii="Verdana" w:eastAsia="Times New Roman" w:hAnsi="Verdana" w:cs="Times New Roman"/>
          <w:sz w:val="20"/>
          <w:szCs w:val="20"/>
          <w:lang w:val="en-GB" w:eastAsia="es-MX"/>
        </w:rPr>
        <w:t>004003</w:t>
      </w:r>
      <w:r w:rsidRPr="00957B34">
        <w:rPr>
          <w:rFonts w:ascii="Verdana" w:eastAsia="Times New Roman" w:hAnsi="Verdana" w:cs="Times New Roman"/>
          <w:sz w:val="20"/>
          <w:szCs w:val="20"/>
          <w:lang w:val="en-GB" w:eastAsia="es-MX"/>
        </w:rPr>
        <w:tab/>
        <w:t>Kent Super Light C.S.</w:t>
      </w:r>
      <w:proofErr w:type="gramEnd"/>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004004</w:t>
      </w:r>
      <w:r w:rsidRPr="00957B34">
        <w:rPr>
          <w:rFonts w:ascii="Verdana" w:eastAsia="Times New Roman" w:hAnsi="Verdana" w:cs="Times New Roman"/>
          <w:sz w:val="20"/>
          <w:szCs w:val="20"/>
          <w:lang w:val="es-ES" w:eastAsia="es-MX"/>
        </w:rPr>
        <w:tab/>
        <w:t>Kent Regular C.S.</w:t>
      </w:r>
    </w:p>
    <w:p w:rsidR="00957B34" w:rsidRPr="00957B34" w:rsidRDefault="00957B34" w:rsidP="00957B34">
      <w:pPr>
        <w:spacing w:before="100" w:beforeAutospacing="1" w:after="88"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56"/>
              </w:tabs>
              <w:spacing w:after="88"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6.</w:t>
            </w:r>
            <w:r w:rsidRPr="00957B34">
              <w:rPr>
                <w:rFonts w:ascii="Verdana" w:eastAsia="Times New Roman" w:hAnsi="Verdana" w:cs="Arial"/>
                <w:b/>
                <w:noProof/>
                <w:sz w:val="20"/>
                <w:szCs w:val="20"/>
                <w:lang w:val="es-ES" w:eastAsia="es-MX"/>
              </w:rPr>
              <w:tab/>
              <w:t>NUEVA MATACAPAN TABACOS, S.A. DE C.V.,</w:t>
            </w:r>
            <w:r w:rsidRPr="00957B34">
              <w:rPr>
                <w:rFonts w:ascii="Verdana" w:eastAsia="Times New Roman" w:hAnsi="Verdana" w:cs="Arial"/>
                <w:b/>
                <w:noProof/>
                <w:sz w:val="20"/>
                <w:szCs w:val="20"/>
                <w:lang w:val="es-ES" w:eastAsia="es-MX"/>
              </w:rPr>
              <w:tab/>
              <w:t>R.F.C. NMT920818519</w:t>
            </w:r>
          </w:p>
        </w:tc>
      </w:tr>
    </w:tbl>
    <w:p w:rsidR="00957B34" w:rsidRPr="00957B34" w:rsidRDefault="00957B34" w:rsidP="00957B34">
      <w:pPr>
        <w:spacing w:before="100" w:beforeAutospacing="1" w:after="88"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206001</w:t>
      </w:r>
      <w:r w:rsidRPr="00957B34">
        <w:rPr>
          <w:rFonts w:ascii="Verdana" w:eastAsia="Times New Roman" w:hAnsi="Verdana" w:cs="Times New Roman"/>
          <w:sz w:val="20"/>
          <w:szCs w:val="20"/>
          <w:lang w:val="es-ES" w:eastAsia="es-MX"/>
        </w:rPr>
        <w:tab/>
        <w:t>Te Amo "Tripa Larga".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206002</w:t>
      </w:r>
      <w:r w:rsidRPr="00957B34">
        <w:rPr>
          <w:rFonts w:ascii="Verdana" w:eastAsia="Times New Roman" w:hAnsi="Verdana" w:cs="Times New Roman"/>
          <w:sz w:val="20"/>
          <w:szCs w:val="20"/>
          <w:lang w:val="es-ES" w:eastAsia="es-MX"/>
        </w:rPr>
        <w:tab/>
        <w:t>Te Amo "Tripa Corta".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206003</w:t>
      </w:r>
      <w:r w:rsidRPr="00957B34">
        <w:rPr>
          <w:rFonts w:ascii="Verdana" w:eastAsia="Times New Roman" w:hAnsi="Verdana" w:cs="Times New Roman"/>
          <w:sz w:val="20"/>
          <w:szCs w:val="20"/>
          <w:lang w:val="es-ES" w:eastAsia="es-MX"/>
        </w:rPr>
        <w:tab/>
        <w:t>Linea Turrent "Tripa Corta".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206004</w:t>
      </w:r>
      <w:r w:rsidRPr="00957B34">
        <w:rPr>
          <w:rFonts w:ascii="Verdana" w:eastAsia="Times New Roman" w:hAnsi="Verdana" w:cs="Times New Roman"/>
          <w:sz w:val="20"/>
          <w:szCs w:val="20"/>
          <w:lang w:val="es-ES" w:eastAsia="es-MX"/>
        </w:rPr>
        <w:tab/>
        <w:t>El Triunfo "Tripa Larga".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206005</w:t>
      </w:r>
      <w:r w:rsidRPr="00957B34">
        <w:rPr>
          <w:rFonts w:ascii="Verdana" w:eastAsia="Times New Roman" w:hAnsi="Verdana" w:cs="Times New Roman"/>
          <w:sz w:val="20"/>
          <w:szCs w:val="20"/>
          <w:lang w:val="es-ES" w:eastAsia="es-MX"/>
        </w:rPr>
        <w:tab/>
        <w:t>Matacan "Tripa Larga".</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206006</w:t>
      </w:r>
      <w:r w:rsidRPr="00957B34">
        <w:rPr>
          <w:rFonts w:ascii="Verdana" w:eastAsia="Times New Roman" w:hAnsi="Verdana" w:cs="Times New Roman"/>
          <w:sz w:val="20"/>
          <w:szCs w:val="20"/>
          <w:lang w:val="es-ES" w:eastAsia="es-MX"/>
        </w:rPr>
        <w:tab/>
        <w:t>Hugo Cassar</w:t>
      </w:r>
    </w:p>
    <w:p w:rsidR="00957B34" w:rsidRPr="00957B34" w:rsidRDefault="00957B34" w:rsidP="00957B34">
      <w:pPr>
        <w:spacing w:after="88"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206007</w:t>
      </w:r>
      <w:r w:rsidRPr="00957B34">
        <w:rPr>
          <w:rFonts w:ascii="Verdana" w:eastAsia="Times New Roman" w:hAnsi="Verdana" w:cs="Times New Roman"/>
          <w:sz w:val="20"/>
          <w:szCs w:val="20"/>
          <w:lang w:val="es-ES" w:eastAsia="es-MX"/>
        </w:rPr>
        <w:tab/>
        <w:t>Mike's</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7.</w:t>
            </w:r>
            <w:r w:rsidRPr="00957B34">
              <w:rPr>
                <w:rFonts w:ascii="Verdana" w:eastAsia="Times New Roman" w:hAnsi="Verdana" w:cs="Arial"/>
                <w:b/>
                <w:noProof/>
                <w:sz w:val="20"/>
                <w:szCs w:val="20"/>
                <w:lang w:val="es-ES" w:eastAsia="es-MX"/>
              </w:rPr>
              <w:tab/>
              <w:t>TABACOS IMPORTADOS DE ALTA CALIDAD, S.A. DE C.V.,</w:t>
            </w:r>
            <w:r w:rsidRPr="00957B34">
              <w:rPr>
                <w:rFonts w:ascii="Verdana" w:eastAsia="Times New Roman" w:hAnsi="Verdana" w:cs="Arial"/>
                <w:b/>
                <w:noProof/>
                <w:sz w:val="20"/>
                <w:szCs w:val="20"/>
                <w:lang w:val="es-ES" w:eastAsia="es-MX"/>
              </w:rPr>
              <w:tab/>
              <w:t>R.F.C.TIA960503CN5</w:t>
            </w:r>
          </w:p>
        </w:tc>
      </w:tr>
    </w:tbl>
    <w:p w:rsidR="00957B34" w:rsidRPr="00957B34" w:rsidRDefault="00957B34" w:rsidP="00957B34">
      <w:pPr>
        <w:spacing w:before="100" w:beforeAutospacing="1" w:after="100" w:afterAutospacing="1" w:line="227"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007001</w:t>
      </w:r>
      <w:r w:rsidRPr="00957B34">
        <w:rPr>
          <w:rFonts w:ascii="Verdana" w:eastAsia="Times New Roman" w:hAnsi="Verdana" w:cs="Times New Roman"/>
          <w:sz w:val="20"/>
          <w:szCs w:val="20"/>
          <w:lang w:val="es-ES" w:eastAsia="es-MX"/>
        </w:rPr>
        <w:tab/>
        <w:t>Virginian Regular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007002</w:t>
      </w:r>
      <w:r w:rsidRPr="00957B34">
        <w:rPr>
          <w:rFonts w:ascii="Verdana" w:eastAsia="Times New Roman" w:hAnsi="Verdana" w:cs="Times New Roman"/>
          <w:sz w:val="20"/>
          <w:szCs w:val="20"/>
          <w:lang w:val="es-ES" w:eastAsia="es-MX"/>
        </w:rPr>
        <w:tab/>
        <w:t>Virginian Light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007003</w:t>
      </w:r>
      <w:r w:rsidRPr="00957B34">
        <w:rPr>
          <w:rFonts w:ascii="Verdana" w:eastAsia="Times New Roman" w:hAnsi="Verdana" w:cs="Times New Roman"/>
          <w:sz w:val="20"/>
          <w:szCs w:val="20"/>
          <w:lang w:val="es-ES" w:eastAsia="es-MX"/>
        </w:rPr>
        <w:tab/>
        <w:t>Virginian Mentolado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007004</w:t>
      </w:r>
      <w:r w:rsidRPr="00957B34">
        <w:rPr>
          <w:rFonts w:ascii="Verdana" w:eastAsia="Times New Roman" w:hAnsi="Verdana" w:cs="Times New Roman"/>
          <w:sz w:val="20"/>
          <w:szCs w:val="20"/>
          <w:lang w:val="es-ES" w:eastAsia="es-MX"/>
        </w:rPr>
        <w:tab/>
        <w:t>U.S.A. Regular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007005</w:t>
      </w:r>
      <w:r w:rsidRPr="00957B34">
        <w:rPr>
          <w:rFonts w:ascii="Verdana" w:eastAsia="Times New Roman" w:hAnsi="Verdana" w:cs="Times New Roman"/>
          <w:sz w:val="20"/>
          <w:szCs w:val="20"/>
          <w:lang w:val="es-ES" w:eastAsia="es-MX"/>
        </w:rPr>
        <w:tab/>
        <w:t>U.S.A. Light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007006</w:t>
      </w:r>
      <w:r w:rsidRPr="00957B34">
        <w:rPr>
          <w:rFonts w:ascii="Verdana" w:eastAsia="Times New Roman" w:hAnsi="Verdana" w:cs="Times New Roman"/>
          <w:sz w:val="20"/>
          <w:szCs w:val="20"/>
          <w:lang w:val="es-ES" w:eastAsia="es-MX"/>
        </w:rPr>
        <w:tab/>
        <w:t>U.S.A. Mentolado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007007</w:t>
      </w:r>
      <w:r w:rsidRPr="00957B34">
        <w:rPr>
          <w:rFonts w:ascii="Verdana" w:eastAsia="Times New Roman" w:hAnsi="Verdana" w:cs="Times New Roman"/>
          <w:sz w:val="20"/>
          <w:szCs w:val="20"/>
          <w:lang w:val="es-ES" w:eastAsia="es-MX"/>
        </w:rPr>
        <w:tab/>
        <w:t>U.S.A. Mentolado Light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007008</w:t>
      </w:r>
      <w:r w:rsidRPr="00957B34">
        <w:rPr>
          <w:rFonts w:ascii="Verdana" w:eastAsia="Times New Roman" w:hAnsi="Verdana" w:cs="Times New Roman"/>
          <w:sz w:val="20"/>
          <w:szCs w:val="20"/>
          <w:lang w:val="es-ES" w:eastAsia="es-MX"/>
        </w:rPr>
        <w:tab/>
        <w:t>Medallon Regular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007009</w:t>
      </w:r>
      <w:r w:rsidRPr="00957B34">
        <w:rPr>
          <w:rFonts w:ascii="Verdana" w:eastAsia="Times New Roman" w:hAnsi="Verdana" w:cs="Times New Roman"/>
          <w:sz w:val="20"/>
          <w:szCs w:val="20"/>
          <w:lang w:val="es-ES" w:eastAsia="es-MX"/>
        </w:rPr>
        <w:tab/>
        <w:t>Medallon Light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007010</w:t>
      </w:r>
      <w:r w:rsidRPr="00957B34">
        <w:rPr>
          <w:rFonts w:ascii="Verdana" w:eastAsia="Times New Roman" w:hAnsi="Verdana" w:cs="Times New Roman"/>
          <w:sz w:val="20"/>
          <w:szCs w:val="20"/>
          <w:lang w:val="es-ES" w:eastAsia="es-MX"/>
        </w:rPr>
        <w:tab/>
        <w:t>Medallon Mentolado Cajetilla Suave</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007011</w:t>
      </w:r>
      <w:r w:rsidRPr="00957B34">
        <w:rPr>
          <w:rFonts w:ascii="Verdana" w:eastAsia="Times New Roman" w:hAnsi="Verdana" w:cs="Times New Roman"/>
          <w:sz w:val="20"/>
          <w:szCs w:val="20"/>
          <w:lang w:val="es-ES" w:eastAsia="es-MX"/>
        </w:rPr>
        <w:tab/>
        <w:t>Medallon Mentolado Light Cajetilla Suave</w:t>
      </w:r>
    </w:p>
    <w:p w:rsidR="00957B34" w:rsidRPr="00957B34" w:rsidRDefault="00957B34" w:rsidP="00957B34">
      <w:pPr>
        <w:spacing w:before="100" w:beforeAutospacing="1" w:after="100" w:afterAutospacing="1" w:line="227"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8.</w:t>
            </w:r>
            <w:r w:rsidRPr="00957B34">
              <w:rPr>
                <w:rFonts w:ascii="Verdana" w:eastAsia="Times New Roman" w:hAnsi="Verdana" w:cs="Arial"/>
                <w:b/>
                <w:noProof/>
                <w:sz w:val="20"/>
                <w:szCs w:val="20"/>
                <w:lang w:val="es-ES" w:eastAsia="es-MX"/>
              </w:rPr>
              <w:tab/>
              <w:t>PUROS SANTA CLARA, S.A. DE C.V.,</w:t>
            </w:r>
            <w:r w:rsidRPr="00957B34">
              <w:rPr>
                <w:rFonts w:ascii="Verdana" w:eastAsia="Times New Roman" w:hAnsi="Verdana" w:cs="Arial"/>
                <w:b/>
                <w:noProof/>
                <w:sz w:val="20"/>
                <w:szCs w:val="20"/>
                <w:lang w:val="es-ES" w:eastAsia="es-MX"/>
              </w:rPr>
              <w:tab/>
              <w:t>R.F.C. PSC9607267W5</w:t>
            </w:r>
          </w:p>
        </w:tc>
      </w:tr>
    </w:tbl>
    <w:p w:rsidR="00957B34" w:rsidRPr="00957B34" w:rsidRDefault="00957B34" w:rsidP="00957B34">
      <w:pPr>
        <w:spacing w:before="100" w:beforeAutospacing="1" w:after="100" w:afterAutospacing="1" w:line="22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208001</w:t>
      </w:r>
      <w:r w:rsidRPr="00957B34">
        <w:rPr>
          <w:rFonts w:ascii="Verdana" w:eastAsia="Times New Roman" w:hAnsi="Verdana" w:cs="Times New Roman"/>
          <w:sz w:val="20"/>
          <w:szCs w:val="20"/>
          <w:lang w:val="es-ES" w:eastAsia="es-MX"/>
        </w:rPr>
        <w:tab/>
        <w:t>Santa Clara 1830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208002</w:t>
      </w:r>
      <w:r w:rsidRPr="00957B34">
        <w:rPr>
          <w:rFonts w:ascii="Verdana" w:eastAsia="Times New Roman" w:hAnsi="Verdana" w:cs="Times New Roman"/>
          <w:sz w:val="20"/>
          <w:szCs w:val="20"/>
          <w:lang w:val="es-ES" w:eastAsia="es-MX"/>
        </w:rPr>
        <w:tab/>
        <w:t>Aromas de San Andrés</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208003</w:t>
      </w:r>
      <w:r w:rsidRPr="00957B34">
        <w:rPr>
          <w:rFonts w:ascii="Verdana" w:eastAsia="Times New Roman" w:hAnsi="Verdana" w:cs="Times New Roman"/>
          <w:sz w:val="20"/>
          <w:szCs w:val="20"/>
          <w:lang w:val="es-ES" w:eastAsia="es-MX"/>
        </w:rPr>
        <w:tab/>
        <w:t>Ejecutivos</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208004</w:t>
      </w:r>
      <w:r w:rsidRPr="00957B34">
        <w:rPr>
          <w:rFonts w:ascii="Verdana" w:eastAsia="Times New Roman" w:hAnsi="Verdana" w:cs="Times New Roman"/>
          <w:sz w:val="20"/>
          <w:szCs w:val="20"/>
          <w:lang w:val="es-ES" w:eastAsia="es-MX"/>
        </w:rPr>
        <w:tab/>
        <w:t>Ortíz</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208005</w:t>
      </w:r>
      <w:r w:rsidRPr="00957B34">
        <w:rPr>
          <w:rFonts w:ascii="Verdana" w:eastAsia="Times New Roman" w:hAnsi="Verdana" w:cs="Times New Roman"/>
          <w:sz w:val="20"/>
          <w:szCs w:val="20"/>
          <w:lang w:val="es-ES" w:eastAsia="es-MX"/>
        </w:rPr>
        <w:tab/>
        <w:t>Mocambo</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208006</w:t>
      </w:r>
      <w:r w:rsidRPr="00957B34">
        <w:rPr>
          <w:rFonts w:ascii="Verdana" w:eastAsia="Times New Roman" w:hAnsi="Verdana" w:cs="Times New Roman"/>
          <w:sz w:val="20"/>
          <w:szCs w:val="20"/>
          <w:lang w:val="es-ES" w:eastAsia="es-MX"/>
        </w:rPr>
        <w:tab/>
        <w:t xml:space="preserve">Hoyo de </w:t>
      </w:r>
      <w:proofErr w:type="gramStart"/>
      <w:r w:rsidRPr="00957B34">
        <w:rPr>
          <w:rFonts w:ascii="Verdana" w:eastAsia="Times New Roman" w:hAnsi="Verdana" w:cs="Times New Roman"/>
          <w:sz w:val="20"/>
          <w:szCs w:val="20"/>
          <w:lang w:val="es-ES" w:eastAsia="es-MX"/>
        </w:rPr>
        <w:t>Casa</w:t>
      </w:r>
      <w:proofErr w:type="gramEnd"/>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208007</w:t>
      </w:r>
      <w:r w:rsidRPr="00957B34">
        <w:rPr>
          <w:rFonts w:ascii="Verdana" w:eastAsia="Times New Roman" w:hAnsi="Verdana" w:cs="Times New Roman"/>
          <w:sz w:val="20"/>
          <w:szCs w:val="20"/>
          <w:lang w:val="es-ES" w:eastAsia="es-MX"/>
        </w:rPr>
        <w:tab/>
        <w:t>Valdéz</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208008</w:t>
      </w:r>
      <w:r w:rsidRPr="00957B34">
        <w:rPr>
          <w:rFonts w:ascii="Verdana" w:eastAsia="Times New Roman" w:hAnsi="Verdana" w:cs="Times New Roman"/>
          <w:sz w:val="20"/>
          <w:szCs w:val="20"/>
          <w:lang w:val="es-ES" w:eastAsia="es-MX"/>
        </w:rPr>
        <w:tab/>
        <w:t>Veracruz</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208009</w:t>
      </w:r>
      <w:r w:rsidRPr="00957B34">
        <w:rPr>
          <w:rFonts w:ascii="Verdana" w:eastAsia="Times New Roman" w:hAnsi="Verdana" w:cs="Times New Roman"/>
          <w:sz w:val="20"/>
          <w:szCs w:val="20"/>
          <w:lang w:val="es-ES" w:eastAsia="es-MX"/>
        </w:rPr>
        <w:tab/>
        <w:t>Canillas</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208010</w:t>
      </w:r>
      <w:r w:rsidRPr="00957B34">
        <w:rPr>
          <w:rFonts w:ascii="Verdana" w:eastAsia="Times New Roman" w:hAnsi="Verdana" w:cs="Times New Roman"/>
          <w:sz w:val="20"/>
          <w:szCs w:val="20"/>
          <w:lang w:val="es-ES" w:eastAsia="es-MX"/>
        </w:rPr>
        <w:tab/>
        <w:t>Az</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208011</w:t>
      </w:r>
      <w:r w:rsidRPr="00957B34">
        <w:rPr>
          <w:rFonts w:ascii="Verdana" w:eastAsia="Times New Roman" w:hAnsi="Verdana" w:cs="Times New Roman"/>
          <w:sz w:val="20"/>
          <w:szCs w:val="20"/>
          <w:lang w:val="es-ES" w:eastAsia="es-MX"/>
        </w:rPr>
        <w:tab/>
        <w:t>Belmondo</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208012</w:t>
      </w:r>
      <w:r w:rsidRPr="00957B34">
        <w:rPr>
          <w:rFonts w:ascii="Verdana" w:eastAsia="Times New Roman" w:hAnsi="Verdana" w:cs="Times New Roman"/>
          <w:sz w:val="20"/>
          <w:szCs w:val="20"/>
          <w:lang w:val="es-ES" w:eastAsia="es-MX"/>
        </w:rPr>
        <w:tab/>
        <w:t>Cayman Crown</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208013</w:t>
      </w:r>
      <w:r w:rsidRPr="00957B34">
        <w:rPr>
          <w:rFonts w:ascii="Verdana" w:eastAsia="Times New Roman" w:hAnsi="Verdana" w:cs="Times New Roman"/>
          <w:sz w:val="20"/>
          <w:szCs w:val="20"/>
          <w:lang w:val="es-ES" w:eastAsia="es-MX"/>
        </w:rPr>
        <w:tab/>
        <w:t>Gw</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208014</w:t>
      </w:r>
      <w:r w:rsidRPr="00957B34">
        <w:rPr>
          <w:rFonts w:ascii="Verdana" w:eastAsia="Times New Roman" w:hAnsi="Verdana" w:cs="Times New Roman"/>
          <w:sz w:val="20"/>
          <w:szCs w:val="20"/>
          <w:lang w:val="es-ES" w:eastAsia="es-MX"/>
        </w:rPr>
        <w:tab/>
        <w:t>Hoja de Oro</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208015</w:t>
      </w:r>
      <w:r w:rsidRPr="00957B34">
        <w:rPr>
          <w:rFonts w:ascii="Verdana" w:eastAsia="Times New Roman" w:hAnsi="Verdana" w:cs="Times New Roman"/>
          <w:sz w:val="20"/>
          <w:szCs w:val="20"/>
          <w:lang w:val="es-ES" w:eastAsia="es-MX"/>
        </w:rPr>
        <w:tab/>
        <w:t>Mexican</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208016</w:t>
      </w:r>
      <w:r w:rsidRPr="00957B34">
        <w:rPr>
          <w:rFonts w:ascii="Verdana" w:eastAsia="Times New Roman" w:hAnsi="Verdana" w:cs="Times New Roman"/>
          <w:sz w:val="20"/>
          <w:szCs w:val="20"/>
          <w:lang w:val="es-ES" w:eastAsia="es-MX"/>
        </w:rPr>
        <w:tab/>
        <w:t>P&amp;R</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208017</w:t>
      </w:r>
      <w:r w:rsidRPr="00957B34">
        <w:rPr>
          <w:rFonts w:ascii="Verdana" w:eastAsia="Times New Roman" w:hAnsi="Verdana" w:cs="Times New Roman"/>
          <w:sz w:val="20"/>
          <w:szCs w:val="20"/>
          <w:lang w:val="es-ES" w:eastAsia="es-MX"/>
        </w:rPr>
        <w:tab/>
        <w:t>Ted Lapidus</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208018</w:t>
      </w:r>
      <w:r w:rsidRPr="00957B34">
        <w:rPr>
          <w:rFonts w:ascii="Verdana" w:eastAsia="Times New Roman" w:hAnsi="Verdana" w:cs="Times New Roman"/>
          <w:sz w:val="20"/>
          <w:szCs w:val="20"/>
          <w:lang w:val="es-ES" w:eastAsia="es-MX"/>
        </w:rPr>
        <w:tab/>
        <w:t>J.R.</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208019</w:t>
      </w:r>
      <w:r w:rsidRPr="00957B34">
        <w:rPr>
          <w:rFonts w:ascii="Verdana" w:eastAsia="Times New Roman" w:hAnsi="Verdana" w:cs="Times New Roman"/>
          <w:sz w:val="20"/>
          <w:szCs w:val="20"/>
          <w:lang w:val="es-ES" w:eastAsia="es-MX"/>
        </w:rPr>
        <w:tab/>
        <w:t>Aniversario</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208020</w:t>
      </w:r>
      <w:r w:rsidRPr="00957B34">
        <w:rPr>
          <w:rFonts w:ascii="Verdana" w:eastAsia="Times New Roman" w:hAnsi="Verdana" w:cs="Times New Roman"/>
          <w:sz w:val="20"/>
          <w:szCs w:val="20"/>
          <w:lang w:val="es-ES" w:eastAsia="es-MX"/>
        </w:rPr>
        <w:tab/>
        <w:t>Santa Clara</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208021</w:t>
      </w:r>
      <w:r w:rsidRPr="00957B34">
        <w:rPr>
          <w:rFonts w:ascii="Verdana" w:eastAsia="Times New Roman" w:hAnsi="Verdana" w:cs="Times New Roman"/>
          <w:sz w:val="20"/>
          <w:szCs w:val="20"/>
          <w:lang w:val="es-ES" w:eastAsia="es-MX"/>
        </w:rPr>
        <w:tab/>
        <w:t>Mariachi</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208022</w:t>
      </w:r>
      <w:r w:rsidRPr="00957B34">
        <w:rPr>
          <w:rFonts w:ascii="Verdana" w:eastAsia="Times New Roman" w:hAnsi="Verdana" w:cs="Times New Roman"/>
          <w:sz w:val="20"/>
          <w:szCs w:val="20"/>
          <w:lang w:val="es-ES" w:eastAsia="es-MX"/>
        </w:rPr>
        <w:tab/>
        <w:t>Petit</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208023</w:t>
      </w:r>
      <w:r w:rsidRPr="00957B34">
        <w:rPr>
          <w:rFonts w:ascii="Verdana" w:eastAsia="Times New Roman" w:hAnsi="Verdana" w:cs="Times New Roman"/>
          <w:sz w:val="20"/>
          <w:szCs w:val="20"/>
          <w:lang w:val="es-ES" w:eastAsia="es-MX"/>
        </w:rPr>
        <w:tab/>
        <w:t>Es un Nene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208024</w:t>
      </w:r>
      <w:r w:rsidRPr="00957B34">
        <w:rPr>
          <w:rFonts w:ascii="Verdana" w:eastAsia="Times New Roman" w:hAnsi="Verdana" w:cs="Times New Roman"/>
          <w:sz w:val="20"/>
          <w:szCs w:val="20"/>
          <w:lang w:val="es-ES" w:eastAsia="es-MX"/>
        </w:rPr>
        <w:tab/>
        <w:t>Es una Nena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208025</w:t>
      </w:r>
      <w:r w:rsidRPr="00957B34">
        <w:rPr>
          <w:rFonts w:ascii="Verdana" w:eastAsia="Times New Roman" w:hAnsi="Verdana" w:cs="Times New Roman"/>
          <w:sz w:val="20"/>
          <w:szCs w:val="20"/>
          <w:lang w:val="es-ES" w:eastAsia="es-MX"/>
        </w:rPr>
        <w:tab/>
        <w:t>Tampanilla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208026</w:t>
      </w:r>
      <w:r w:rsidRPr="00957B34">
        <w:rPr>
          <w:rFonts w:ascii="Verdana" w:eastAsia="Times New Roman" w:hAnsi="Verdana" w:cs="Times New Roman"/>
          <w:sz w:val="20"/>
          <w:szCs w:val="20"/>
          <w:lang w:val="es-ES" w:eastAsia="es-MX"/>
        </w:rPr>
        <w:tab/>
        <w:t>Panter</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208027</w:t>
      </w:r>
      <w:r w:rsidRPr="00957B34">
        <w:rPr>
          <w:rFonts w:ascii="Verdana" w:eastAsia="Times New Roman" w:hAnsi="Verdana" w:cs="Times New Roman"/>
          <w:sz w:val="20"/>
          <w:szCs w:val="20"/>
          <w:lang w:val="es-ES" w:eastAsia="es-MX"/>
        </w:rPr>
        <w:tab/>
        <w:t>Domingo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408028</w:t>
      </w:r>
      <w:r w:rsidRPr="00957B34">
        <w:rPr>
          <w:rFonts w:ascii="Verdana" w:eastAsia="Times New Roman" w:hAnsi="Verdana" w:cs="Times New Roman"/>
          <w:sz w:val="20"/>
          <w:szCs w:val="20"/>
          <w:lang w:val="es-ES" w:eastAsia="es-MX"/>
        </w:rPr>
        <w:tab/>
        <w:t>Ruta Maya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408029</w:t>
      </w:r>
      <w:r w:rsidRPr="00957B34">
        <w:rPr>
          <w:rFonts w:ascii="Verdana" w:eastAsia="Times New Roman" w:hAnsi="Verdana" w:cs="Times New Roman"/>
          <w:sz w:val="20"/>
          <w:szCs w:val="20"/>
          <w:lang w:val="es-ES" w:eastAsia="es-MX"/>
        </w:rPr>
        <w:tab/>
        <w:t>Montes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408030</w:t>
      </w:r>
      <w:r w:rsidRPr="00957B34">
        <w:rPr>
          <w:rFonts w:ascii="Verdana" w:eastAsia="Times New Roman" w:hAnsi="Verdana" w:cs="Times New Roman"/>
          <w:sz w:val="20"/>
          <w:szCs w:val="20"/>
          <w:lang w:val="es-ES" w:eastAsia="es-MX"/>
        </w:rPr>
        <w:tab/>
        <w:t>Madrigal</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408031</w:t>
      </w:r>
      <w:r w:rsidRPr="00957B34">
        <w:rPr>
          <w:rFonts w:ascii="Verdana" w:eastAsia="Times New Roman" w:hAnsi="Verdana" w:cs="Times New Roman"/>
          <w:sz w:val="20"/>
          <w:szCs w:val="20"/>
          <w:lang w:val="es-ES" w:eastAsia="es-MX"/>
        </w:rPr>
        <w:tab/>
        <w:t xml:space="preserve">Hoja de </w:t>
      </w:r>
      <w:proofErr w:type="gramStart"/>
      <w:r w:rsidRPr="00957B34">
        <w:rPr>
          <w:rFonts w:ascii="Verdana" w:eastAsia="Times New Roman" w:hAnsi="Verdana" w:cs="Times New Roman"/>
          <w:sz w:val="20"/>
          <w:szCs w:val="20"/>
          <w:lang w:val="es-ES" w:eastAsia="es-MX"/>
        </w:rPr>
        <w:t>Mexicali</w:t>
      </w:r>
      <w:proofErr w:type="gramEnd"/>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408032</w:t>
      </w:r>
      <w:r w:rsidRPr="00957B34">
        <w:rPr>
          <w:rFonts w:ascii="Verdana" w:eastAsia="Times New Roman" w:hAnsi="Verdana" w:cs="Times New Roman"/>
          <w:sz w:val="20"/>
          <w:szCs w:val="20"/>
          <w:lang w:val="es-ES" w:eastAsia="es-MX"/>
        </w:rPr>
        <w:tab/>
        <w:t>Hacienda Veracruz</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408033</w:t>
      </w:r>
      <w:r w:rsidRPr="00957B34">
        <w:rPr>
          <w:rFonts w:ascii="Verdana" w:eastAsia="Times New Roman" w:hAnsi="Verdana" w:cs="Times New Roman"/>
          <w:sz w:val="20"/>
          <w:szCs w:val="20"/>
          <w:lang w:val="es-ES" w:eastAsia="es-MX"/>
        </w:rPr>
        <w:tab/>
        <w:t>Madrigal Habana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408034</w:t>
      </w:r>
      <w:r w:rsidRPr="00957B34">
        <w:rPr>
          <w:rFonts w:ascii="Verdana" w:eastAsia="Times New Roman" w:hAnsi="Verdana" w:cs="Times New Roman"/>
          <w:sz w:val="20"/>
          <w:szCs w:val="20"/>
          <w:lang w:val="es-ES" w:eastAsia="es-MX"/>
        </w:rPr>
        <w:tab/>
        <w:t>Black Devil</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408035</w:t>
      </w:r>
      <w:r w:rsidRPr="00957B34">
        <w:rPr>
          <w:rFonts w:ascii="Verdana" w:eastAsia="Times New Roman" w:hAnsi="Verdana" w:cs="Times New Roman"/>
          <w:sz w:val="20"/>
          <w:szCs w:val="20"/>
          <w:lang w:val="es-ES" w:eastAsia="es-MX"/>
        </w:rPr>
        <w:tab/>
        <w:t>Hampton</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408036</w:t>
      </w:r>
      <w:r w:rsidRPr="00957B34">
        <w:rPr>
          <w:rFonts w:ascii="Verdana" w:eastAsia="Times New Roman" w:hAnsi="Verdana" w:cs="Times New Roman"/>
          <w:sz w:val="20"/>
          <w:szCs w:val="20"/>
          <w:lang w:val="es-ES" w:eastAsia="es-MX"/>
        </w:rPr>
        <w:tab/>
        <w:t>Capa Flor</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408037</w:t>
      </w:r>
      <w:r w:rsidRPr="00957B34">
        <w:rPr>
          <w:rFonts w:ascii="Verdana" w:eastAsia="Times New Roman" w:hAnsi="Verdana" w:cs="Times New Roman"/>
          <w:sz w:val="20"/>
          <w:szCs w:val="20"/>
          <w:lang w:val="es-ES" w:eastAsia="es-MX"/>
        </w:rPr>
        <w:tab/>
        <w:t>La Casta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408038</w:t>
      </w:r>
      <w:r w:rsidRPr="00957B34">
        <w:rPr>
          <w:rFonts w:ascii="Verdana" w:eastAsia="Times New Roman" w:hAnsi="Verdana" w:cs="Times New Roman"/>
          <w:sz w:val="20"/>
          <w:szCs w:val="20"/>
          <w:lang w:val="es-ES" w:eastAsia="es-MX"/>
        </w:rPr>
        <w:tab/>
        <w:t>KLONDIKE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408039</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z w:val="20"/>
          <w:szCs w:val="20"/>
          <w:lang w:val="en-US" w:eastAsia="es-MX"/>
        </w:rPr>
        <w:t>Cohiba</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9.</w:t>
            </w:r>
            <w:r w:rsidRPr="00957B34">
              <w:rPr>
                <w:rFonts w:ascii="Verdana" w:eastAsia="Times New Roman" w:hAnsi="Verdana" w:cs="Arial"/>
                <w:b/>
                <w:noProof/>
                <w:sz w:val="20"/>
                <w:szCs w:val="20"/>
                <w:lang w:val="es-ES" w:eastAsia="es-MX"/>
              </w:rPr>
              <w:tab/>
              <w:t>LIEB INTERNACIONAL, S.A. DE C.V.,</w:t>
            </w:r>
            <w:r w:rsidRPr="00957B34">
              <w:rPr>
                <w:rFonts w:ascii="Verdana" w:eastAsia="Times New Roman" w:hAnsi="Verdana" w:cs="Arial"/>
                <w:b/>
                <w:noProof/>
                <w:sz w:val="20"/>
                <w:szCs w:val="20"/>
                <w:lang w:val="es-ES" w:eastAsia="es-MX"/>
              </w:rPr>
              <w:tab/>
              <w:t>R.F.C. LIN910603L62</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209007</w:t>
      </w:r>
      <w:r w:rsidRPr="00957B34">
        <w:rPr>
          <w:rFonts w:ascii="Verdana" w:eastAsia="Times New Roman" w:hAnsi="Verdana" w:cs="Times New Roman"/>
          <w:sz w:val="20"/>
          <w:szCs w:val="20"/>
          <w:lang w:val="es-ES" w:eastAsia="es-MX"/>
        </w:rPr>
        <w:tab/>
        <w:t>Macanudo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209011</w:t>
      </w:r>
      <w:r w:rsidRPr="00957B34">
        <w:rPr>
          <w:rFonts w:ascii="Verdana" w:eastAsia="Times New Roman" w:hAnsi="Verdana" w:cs="Times New Roman"/>
          <w:sz w:val="20"/>
          <w:szCs w:val="20"/>
          <w:lang w:val="es-ES" w:eastAsia="es-MX"/>
        </w:rPr>
        <w:tab/>
        <w:t xml:space="preserve">Hoyo de </w:t>
      </w:r>
      <w:proofErr w:type="gramStart"/>
      <w:r w:rsidRPr="00957B34">
        <w:rPr>
          <w:rFonts w:ascii="Verdana" w:eastAsia="Times New Roman" w:hAnsi="Verdana" w:cs="Times New Roman"/>
          <w:sz w:val="20"/>
          <w:szCs w:val="20"/>
          <w:lang w:val="es-ES" w:eastAsia="es-MX"/>
        </w:rPr>
        <w:t>Monterrey</w:t>
      </w:r>
      <w:proofErr w:type="gramEnd"/>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209015</w:t>
      </w:r>
      <w:r w:rsidRPr="00957B34">
        <w:rPr>
          <w:rFonts w:ascii="Verdana" w:eastAsia="Times New Roman" w:hAnsi="Verdana" w:cs="Times New Roman"/>
          <w:sz w:val="20"/>
          <w:szCs w:val="20"/>
          <w:lang w:val="en-GB" w:eastAsia="es-MX"/>
        </w:rPr>
        <w:tab/>
        <w:t>Davidoff</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209016</w:t>
      </w:r>
      <w:r w:rsidRPr="00957B34">
        <w:rPr>
          <w:rFonts w:ascii="Verdana" w:eastAsia="Times New Roman" w:hAnsi="Verdana" w:cs="Times New Roman"/>
          <w:sz w:val="20"/>
          <w:szCs w:val="20"/>
          <w:lang w:val="en-GB" w:eastAsia="es-MX"/>
        </w:rPr>
        <w:tab/>
        <w:t>Griffins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209017</w:t>
      </w:r>
      <w:r w:rsidRPr="00957B34">
        <w:rPr>
          <w:rFonts w:ascii="Verdana" w:eastAsia="Times New Roman" w:hAnsi="Verdana" w:cs="Times New Roman"/>
          <w:sz w:val="20"/>
          <w:szCs w:val="20"/>
          <w:lang w:val="en-GB" w:eastAsia="es-MX"/>
        </w:rPr>
        <w:tab/>
        <w:t>Private Stock</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209018</w:t>
      </w:r>
      <w:r w:rsidRPr="00957B34">
        <w:rPr>
          <w:rFonts w:ascii="Verdana" w:eastAsia="Times New Roman" w:hAnsi="Verdana" w:cs="Times New Roman"/>
          <w:sz w:val="20"/>
          <w:szCs w:val="20"/>
          <w:lang w:val="en-GB" w:eastAsia="es-MX"/>
        </w:rPr>
        <w:tab/>
        <w:t>Zino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209020</w:t>
      </w:r>
      <w:r w:rsidRPr="00957B34">
        <w:rPr>
          <w:rFonts w:ascii="Verdana" w:eastAsia="Times New Roman" w:hAnsi="Verdana" w:cs="Times New Roman"/>
          <w:sz w:val="20"/>
          <w:szCs w:val="20"/>
          <w:lang w:val="en-GB" w:eastAsia="es-MX"/>
        </w:rPr>
        <w:tab/>
        <w:t>Blackstone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209021</w:t>
      </w:r>
      <w:r w:rsidRPr="00957B34">
        <w:rPr>
          <w:rFonts w:ascii="Verdana" w:eastAsia="Times New Roman" w:hAnsi="Verdana" w:cs="Times New Roman"/>
          <w:sz w:val="20"/>
          <w:szCs w:val="20"/>
          <w:lang w:val="en-GB" w:eastAsia="es-MX"/>
        </w:rPr>
        <w:tab/>
        <w:t>King Edward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209023</w:t>
      </w:r>
      <w:r w:rsidRPr="00957B34">
        <w:rPr>
          <w:rFonts w:ascii="Verdana" w:eastAsia="Times New Roman" w:hAnsi="Verdana" w:cs="Times New Roman"/>
          <w:sz w:val="20"/>
          <w:szCs w:val="20"/>
          <w:lang w:val="en-GB" w:eastAsia="es-MX"/>
        </w:rPr>
        <w:tab/>
        <w:t>Swisher Sweet</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209027</w:t>
      </w:r>
      <w:r w:rsidRPr="00957B34">
        <w:rPr>
          <w:rFonts w:ascii="Verdana" w:eastAsia="Times New Roman" w:hAnsi="Verdana" w:cs="Times New Roman"/>
          <w:sz w:val="20"/>
          <w:szCs w:val="20"/>
          <w:lang w:val="en-GB" w:eastAsia="es-MX"/>
        </w:rPr>
        <w:tab/>
        <w:t>Avo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209030</w:t>
      </w:r>
      <w:r w:rsidRPr="00957B34">
        <w:rPr>
          <w:rFonts w:ascii="Verdana" w:eastAsia="Times New Roman" w:hAnsi="Verdana" w:cs="Times New Roman"/>
          <w:sz w:val="20"/>
          <w:szCs w:val="20"/>
          <w:lang w:val="en-GB" w:eastAsia="es-MX"/>
        </w:rPr>
        <w:tab/>
        <w:t>Villiger</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309001</w:t>
      </w:r>
      <w:r w:rsidRPr="00957B34">
        <w:rPr>
          <w:rFonts w:ascii="Verdana" w:eastAsia="Times New Roman" w:hAnsi="Verdana" w:cs="Times New Roman"/>
          <w:sz w:val="20"/>
          <w:szCs w:val="20"/>
          <w:lang w:val="en-GB" w:eastAsia="es-MX"/>
        </w:rPr>
        <w:tab/>
        <w:t>Skoal</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309002</w:t>
      </w:r>
      <w:r w:rsidRPr="00957B34">
        <w:rPr>
          <w:rFonts w:ascii="Verdana" w:eastAsia="Times New Roman" w:hAnsi="Verdana" w:cs="Times New Roman"/>
          <w:sz w:val="20"/>
          <w:szCs w:val="20"/>
          <w:lang w:val="en-GB" w:eastAsia="es-MX"/>
        </w:rPr>
        <w:tab/>
        <w:t>Davidoff</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309003</w:t>
      </w:r>
      <w:r w:rsidRPr="00957B34">
        <w:rPr>
          <w:rFonts w:ascii="Verdana" w:eastAsia="Times New Roman" w:hAnsi="Verdana" w:cs="Times New Roman"/>
          <w:sz w:val="20"/>
          <w:szCs w:val="20"/>
          <w:lang w:val="en-GB" w:eastAsia="es-MX"/>
        </w:rPr>
        <w:tab/>
        <w:t>Borkum Riff</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309004</w:t>
      </w:r>
      <w:r w:rsidRPr="00957B34">
        <w:rPr>
          <w:rFonts w:ascii="Verdana" w:eastAsia="Times New Roman" w:hAnsi="Verdana" w:cs="Times New Roman"/>
          <w:sz w:val="20"/>
          <w:szCs w:val="20"/>
          <w:lang w:val="en-GB" w:eastAsia="es-MX"/>
        </w:rPr>
        <w:tab/>
        <w:t>Peter Stokkebye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309005</w:t>
      </w:r>
      <w:r w:rsidRPr="00957B34">
        <w:rPr>
          <w:rFonts w:ascii="Verdana" w:eastAsia="Times New Roman" w:hAnsi="Verdana" w:cs="Times New Roman"/>
          <w:sz w:val="20"/>
          <w:szCs w:val="20"/>
          <w:lang w:val="en-US" w:eastAsia="es-MX"/>
        </w:rPr>
        <w:tab/>
        <w:t>Kayak</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409001</w:t>
      </w:r>
      <w:r w:rsidRPr="00957B34">
        <w:rPr>
          <w:rFonts w:ascii="Verdana" w:eastAsia="Times New Roman" w:hAnsi="Verdana" w:cs="Times New Roman"/>
          <w:sz w:val="20"/>
          <w:szCs w:val="20"/>
          <w:lang w:val="en-US" w:eastAsia="es-MX"/>
        </w:rPr>
        <w:tab/>
        <w:t>Bundle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409005</w:t>
      </w:r>
      <w:r w:rsidRPr="00957B34">
        <w:rPr>
          <w:rFonts w:ascii="Verdana" w:eastAsia="Times New Roman" w:hAnsi="Verdana" w:cs="Times New Roman"/>
          <w:sz w:val="20"/>
          <w:szCs w:val="20"/>
          <w:lang w:val="en-US" w:eastAsia="es-MX"/>
        </w:rPr>
        <w:tab/>
        <w:t>Joya de Nicaragua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409006</w:t>
      </w:r>
      <w:r w:rsidRPr="00957B34">
        <w:rPr>
          <w:rFonts w:ascii="Verdana" w:eastAsia="Times New Roman" w:hAnsi="Verdana" w:cs="Times New Roman"/>
          <w:sz w:val="20"/>
          <w:szCs w:val="20"/>
          <w:lang w:val="en-US" w:eastAsia="es-MX"/>
        </w:rPr>
        <w:tab/>
        <w:t>Lieb</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409009</w:t>
      </w:r>
      <w:r w:rsidRPr="00957B34">
        <w:rPr>
          <w:rFonts w:ascii="Verdana" w:eastAsia="Times New Roman" w:hAnsi="Verdana" w:cs="Times New Roman"/>
          <w:sz w:val="20"/>
          <w:szCs w:val="20"/>
          <w:lang w:val="en-GB" w:eastAsia="es-MX"/>
        </w:rPr>
        <w:tab/>
        <w:t>Winston Churchill</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409010</w:t>
      </w:r>
      <w:r w:rsidRPr="00957B34">
        <w:rPr>
          <w:rFonts w:ascii="Verdana" w:eastAsia="Times New Roman" w:hAnsi="Verdana" w:cs="Times New Roman"/>
          <w:sz w:val="20"/>
          <w:szCs w:val="20"/>
          <w:lang w:eastAsia="es-MX"/>
        </w:rPr>
        <w:tab/>
        <w:t>La Aurora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409011</w:t>
      </w:r>
      <w:r w:rsidRPr="00957B34">
        <w:rPr>
          <w:rFonts w:ascii="Verdana" w:eastAsia="Times New Roman" w:hAnsi="Verdana" w:cs="Times New Roman"/>
          <w:sz w:val="20"/>
          <w:szCs w:val="20"/>
          <w:lang w:eastAsia="es-MX"/>
        </w:rPr>
        <w:tab/>
        <w:t>Leon Jimenez</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409012</w:t>
      </w:r>
      <w:r w:rsidRPr="00957B34">
        <w:rPr>
          <w:rFonts w:ascii="Verdana" w:eastAsia="Times New Roman" w:hAnsi="Verdana" w:cs="Times New Roman"/>
          <w:sz w:val="20"/>
          <w:szCs w:val="20"/>
          <w:lang w:val="es-ES" w:eastAsia="es-MX"/>
        </w:rPr>
        <w:tab/>
        <w:t>Serie 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409013</w:t>
      </w:r>
      <w:r w:rsidRPr="00957B34">
        <w:rPr>
          <w:rFonts w:ascii="Verdana" w:eastAsia="Times New Roman" w:hAnsi="Verdana" w:cs="Times New Roman"/>
          <w:sz w:val="20"/>
          <w:szCs w:val="20"/>
          <w:lang w:val="es-ES" w:eastAsia="es-MX"/>
        </w:rPr>
        <w:tab/>
        <w:t>Camacho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409014</w:t>
      </w:r>
      <w:r w:rsidRPr="00957B34">
        <w:rPr>
          <w:rFonts w:ascii="Verdana" w:eastAsia="Times New Roman" w:hAnsi="Verdana" w:cs="Times New Roman"/>
          <w:sz w:val="20"/>
          <w:szCs w:val="20"/>
          <w:lang w:val="es-ES" w:eastAsia="es-MX"/>
        </w:rPr>
        <w:tab/>
        <w:t>Principes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409016</w:t>
      </w:r>
      <w:r w:rsidRPr="00957B34">
        <w:rPr>
          <w:rFonts w:ascii="Verdana" w:eastAsia="Times New Roman" w:hAnsi="Verdana" w:cs="Times New Roman"/>
          <w:sz w:val="20"/>
          <w:szCs w:val="20"/>
          <w:lang w:val="es-ES" w:eastAsia="es-MX"/>
        </w:rPr>
        <w:tab/>
        <w:t>Excalibur</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409018</w:t>
      </w:r>
      <w:r w:rsidRPr="00957B34">
        <w:rPr>
          <w:rFonts w:ascii="Verdana" w:eastAsia="Times New Roman" w:hAnsi="Verdana" w:cs="Times New Roman"/>
          <w:sz w:val="20"/>
          <w:szCs w:val="20"/>
          <w:lang w:val="es-ES" w:eastAsia="es-MX"/>
        </w:rPr>
        <w:tab/>
        <w:t>Centurión</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409019</w:t>
      </w:r>
      <w:r w:rsidRPr="00957B34">
        <w:rPr>
          <w:rFonts w:ascii="Verdana" w:eastAsia="Times New Roman" w:hAnsi="Verdana" w:cs="Times New Roman"/>
          <w:sz w:val="20"/>
          <w:szCs w:val="20"/>
          <w:lang w:val="es-ES" w:eastAsia="es-MX"/>
        </w:rPr>
        <w:tab/>
        <w:t>Don Fernando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409020</w:t>
      </w:r>
      <w:r w:rsidRPr="00957B34">
        <w:rPr>
          <w:rFonts w:ascii="Verdana" w:eastAsia="Times New Roman" w:hAnsi="Verdana" w:cs="Times New Roman"/>
          <w:sz w:val="20"/>
          <w:szCs w:val="20"/>
          <w:lang w:val="es-ES" w:eastAsia="es-MX"/>
        </w:rPr>
        <w:tab/>
        <w:t>Flor de las Antillas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409021</w:t>
      </w:r>
      <w:r w:rsidRPr="00957B34">
        <w:rPr>
          <w:rFonts w:ascii="Verdana" w:eastAsia="Times New Roman" w:hAnsi="Verdana" w:cs="Times New Roman"/>
          <w:sz w:val="20"/>
          <w:szCs w:val="20"/>
          <w:lang w:val="es-ES" w:eastAsia="es-MX"/>
        </w:rPr>
        <w:tab/>
        <w:t>Imperiales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409022</w:t>
      </w:r>
      <w:r w:rsidRPr="00957B34">
        <w:rPr>
          <w:rFonts w:ascii="Verdana" w:eastAsia="Times New Roman" w:hAnsi="Verdana" w:cs="Times New Roman"/>
          <w:sz w:val="20"/>
          <w:szCs w:val="20"/>
          <w:lang w:val="en-US" w:eastAsia="es-MX"/>
        </w:rPr>
        <w:tab/>
        <w:t>La Dueña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409023</w:t>
      </w:r>
      <w:r w:rsidRPr="00957B34">
        <w:rPr>
          <w:rFonts w:ascii="Verdana" w:eastAsia="Times New Roman" w:hAnsi="Verdana" w:cs="Times New Roman"/>
          <w:sz w:val="20"/>
          <w:szCs w:val="20"/>
          <w:lang w:val="en-US" w:eastAsia="es-MX"/>
        </w:rPr>
        <w:tab/>
        <w:t>My Father</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409024</w:t>
      </w:r>
      <w:r w:rsidRPr="00957B34">
        <w:rPr>
          <w:rFonts w:ascii="Verdana" w:eastAsia="Times New Roman" w:hAnsi="Verdana" w:cs="Times New Roman"/>
          <w:sz w:val="20"/>
          <w:szCs w:val="20"/>
          <w:lang w:val="en-US" w:eastAsia="es-MX"/>
        </w:rPr>
        <w:tab/>
        <w:t>Tatuaje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409025</w:t>
      </w:r>
      <w:r w:rsidRPr="00957B34">
        <w:rPr>
          <w:rFonts w:ascii="Verdana" w:eastAsia="Times New Roman" w:hAnsi="Verdana" w:cs="Times New Roman"/>
          <w:sz w:val="20"/>
          <w:szCs w:val="20"/>
          <w:lang w:val="es-ES" w:eastAsia="es-MX"/>
        </w:rPr>
        <w:tab/>
        <w:t>La Riqueza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409026</w:t>
      </w:r>
      <w:r w:rsidRPr="00957B34">
        <w:rPr>
          <w:rFonts w:ascii="Verdana" w:eastAsia="Times New Roman" w:hAnsi="Verdana" w:cs="Times New Roman"/>
          <w:sz w:val="20"/>
          <w:szCs w:val="20"/>
          <w:lang w:val="es-ES" w:eastAsia="es-MX"/>
        </w:rPr>
        <w:tab/>
        <w:t>Rosalones</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5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10.</w:t>
            </w:r>
            <w:r w:rsidRPr="00957B34">
              <w:rPr>
                <w:rFonts w:ascii="Verdana" w:eastAsia="Times New Roman" w:hAnsi="Verdana" w:cs="Arial"/>
                <w:b/>
                <w:noProof/>
                <w:sz w:val="20"/>
                <w:szCs w:val="20"/>
                <w:lang w:val="es-ES" w:eastAsia="es-MX"/>
              </w:rPr>
              <w:tab/>
              <w:t>TABACALERA VERACRUZANA, S.A.,</w:t>
            </w:r>
            <w:r w:rsidRPr="00957B34">
              <w:rPr>
                <w:rFonts w:ascii="Verdana" w:eastAsia="Times New Roman" w:hAnsi="Verdana" w:cs="Arial"/>
                <w:b/>
                <w:noProof/>
                <w:sz w:val="20"/>
                <w:szCs w:val="20"/>
                <w:lang w:val="es-ES" w:eastAsia="es-MX"/>
              </w:rPr>
              <w:tab/>
              <w:t>R.F.C. TVE690530MJ9</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210001</w:t>
      </w:r>
      <w:r w:rsidRPr="00957B34">
        <w:rPr>
          <w:rFonts w:ascii="Verdana" w:eastAsia="Times New Roman" w:hAnsi="Verdana" w:cs="Times New Roman"/>
          <w:sz w:val="20"/>
          <w:szCs w:val="20"/>
          <w:lang w:val="es-ES" w:eastAsia="es-MX"/>
        </w:rPr>
        <w:tab/>
        <w:t>Zets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210002</w:t>
      </w:r>
      <w:r w:rsidRPr="00957B34">
        <w:rPr>
          <w:rFonts w:ascii="Verdana" w:eastAsia="Times New Roman" w:hAnsi="Verdana" w:cs="Times New Roman"/>
          <w:sz w:val="20"/>
          <w:szCs w:val="20"/>
          <w:lang w:val="es-ES" w:eastAsia="es-MX"/>
        </w:rPr>
        <w:tab/>
        <w:t>Núm. 1</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210003</w:t>
      </w:r>
      <w:r w:rsidRPr="00957B34">
        <w:rPr>
          <w:rFonts w:ascii="Verdana" w:eastAsia="Times New Roman" w:hAnsi="Verdana" w:cs="Times New Roman"/>
          <w:sz w:val="20"/>
          <w:szCs w:val="20"/>
          <w:lang w:val="es-ES" w:eastAsia="es-MX"/>
        </w:rPr>
        <w:tab/>
        <w:t>Núm. 2</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210004</w:t>
      </w:r>
      <w:r w:rsidRPr="00957B34">
        <w:rPr>
          <w:rFonts w:ascii="Verdana" w:eastAsia="Times New Roman" w:hAnsi="Verdana" w:cs="Times New Roman"/>
          <w:sz w:val="20"/>
          <w:szCs w:val="20"/>
          <w:lang w:val="es-ES" w:eastAsia="es-MX"/>
        </w:rPr>
        <w:tab/>
        <w:t>Núm. 3</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210005</w:t>
      </w:r>
      <w:r w:rsidRPr="00957B34">
        <w:rPr>
          <w:rFonts w:ascii="Verdana" w:eastAsia="Times New Roman" w:hAnsi="Verdana" w:cs="Times New Roman"/>
          <w:sz w:val="20"/>
          <w:szCs w:val="20"/>
          <w:lang w:val="es-ES" w:eastAsia="es-MX"/>
        </w:rPr>
        <w:tab/>
        <w:t>Núm. 4</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210006</w:t>
      </w:r>
      <w:r w:rsidRPr="00957B34">
        <w:rPr>
          <w:rFonts w:ascii="Verdana" w:eastAsia="Times New Roman" w:hAnsi="Verdana" w:cs="Times New Roman"/>
          <w:sz w:val="20"/>
          <w:szCs w:val="20"/>
          <w:lang w:val="es-ES" w:eastAsia="es-MX"/>
        </w:rPr>
        <w:tab/>
        <w:t>Núm. 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210007</w:t>
      </w:r>
      <w:r w:rsidRPr="00957B34">
        <w:rPr>
          <w:rFonts w:ascii="Verdana" w:eastAsia="Times New Roman" w:hAnsi="Verdana" w:cs="Times New Roman"/>
          <w:sz w:val="20"/>
          <w:szCs w:val="20"/>
          <w:lang w:val="es-ES" w:eastAsia="es-MX"/>
        </w:rPr>
        <w:tab/>
        <w:t>Núm. 5 Extra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210008</w:t>
      </w:r>
      <w:r w:rsidRPr="00957B34">
        <w:rPr>
          <w:rFonts w:ascii="Verdana" w:eastAsia="Times New Roman" w:hAnsi="Verdana" w:cs="Times New Roman"/>
          <w:sz w:val="20"/>
          <w:szCs w:val="20"/>
          <w:lang w:val="es-ES" w:eastAsia="es-MX"/>
        </w:rPr>
        <w:tab/>
        <w:t>Núm. 6</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210009</w:t>
      </w:r>
      <w:r w:rsidRPr="00957B34">
        <w:rPr>
          <w:rFonts w:ascii="Verdana" w:eastAsia="Times New Roman" w:hAnsi="Verdana" w:cs="Times New Roman"/>
          <w:sz w:val="20"/>
          <w:szCs w:val="20"/>
          <w:lang w:val="es-ES" w:eastAsia="es-MX"/>
        </w:rPr>
        <w:tab/>
        <w:t>Núm. 6 Extra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210010</w:t>
      </w:r>
      <w:r w:rsidRPr="00957B34">
        <w:rPr>
          <w:rFonts w:ascii="Verdana" w:eastAsia="Times New Roman" w:hAnsi="Verdana" w:cs="Times New Roman"/>
          <w:sz w:val="20"/>
          <w:szCs w:val="20"/>
          <w:lang w:val="es-ES" w:eastAsia="es-MX"/>
        </w:rPr>
        <w:tab/>
        <w:t>Núm. 7</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210011</w:t>
      </w:r>
      <w:r w:rsidRPr="00957B34">
        <w:rPr>
          <w:rFonts w:ascii="Verdana" w:eastAsia="Times New Roman" w:hAnsi="Verdana" w:cs="Times New Roman"/>
          <w:sz w:val="20"/>
          <w:szCs w:val="20"/>
          <w:lang w:val="es-ES" w:eastAsia="es-MX"/>
        </w:rPr>
        <w:tab/>
        <w:t>Núm. 8</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210012</w:t>
      </w:r>
      <w:r w:rsidRPr="00957B34">
        <w:rPr>
          <w:rFonts w:ascii="Verdana" w:eastAsia="Times New Roman" w:hAnsi="Verdana" w:cs="Times New Roman"/>
          <w:sz w:val="20"/>
          <w:szCs w:val="20"/>
          <w:lang w:val="es-ES" w:eastAsia="es-MX"/>
        </w:rPr>
        <w:tab/>
        <w:t>Núm. 9</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210013</w:t>
      </w:r>
      <w:r w:rsidRPr="00957B34">
        <w:rPr>
          <w:rFonts w:ascii="Verdana" w:eastAsia="Times New Roman" w:hAnsi="Verdana" w:cs="Times New Roman"/>
          <w:sz w:val="20"/>
          <w:szCs w:val="20"/>
          <w:lang w:val="es-ES" w:eastAsia="es-MX"/>
        </w:rPr>
        <w:tab/>
        <w:t>Especiales Cecilia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210014</w:t>
      </w:r>
      <w:r w:rsidRPr="00957B34">
        <w:rPr>
          <w:rFonts w:ascii="Verdana" w:eastAsia="Times New Roman" w:hAnsi="Verdana" w:cs="Times New Roman"/>
          <w:sz w:val="20"/>
          <w:szCs w:val="20"/>
          <w:lang w:val="es-ES" w:eastAsia="es-MX"/>
        </w:rPr>
        <w:tab/>
        <w:t>U-18</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210015</w:t>
      </w:r>
      <w:r w:rsidRPr="00957B34">
        <w:rPr>
          <w:rFonts w:ascii="Verdana" w:eastAsia="Times New Roman" w:hAnsi="Verdana" w:cs="Times New Roman"/>
          <w:sz w:val="20"/>
          <w:szCs w:val="20"/>
          <w:lang w:val="es-ES" w:eastAsia="es-MX"/>
        </w:rPr>
        <w:tab/>
        <w:t>Cedros Especiales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210016</w:t>
      </w:r>
      <w:r w:rsidRPr="00957B34">
        <w:rPr>
          <w:rFonts w:ascii="Verdana" w:eastAsia="Times New Roman" w:hAnsi="Verdana" w:cs="Times New Roman"/>
          <w:sz w:val="20"/>
          <w:szCs w:val="20"/>
          <w:lang w:val="es-ES" w:eastAsia="es-MX"/>
        </w:rPr>
        <w:tab/>
        <w:t>Panetelas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210017</w:t>
      </w:r>
      <w:r w:rsidRPr="00957B34">
        <w:rPr>
          <w:rFonts w:ascii="Verdana" w:eastAsia="Times New Roman" w:hAnsi="Verdana" w:cs="Times New Roman"/>
          <w:sz w:val="20"/>
          <w:szCs w:val="20"/>
          <w:lang w:val="es-ES" w:eastAsia="es-MX"/>
        </w:rPr>
        <w:tab/>
        <w:t>Premios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210018</w:t>
      </w:r>
      <w:r w:rsidRPr="00957B34">
        <w:rPr>
          <w:rFonts w:ascii="Verdana" w:eastAsia="Times New Roman" w:hAnsi="Verdana" w:cs="Times New Roman"/>
          <w:sz w:val="20"/>
          <w:szCs w:val="20"/>
          <w:lang w:val="es-ES" w:eastAsia="es-MX"/>
        </w:rPr>
        <w:tab/>
        <w:t>Fancytales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210019</w:t>
      </w:r>
      <w:r w:rsidRPr="00957B34">
        <w:rPr>
          <w:rFonts w:ascii="Verdana" w:eastAsia="Times New Roman" w:hAnsi="Verdana" w:cs="Times New Roman"/>
          <w:sz w:val="20"/>
          <w:szCs w:val="20"/>
          <w:lang w:val="es-ES" w:eastAsia="es-MX"/>
        </w:rPr>
        <w:tab/>
        <w:t>Enanos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210020</w:t>
      </w:r>
      <w:r w:rsidRPr="00957B34">
        <w:rPr>
          <w:rFonts w:ascii="Verdana" w:eastAsia="Times New Roman" w:hAnsi="Verdana" w:cs="Times New Roman"/>
          <w:sz w:val="20"/>
          <w:szCs w:val="20"/>
          <w:lang w:val="es-ES" w:eastAsia="es-MX"/>
        </w:rPr>
        <w:tab/>
        <w:t>Veracruzanos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210021</w:t>
      </w:r>
      <w:r w:rsidRPr="00957B34">
        <w:rPr>
          <w:rFonts w:ascii="Verdana" w:eastAsia="Times New Roman" w:hAnsi="Verdana" w:cs="Times New Roman"/>
          <w:sz w:val="20"/>
          <w:szCs w:val="20"/>
          <w:lang w:val="es-ES" w:eastAsia="es-MX"/>
        </w:rPr>
        <w:tab/>
        <w:t>Cazadores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210022</w:t>
      </w:r>
      <w:r w:rsidRPr="00957B34">
        <w:rPr>
          <w:rFonts w:ascii="Verdana" w:eastAsia="Times New Roman" w:hAnsi="Verdana" w:cs="Times New Roman"/>
          <w:sz w:val="20"/>
          <w:szCs w:val="20"/>
          <w:lang w:val="es-ES" w:eastAsia="es-MX"/>
        </w:rPr>
        <w:tab/>
        <w:t>Cedros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210023</w:t>
      </w:r>
      <w:r w:rsidRPr="00957B34">
        <w:rPr>
          <w:rFonts w:ascii="Verdana" w:eastAsia="Times New Roman" w:hAnsi="Verdana" w:cs="Times New Roman"/>
          <w:sz w:val="20"/>
          <w:szCs w:val="20"/>
          <w:lang w:val="es-ES" w:eastAsia="es-MX"/>
        </w:rPr>
        <w:tab/>
        <w:t>Intermedios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210024</w:t>
      </w:r>
      <w:r w:rsidRPr="00957B34">
        <w:rPr>
          <w:rFonts w:ascii="Verdana" w:eastAsia="Times New Roman" w:hAnsi="Verdana" w:cs="Times New Roman"/>
          <w:sz w:val="20"/>
          <w:szCs w:val="20"/>
          <w:lang w:val="es-ES" w:eastAsia="es-MX"/>
        </w:rPr>
        <w:tab/>
        <w:t>Petit</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210025</w:t>
      </w:r>
      <w:r w:rsidRPr="00957B34">
        <w:rPr>
          <w:rFonts w:ascii="Verdana" w:eastAsia="Times New Roman" w:hAnsi="Verdana" w:cs="Times New Roman"/>
          <w:sz w:val="20"/>
          <w:szCs w:val="20"/>
          <w:lang w:val="es-ES" w:eastAsia="es-MX"/>
        </w:rPr>
        <w:tab/>
        <w:t>Cedritos</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11.</w:t>
            </w:r>
            <w:r w:rsidRPr="00957B34">
              <w:rPr>
                <w:rFonts w:ascii="Verdana" w:eastAsia="Times New Roman" w:hAnsi="Verdana" w:cs="Arial"/>
                <w:b/>
                <w:noProof/>
                <w:sz w:val="20"/>
                <w:szCs w:val="20"/>
                <w:lang w:val="es-ES" w:eastAsia="es-MX"/>
              </w:rPr>
              <w:tab/>
              <w:t>TABACOS SAN ANDRES, S.A. DE C.V.,</w:t>
            </w:r>
            <w:r w:rsidRPr="00957B34">
              <w:rPr>
                <w:rFonts w:ascii="Verdana" w:eastAsia="Times New Roman" w:hAnsi="Verdana" w:cs="Arial"/>
                <w:b/>
                <w:noProof/>
                <w:sz w:val="20"/>
                <w:szCs w:val="20"/>
                <w:lang w:val="es-ES" w:eastAsia="es-MX"/>
              </w:rPr>
              <w:tab/>
              <w:t>R.F.C. TSA860710IB4</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211001</w:t>
      </w:r>
      <w:r w:rsidRPr="00957B34">
        <w:rPr>
          <w:rFonts w:ascii="Verdana" w:eastAsia="Times New Roman" w:hAnsi="Verdana" w:cs="Times New Roman"/>
          <w:sz w:val="20"/>
          <w:szCs w:val="20"/>
          <w:lang w:val="es-ES" w:eastAsia="es-MX"/>
        </w:rPr>
        <w:tab/>
        <w:t>Panter</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211002</w:t>
      </w:r>
      <w:r w:rsidRPr="00957B34">
        <w:rPr>
          <w:rFonts w:ascii="Verdana" w:eastAsia="Times New Roman" w:hAnsi="Verdana" w:cs="Times New Roman"/>
          <w:sz w:val="20"/>
          <w:szCs w:val="20"/>
          <w:lang w:val="es-ES" w:eastAsia="es-MX"/>
        </w:rPr>
        <w:tab/>
        <w:t>Arturo Fuente</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211003</w:t>
      </w:r>
      <w:r w:rsidRPr="00957B34">
        <w:rPr>
          <w:rFonts w:ascii="Verdana" w:eastAsia="Times New Roman" w:hAnsi="Verdana" w:cs="Times New Roman"/>
          <w:sz w:val="20"/>
          <w:szCs w:val="20"/>
          <w:lang w:val="es-ES" w:eastAsia="es-MX"/>
        </w:rPr>
        <w:tab/>
        <w:t>Fuente Fuente</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211004</w:t>
      </w:r>
      <w:r w:rsidRPr="00957B34">
        <w:rPr>
          <w:rFonts w:ascii="Verdana" w:eastAsia="Times New Roman" w:hAnsi="Verdana" w:cs="Times New Roman"/>
          <w:sz w:val="20"/>
          <w:szCs w:val="20"/>
          <w:lang w:val="es-ES" w:eastAsia="es-MX"/>
        </w:rPr>
        <w:tab/>
        <w:t>Parodi</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211005</w:t>
      </w:r>
      <w:r w:rsidRPr="00957B34">
        <w:rPr>
          <w:rFonts w:ascii="Verdana" w:eastAsia="Times New Roman" w:hAnsi="Verdana" w:cs="Times New Roman"/>
          <w:sz w:val="20"/>
          <w:szCs w:val="20"/>
          <w:lang w:val="es-ES" w:eastAsia="es-MX"/>
        </w:rPr>
        <w:tab/>
        <w:t>J. Cortes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311001</w:t>
      </w:r>
      <w:r w:rsidRPr="00957B34">
        <w:rPr>
          <w:rFonts w:ascii="Verdana" w:eastAsia="Times New Roman" w:hAnsi="Verdana" w:cs="Times New Roman"/>
          <w:sz w:val="20"/>
          <w:szCs w:val="20"/>
          <w:lang w:val="es-ES" w:eastAsia="es-MX"/>
        </w:rPr>
        <w:tab/>
        <w:t>Alois Poschll</w:t>
      </w:r>
    </w:p>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12.</w:t>
            </w:r>
            <w:r w:rsidRPr="00957B34">
              <w:rPr>
                <w:rFonts w:ascii="Verdana" w:eastAsia="Times New Roman" w:hAnsi="Verdana" w:cs="Arial"/>
                <w:b/>
                <w:noProof/>
                <w:sz w:val="20"/>
                <w:szCs w:val="20"/>
                <w:lang w:val="es-ES" w:eastAsia="es-MX"/>
              </w:rPr>
              <w:tab/>
              <w:t>TABACOS LA VICTORIA, S.A. DE C.V.,</w:t>
            </w:r>
            <w:r w:rsidRPr="00957B34">
              <w:rPr>
                <w:rFonts w:ascii="Verdana" w:eastAsia="Times New Roman" w:hAnsi="Verdana" w:cs="Arial"/>
                <w:b/>
                <w:noProof/>
                <w:sz w:val="20"/>
                <w:szCs w:val="20"/>
                <w:lang w:val="es-ES" w:eastAsia="es-MX"/>
              </w:rPr>
              <w:tab/>
              <w:t>R.F.C. TVI9609235F5</w:t>
            </w:r>
          </w:p>
        </w:tc>
      </w:tr>
    </w:tbl>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212001</w:t>
      </w:r>
      <w:r w:rsidRPr="00957B34">
        <w:rPr>
          <w:rFonts w:ascii="Verdana" w:eastAsia="Times New Roman" w:hAnsi="Verdana" w:cs="Times New Roman"/>
          <w:sz w:val="20"/>
          <w:szCs w:val="20"/>
          <w:lang w:val="es-ES" w:eastAsia="es-MX"/>
        </w:rPr>
        <w:tab/>
        <w:t>Miranda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212002</w:t>
      </w:r>
      <w:r w:rsidRPr="00957B34">
        <w:rPr>
          <w:rFonts w:ascii="Verdana" w:eastAsia="Times New Roman" w:hAnsi="Verdana" w:cs="Times New Roman"/>
          <w:sz w:val="20"/>
          <w:szCs w:val="20"/>
          <w:lang w:val="es-ES" w:eastAsia="es-MX"/>
        </w:rPr>
        <w:tab/>
        <w:t>Da Costa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212003</w:t>
      </w:r>
      <w:r w:rsidRPr="00957B34">
        <w:rPr>
          <w:rFonts w:ascii="Verdana" w:eastAsia="Times New Roman" w:hAnsi="Verdana" w:cs="Times New Roman"/>
          <w:sz w:val="20"/>
          <w:szCs w:val="20"/>
          <w:lang w:val="es-ES" w:eastAsia="es-MX"/>
        </w:rPr>
        <w:tab/>
        <w:t>Caribeños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212004</w:t>
      </w:r>
      <w:r w:rsidRPr="00957B34">
        <w:rPr>
          <w:rFonts w:ascii="Verdana" w:eastAsia="Times New Roman" w:hAnsi="Verdana" w:cs="Times New Roman"/>
          <w:sz w:val="20"/>
          <w:szCs w:val="20"/>
          <w:lang w:val="es-ES" w:eastAsia="es-MX"/>
        </w:rPr>
        <w:tab/>
        <w:t>Mulatos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212005</w:t>
      </w:r>
      <w:r w:rsidRPr="00957B34">
        <w:rPr>
          <w:rFonts w:ascii="Verdana" w:eastAsia="Times New Roman" w:hAnsi="Verdana" w:cs="Times New Roman"/>
          <w:sz w:val="20"/>
          <w:szCs w:val="20"/>
          <w:lang w:eastAsia="es-MX"/>
        </w:rPr>
        <w:tab/>
        <w:t>Otman Perez</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212006</w:t>
      </w:r>
      <w:r w:rsidRPr="00957B34">
        <w:rPr>
          <w:rFonts w:ascii="Verdana" w:eastAsia="Times New Roman" w:hAnsi="Verdana" w:cs="Times New Roman"/>
          <w:sz w:val="20"/>
          <w:szCs w:val="20"/>
          <w:lang w:eastAsia="es-MX"/>
        </w:rPr>
        <w:tab/>
        <w:t>Fifty Club</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212007</w:t>
      </w:r>
      <w:r w:rsidRPr="00957B34">
        <w:rPr>
          <w:rFonts w:ascii="Verdana" w:eastAsia="Times New Roman" w:hAnsi="Verdana" w:cs="Times New Roman"/>
          <w:sz w:val="20"/>
          <w:szCs w:val="20"/>
          <w:lang w:eastAsia="es-MX"/>
        </w:rPr>
        <w:tab/>
        <w:t>Cda.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212008</w:t>
      </w:r>
      <w:r w:rsidRPr="00957B34">
        <w:rPr>
          <w:rFonts w:ascii="Verdana" w:eastAsia="Times New Roman" w:hAnsi="Verdana" w:cs="Times New Roman"/>
          <w:sz w:val="20"/>
          <w:szCs w:val="20"/>
          <w:lang w:val="es-ES" w:eastAsia="es-MX"/>
        </w:rPr>
        <w:tab/>
        <w:t>Dos Coronas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212009</w:t>
      </w:r>
      <w:r w:rsidRPr="00957B34">
        <w:rPr>
          <w:rFonts w:ascii="Verdana" w:eastAsia="Times New Roman" w:hAnsi="Verdana" w:cs="Times New Roman"/>
          <w:sz w:val="20"/>
          <w:szCs w:val="20"/>
          <w:lang w:val="es-ES" w:eastAsia="es-MX"/>
        </w:rPr>
        <w:tab/>
        <w:t>Copa Cabana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212010</w:t>
      </w:r>
      <w:r w:rsidRPr="00957B34">
        <w:rPr>
          <w:rFonts w:ascii="Verdana" w:eastAsia="Times New Roman" w:hAnsi="Verdana" w:cs="Times New Roman"/>
          <w:sz w:val="20"/>
          <w:szCs w:val="20"/>
          <w:lang w:val="es-ES" w:eastAsia="es-MX"/>
        </w:rPr>
        <w:tab/>
        <w:t>Don Francisco</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212011</w:t>
      </w:r>
      <w:r w:rsidRPr="00957B34">
        <w:rPr>
          <w:rFonts w:ascii="Verdana" w:eastAsia="Times New Roman" w:hAnsi="Verdana" w:cs="Times New Roman"/>
          <w:sz w:val="20"/>
          <w:szCs w:val="20"/>
          <w:lang w:val="es-ES" w:eastAsia="es-MX"/>
        </w:rPr>
        <w:tab/>
        <w:t>Grupo Loma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212012</w:t>
      </w:r>
      <w:r w:rsidRPr="00957B34">
        <w:rPr>
          <w:rFonts w:ascii="Verdana" w:eastAsia="Times New Roman" w:hAnsi="Verdana" w:cs="Times New Roman"/>
          <w:sz w:val="20"/>
          <w:szCs w:val="20"/>
          <w:lang w:val="es-ES" w:eastAsia="es-MX"/>
        </w:rPr>
        <w:tab/>
        <w:t>Pakal</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212013</w:t>
      </w:r>
      <w:r w:rsidRPr="00957B34">
        <w:rPr>
          <w:rFonts w:ascii="Verdana" w:eastAsia="Times New Roman" w:hAnsi="Verdana" w:cs="Times New Roman"/>
          <w:sz w:val="20"/>
          <w:szCs w:val="20"/>
          <w:lang w:val="es-ES" w:eastAsia="es-MX"/>
        </w:rPr>
        <w:tab/>
        <w:t>Navegantes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412001</w:t>
      </w:r>
      <w:r w:rsidRPr="00957B34">
        <w:rPr>
          <w:rFonts w:ascii="Verdana" w:eastAsia="Times New Roman" w:hAnsi="Verdana" w:cs="Times New Roman"/>
          <w:sz w:val="20"/>
          <w:szCs w:val="20"/>
          <w:lang w:val="es-ES" w:eastAsia="es-MX"/>
        </w:rPr>
        <w:tab/>
        <w:t>Miranda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14.</w:t>
            </w:r>
            <w:r w:rsidRPr="00957B34">
              <w:rPr>
                <w:rFonts w:ascii="Verdana" w:eastAsia="Times New Roman" w:hAnsi="Verdana" w:cs="Arial"/>
                <w:b/>
                <w:noProof/>
                <w:sz w:val="20"/>
                <w:szCs w:val="20"/>
                <w:lang w:val="es-ES" w:eastAsia="es-MX"/>
              </w:rPr>
              <w:tab/>
              <w:t>GRUPO PERMI, S.A. DE C.V.,</w:t>
            </w:r>
            <w:r w:rsidRPr="00957B34">
              <w:rPr>
                <w:rFonts w:ascii="Verdana" w:eastAsia="Times New Roman" w:hAnsi="Verdana" w:cs="Arial"/>
                <w:b/>
                <w:noProof/>
                <w:sz w:val="20"/>
                <w:szCs w:val="20"/>
                <w:lang w:val="es-ES" w:eastAsia="es-MX"/>
              </w:rPr>
              <w:tab/>
              <w:t>R.F.C. GPE9802189V2</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314013</w:t>
      </w:r>
      <w:r w:rsidRPr="00957B34">
        <w:rPr>
          <w:rFonts w:ascii="Verdana" w:eastAsia="Times New Roman" w:hAnsi="Verdana" w:cs="Times New Roman"/>
          <w:sz w:val="20"/>
          <w:szCs w:val="20"/>
          <w:lang w:val="en-GB" w:eastAsia="es-MX"/>
        </w:rPr>
        <w:tab/>
        <w:t>Mac Baren Mixture</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314014</w:t>
      </w:r>
      <w:r w:rsidRPr="00957B34">
        <w:rPr>
          <w:rFonts w:ascii="Verdana" w:eastAsia="Times New Roman" w:hAnsi="Verdana" w:cs="Times New Roman"/>
          <w:sz w:val="20"/>
          <w:szCs w:val="20"/>
          <w:lang w:val="en-GB" w:eastAsia="es-MX"/>
        </w:rPr>
        <w:tab/>
        <w:t>Mac Baren Mixture Mild</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314015</w:t>
      </w:r>
      <w:r w:rsidRPr="00957B34">
        <w:rPr>
          <w:rFonts w:ascii="Verdana" w:eastAsia="Times New Roman" w:hAnsi="Verdana" w:cs="Times New Roman"/>
          <w:sz w:val="20"/>
          <w:szCs w:val="20"/>
          <w:lang w:val="en-GB" w:eastAsia="es-MX"/>
        </w:rPr>
        <w:tab/>
        <w:t>Mac Baren Vanilla Loose Cut</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314016</w:t>
      </w:r>
      <w:r w:rsidRPr="00957B34">
        <w:rPr>
          <w:rFonts w:ascii="Verdana" w:eastAsia="Times New Roman" w:hAnsi="Verdana" w:cs="Times New Roman"/>
          <w:sz w:val="20"/>
          <w:szCs w:val="20"/>
          <w:lang w:val="en-GB" w:eastAsia="es-MX"/>
        </w:rPr>
        <w:tab/>
        <w:t>Mac Baren Original Choice</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314017</w:t>
      </w:r>
      <w:r w:rsidRPr="00957B34">
        <w:rPr>
          <w:rFonts w:ascii="Verdana" w:eastAsia="Times New Roman" w:hAnsi="Verdana" w:cs="Times New Roman"/>
          <w:sz w:val="20"/>
          <w:szCs w:val="20"/>
          <w:lang w:val="es-ES" w:eastAsia="es-MX"/>
        </w:rPr>
        <w:tab/>
        <w:t>Mac Baren Golden Dice</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314041</w:t>
      </w:r>
      <w:r w:rsidRPr="00957B34">
        <w:rPr>
          <w:rFonts w:ascii="Verdana" w:eastAsia="Times New Roman" w:hAnsi="Verdana" w:cs="Times New Roman"/>
          <w:sz w:val="20"/>
          <w:szCs w:val="20"/>
          <w:lang w:val="es-ES" w:eastAsia="es-MX"/>
        </w:rPr>
        <w:tab/>
        <w:t>Mac Baren</w:t>
      </w:r>
    </w:p>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lastRenderedPageBreak/>
              <w:t xml:space="preserve">15. MARCAS Y </w:t>
            </w:r>
            <w:r w:rsidRPr="00957B34">
              <w:rPr>
                <w:rFonts w:ascii="Verdana" w:eastAsia="Times New Roman" w:hAnsi="Verdana" w:cs="Arial"/>
                <w:b/>
                <w:noProof/>
                <w:sz w:val="20"/>
                <w:szCs w:val="20"/>
                <w:lang w:val="es-ES" w:eastAsia="es-MX"/>
              </w:rPr>
              <w:t>SERVICIOS</w:t>
            </w:r>
            <w:r w:rsidRPr="00957B34">
              <w:rPr>
                <w:rFonts w:ascii="Verdana" w:eastAsia="Times New Roman" w:hAnsi="Verdana" w:cs="Arial"/>
                <w:b/>
                <w:sz w:val="20"/>
                <w:szCs w:val="20"/>
                <w:lang w:val="es-ES" w:eastAsia="es-MX"/>
              </w:rPr>
              <w:t xml:space="preserve"> INTERNACIONALES DE MEXICO, S.A. DE C.V., R.F.C. MSI9911022P9</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215001</w:t>
      </w:r>
      <w:r w:rsidRPr="00957B34">
        <w:rPr>
          <w:rFonts w:ascii="Verdana" w:eastAsia="Times New Roman" w:hAnsi="Verdana" w:cs="Times New Roman"/>
          <w:sz w:val="20"/>
          <w:szCs w:val="20"/>
          <w:lang w:val="es-ES" w:eastAsia="es-MX"/>
        </w:rPr>
        <w:tab/>
        <w:t>La Flor Dominicana</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16.SWEDISH MATCH DE MEXICO, S.A. DE C.V.,</w:t>
            </w:r>
            <w:r w:rsidRPr="00957B34">
              <w:rPr>
                <w:rFonts w:ascii="Verdana" w:eastAsia="Times New Roman" w:hAnsi="Verdana" w:cs="Arial"/>
                <w:b/>
                <w:noProof/>
                <w:sz w:val="20"/>
                <w:szCs w:val="20"/>
                <w:lang w:val="es-ES" w:eastAsia="es-MX"/>
              </w:rPr>
              <w:tab/>
              <w:t xml:space="preserve"> R.F.C. SMM980203QX8</w:t>
            </w:r>
          </w:p>
        </w:tc>
      </w:tr>
    </w:tbl>
    <w:p w:rsidR="00957B34" w:rsidRPr="00957B34" w:rsidRDefault="00957B34" w:rsidP="00957B34">
      <w:pPr>
        <w:spacing w:before="100" w:beforeAutospacing="1" w:after="100" w:afterAutospacing="1" w:line="234"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216001</w:t>
      </w:r>
      <w:r w:rsidRPr="00957B34">
        <w:rPr>
          <w:rFonts w:ascii="Verdana" w:eastAsia="Times New Roman" w:hAnsi="Verdana" w:cs="Times New Roman"/>
          <w:sz w:val="20"/>
          <w:szCs w:val="20"/>
          <w:lang w:val="es-ES" w:eastAsia="es-MX"/>
        </w:rPr>
        <w:tab/>
        <w:t>Montague Corona</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216002</w:t>
      </w:r>
      <w:r w:rsidRPr="00957B34">
        <w:rPr>
          <w:rFonts w:ascii="Verdana" w:eastAsia="Times New Roman" w:hAnsi="Verdana" w:cs="Times New Roman"/>
          <w:sz w:val="20"/>
          <w:szCs w:val="20"/>
          <w:lang w:val="es-ES" w:eastAsia="es-MX"/>
        </w:rPr>
        <w:tab/>
        <w:t>Montague Rosbusto</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216003</w:t>
      </w:r>
      <w:r w:rsidRPr="00957B34">
        <w:rPr>
          <w:rFonts w:ascii="Verdana" w:eastAsia="Times New Roman" w:hAnsi="Verdana" w:cs="Times New Roman"/>
          <w:sz w:val="20"/>
          <w:szCs w:val="20"/>
          <w:lang w:val="es-ES" w:eastAsia="es-MX"/>
        </w:rPr>
        <w:tab/>
        <w:t>Montague Claro Assort</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216004</w:t>
      </w:r>
      <w:r w:rsidRPr="00957B34">
        <w:rPr>
          <w:rFonts w:ascii="Verdana" w:eastAsia="Times New Roman" w:hAnsi="Verdana" w:cs="Times New Roman"/>
          <w:sz w:val="20"/>
          <w:szCs w:val="20"/>
          <w:lang w:val="es-ES" w:eastAsia="es-MX"/>
        </w:rPr>
        <w:tab/>
        <w:t>Corona de Lux</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216005</w:t>
      </w:r>
      <w:r w:rsidRPr="00957B34">
        <w:rPr>
          <w:rFonts w:ascii="Verdana" w:eastAsia="Times New Roman" w:hAnsi="Verdana" w:cs="Times New Roman"/>
          <w:sz w:val="20"/>
          <w:szCs w:val="20"/>
          <w:lang w:val="es-ES" w:eastAsia="es-MX"/>
        </w:rPr>
        <w:tab/>
        <w:t>Half Corona</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216006</w:t>
      </w:r>
      <w:r w:rsidRPr="00957B34">
        <w:rPr>
          <w:rFonts w:ascii="Verdana" w:eastAsia="Times New Roman" w:hAnsi="Verdana" w:cs="Times New Roman"/>
          <w:sz w:val="20"/>
          <w:szCs w:val="20"/>
          <w:lang w:val="es-ES" w:eastAsia="es-MX"/>
        </w:rPr>
        <w:tab/>
        <w:t>Long Panatella</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216007</w:t>
      </w:r>
      <w:r w:rsidRPr="00957B34">
        <w:rPr>
          <w:rFonts w:ascii="Verdana" w:eastAsia="Times New Roman" w:hAnsi="Verdana" w:cs="Times New Roman"/>
          <w:sz w:val="20"/>
          <w:szCs w:val="20"/>
          <w:lang w:val="es-ES" w:eastAsia="es-MX"/>
        </w:rPr>
        <w:tab/>
        <w:t>Java Cigarrillos</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216008</w:t>
      </w:r>
      <w:r w:rsidRPr="00957B34">
        <w:rPr>
          <w:rFonts w:ascii="Verdana" w:eastAsia="Times New Roman" w:hAnsi="Verdana" w:cs="Times New Roman"/>
          <w:sz w:val="20"/>
          <w:szCs w:val="20"/>
          <w:lang w:val="es-ES" w:eastAsia="es-MX"/>
        </w:rPr>
        <w:tab/>
        <w:t>Extra Señoritas</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216009</w:t>
      </w:r>
      <w:r w:rsidRPr="00957B34">
        <w:rPr>
          <w:rFonts w:ascii="Verdana" w:eastAsia="Times New Roman" w:hAnsi="Verdana" w:cs="Times New Roman"/>
          <w:sz w:val="20"/>
          <w:szCs w:val="20"/>
          <w:lang w:val="en-GB" w:eastAsia="es-MX"/>
        </w:rPr>
        <w:tab/>
        <w:t>Optimum B</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216010</w:t>
      </w:r>
      <w:r w:rsidRPr="00957B34">
        <w:rPr>
          <w:rFonts w:ascii="Verdana" w:eastAsia="Times New Roman" w:hAnsi="Verdana" w:cs="Times New Roman"/>
          <w:sz w:val="20"/>
          <w:szCs w:val="20"/>
          <w:lang w:val="en-GB" w:eastAsia="es-MX"/>
        </w:rPr>
        <w:tab/>
        <w:t>Optimum</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216011</w:t>
      </w:r>
      <w:r w:rsidRPr="00957B34">
        <w:rPr>
          <w:rFonts w:ascii="Verdana" w:eastAsia="Times New Roman" w:hAnsi="Verdana" w:cs="Times New Roman"/>
          <w:sz w:val="20"/>
          <w:szCs w:val="20"/>
          <w:lang w:val="en-GB" w:eastAsia="es-MX"/>
        </w:rPr>
        <w:tab/>
        <w:t>Palette Especial</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216012</w:t>
      </w:r>
      <w:r w:rsidRPr="00957B34">
        <w:rPr>
          <w:rFonts w:ascii="Verdana" w:eastAsia="Times New Roman" w:hAnsi="Verdana" w:cs="Times New Roman"/>
          <w:sz w:val="20"/>
          <w:szCs w:val="20"/>
          <w:lang w:val="en-GB" w:eastAsia="es-MX"/>
        </w:rPr>
        <w:tab/>
        <w:t>Palette Expecial Extra Mild</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216013</w:t>
      </w:r>
      <w:r w:rsidRPr="00957B34">
        <w:rPr>
          <w:rFonts w:ascii="Verdana" w:eastAsia="Times New Roman" w:hAnsi="Verdana" w:cs="Times New Roman"/>
          <w:sz w:val="20"/>
          <w:szCs w:val="20"/>
          <w:lang w:val="en-GB" w:eastAsia="es-MX"/>
        </w:rPr>
        <w:tab/>
        <w:t>Sigreto Natural</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216014</w:t>
      </w:r>
      <w:r w:rsidRPr="00957B34">
        <w:rPr>
          <w:rFonts w:ascii="Verdana" w:eastAsia="Times New Roman" w:hAnsi="Verdana" w:cs="Times New Roman"/>
          <w:sz w:val="20"/>
          <w:szCs w:val="20"/>
          <w:lang w:val="en-GB" w:eastAsia="es-MX"/>
        </w:rPr>
        <w:tab/>
        <w:t>Wee Eillem Estra Mild</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216015</w:t>
      </w:r>
      <w:r w:rsidRPr="00957B34">
        <w:rPr>
          <w:rFonts w:ascii="Verdana" w:eastAsia="Times New Roman" w:hAnsi="Verdana" w:cs="Times New Roman"/>
          <w:sz w:val="20"/>
          <w:szCs w:val="20"/>
          <w:lang w:val="en-GB" w:eastAsia="es-MX"/>
        </w:rPr>
        <w:tab/>
        <w:t>Wings No. 75</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216016</w:t>
      </w:r>
      <w:r w:rsidRPr="00957B34">
        <w:rPr>
          <w:rFonts w:ascii="Verdana" w:eastAsia="Times New Roman" w:hAnsi="Verdana" w:cs="Times New Roman"/>
          <w:sz w:val="20"/>
          <w:szCs w:val="20"/>
          <w:lang w:val="en-US" w:eastAsia="es-MX"/>
        </w:rPr>
        <w:tab/>
        <w:t xml:space="preserve">Wings </w:t>
      </w:r>
      <w:proofErr w:type="gramStart"/>
      <w:r w:rsidRPr="00957B34">
        <w:rPr>
          <w:rFonts w:ascii="Verdana" w:eastAsia="Times New Roman" w:hAnsi="Verdana" w:cs="Times New Roman"/>
          <w:sz w:val="20"/>
          <w:szCs w:val="20"/>
          <w:lang w:val="en-US" w:eastAsia="es-MX"/>
        </w:rPr>
        <w:t>Ak</w:t>
      </w:r>
      <w:proofErr w:type="gramEnd"/>
      <w:r w:rsidRPr="00957B34">
        <w:rPr>
          <w:rFonts w:ascii="Verdana" w:eastAsia="Times New Roman" w:hAnsi="Verdana" w:cs="Times New Roman"/>
          <w:sz w:val="20"/>
          <w:szCs w:val="20"/>
          <w:lang w:val="en-US" w:eastAsia="es-MX"/>
        </w:rPr>
        <w:t xml:space="preserve"> Blend No. 75</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216017</w:t>
      </w:r>
      <w:r w:rsidRPr="00957B34">
        <w:rPr>
          <w:rFonts w:ascii="Verdana" w:eastAsia="Times New Roman" w:hAnsi="Verdana" w:cs="Times New Roman"/>
          <w:sz w:val="20"/>
          <w:szCs w:val="20"/>
          <w:lang w:val="es-ES" w:eastAsia="es-MX"/>
        </w:rPr>
        <w:tab/>
        <w:t>Gran Corona B</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216018</w:t>
      </w:r>
      <w:r w:rsidRPr="00957B34">
        <w:rPr>
          <w:rFonts w:ascii="Verdana" w:eastAsia="Times New Roman" w:hAnsi="Verdana" w:cs="Times New Roman"/>
          <w:sz w:val="20"/>
          <w:szCs w:val="20"/>
          <w:lang w:val="es-ES" w:eastAsia="es-MX"/>
        </w:rPr>
        <w:tab/>
        <w:t>Gran Corona</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216019</w:t>
      </w:r>
      <w:r w:rsidRPr="00957B34">
        <w:rPr>
          <w:rFonts w:ascii="Verdana" w:eastAsia="Times New Roman" w:hAnsi="Verdana" w:cs="Times New Roman"/>
          <w:sz w:val="20"/>
          <w:szCs w:val="20"/>
          <w:lang w:val="en-GB" w:eastAsia="es-MX"/>
        </w:rPr>
        <w:tab/>
        <w:t>Mini Wilde</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216020</w:t>
      </w:r>
      <w:r w:rsidRPr="00957B34">
        <w:rPr>
          <w:rFonts w:ascii="Verdana" w:eastAsia="Times New Roman" w:hAnsi="Verdana" w:cs="Times New Roman"/>
          <w:sz w:val="20"/>
          <w:szCs w:val="20"/>
          <w:lang w:val="en-GB" w:eastAsia="es-MX"/>
        </w:rPr>
        <w:tab/>
        <w:t>Wilde Cigarrillos</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216021</w:t>
      </w:r>
      <w:r w:rsidRPr="00957B34">
        <w:rPr>
          <w:rFonts w:ascii="Verdana" w:eastAsia="Times New Roman" w:hAnsi="Verdana" w:cs="Times New Roman"/>
          <w:sz w:val="20"/>
          <w:szCs w:val="20"/>
          <w:lang w:val="en-GB" w:eastAsia="es-MX"/>
        </w:rPr>
        <w:tab/>
        <w:t>Wilde Havana</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316001</w:t>
      </w:r>
      <w:r w:rsidRPr="00957B34">
        <w:rPr>
          <w:rFonts w:ascii="Verdana" w:eastAsia="Times New Roman" w:hAnsi="Verdana" w:cs="Times New Roman"/>
          <w:sz w:val="20"/>
          <w:szCs w:val="20"/>
          <w:lang w:val="en-GB" w:eastAsia="es-MX"/>
        </w:rPr>
        <w:tab/>
        <w:t>Cherry</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316002</w:t>
      </w:r>
      <w:r w:rsidRPr="00957B34">
        <w:rPr>
          <w:rFonts w:ascii="Verdana" w:eastAsia="Times New Roman" w:hAnsi="Verdana" w:cs="Times New Roman"/>
          <w:sz w:val="20"/>
          <w:szCs w:val="20"/>
          <w:lang w:val="en-GB" w:eastAsia="es-MX"/>
        </w:rPr>
        <w:tab/>
        <w:t>Ultra Light</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316003</w:t>
      </w:r>
      <w:r w:rsidRPr="00957B34">
        <w:rPr>
          <w:rFonts w:ascii="Verdana" w:eastAsia="Times New Roman" w:hAnsi="Verdana" w:cs="Times New Roman"/>
          <w:sz w:val="20"/>
          <w:szCs w:val="20"/>
          <w:lang w:val="en-GB" w:eastAsia="es-MX"/>
        </w:rPr>
        <w:tab/>
        <w:t>Whiskey</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316004</w:t>
      </w:r>
      <w:r w:rsidRPr="00957B34">
        <w:rPr>
          <w:rFonts w:ascii="Verdana" w:eastAsia="Times New Roman" w:hAnsi="Verdana" w:cs="Times New Roman"/>
          <w:sz w:val="20"/>
          <w:szCs w:val="20"/>
          <w:lang w:val="en-GB" w:eastAsia="es-MX"/>
        </w:rPr>
        <w:tab/>
        <w:t>Paladin</w:t>
      </w:r>
    </w:p>
    <w:p w:rsidR="00957B34" w:rsidRPr="00957B34" w:rsidRDefault="00957B34" w:rsidP="00957B34">
      <w:pPr>
        <w:spacing w:before="100" w:beforeAutospacing="1" w:after="100" w:afterAutospacing="1" w:line="23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316005</w:t>
      </w:r>
      <w:r w:rsidRPr="00957B34">
        <w:rPr>
          <w:rFonts w:ascii="Verdana" w:eastAsia="Times New Roman" w:hAnsi="Verdana" w:cs="Times New Roman"/>
          <w:sz w:val="20"/>
          <w:szCs w:val="20"/>
          <w:lang w:val="en-GB" w:eastAsia="es-MX"/>
        </w:rPr>
        <w:tab/>
        <w:t>Half &amp; Half</w:t>
      </w:r>
    </w:p>
    <w:p w:rsidR="00957B34" w:rsidRPr="00957B34" w:rsidRDefault="00957B34" w:rsidP="00957B34">
      <w:pPr>
        <w:spacing w:before="100" w:beforeAutospacing="1" w:after="100" w:afterAutospacing="1" w:line="23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17.</w:t>
            </w:r>
            <w:r w:rsidRPr="00957B34">
              <w:rPr>
                <w:rFonts w:ascii="Verdana" w:eastAsia="Times New Roman" w:hAnsi="Verdana" w:cs="Arial"/>
                <w:b/>
                <w:noProof/>
                <w:sz w:val="20"/>
                <w:szCs w:val="20"/>
                <w:lang w:val="es-ES" w:eastAsia="es-MX"/>
              </w:rPr>
              <w:tab/>
              <w:t xml:space="preserve">VALLE MONOS TABACOS, S.A. DE C.V., </w:t>
            </w:r>
            <w:r w:rsidRPr="00957B34">
              <w:rPr>
                <w:rFonts w:ascii="Verdana" w:eastAsia="Times New Roman" w:hAnsi="Verdana" w:cs="Arial"/>
                <w:b/>
                <w:noProof/>
                <w:sz w:val="20"/>
                <w:szCs w:val="20"/>
                <w:lang w:val="es-ES" w:eastAsia="es-MX"/>
              </w:rPr>
              <w:tab/>
              <w:t>R.F.C. VMT990804ID8</w:t>
            </w:r>
          </w:p>
        </w:tc>
      </w:tr>
    </w:tbl>
    <w:p w:rsidR="00957B34" w:rsidRPr="00957B34" w:rsidRDefault="00957B34" w:rsidP="00957B34">
      <w:pPr>
        <w:spacing w:before="100" w:beforeAutospacing="1" w:after="100" w:afterAutospacing="1" w:line="235"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217001</w:t>
      </w:r>
      <w:r w:rsidRPr="00957B34">
        <w:rPr>
          <w:rFonts w:ascii="Verdana" w:eastAsia="Times New Roman" w:hAnsi="Verdana" w:cs="Times New Roman"/>
          <w:sz w:val="20"/>
          <w:szCs w:val="20"/>
          <w:lang w:val="es-ES" w:eastAsia="es-MX"/>
        </w:rPr>
        <w:tab/>
        <w:t>Don Pancho</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217002</w:t>
      </w:r>
      <w:r w:rsidRPr="00957B34">
        <w:rPr>
          <w:rFonts w:ascii="Verdana" w:eastAsia="Times New Roman" w:hAnsi="Verdana" w:cs="Times New Roman"/>
          <w:sz w:val="20"/>
          <w:szCs w:val="20"/>
          <w:lang w:val="es-ES" w:eastAsia="es-MX"/>
        </w:rPr>
        <w:tab/>
        <w:t>Mi viejo</w:t>
      </w:r>
    </w:p>
    <w:p w:rsidR="00957B34" w:rsidRPr="00957B34" w:rsidRDefault="00957B34" w:rsidP="00957B34">
      <w:pPr>
        <w:spacing w:before="100" w:beforeAutospacing="1" w:after="100" w:afterAutospacing="1" w:line="235"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18.</w:t>
            </w:r>
            <w:r w:rsidRPr="00957B34">
              <w:rPr>
                <w:rFonts w:ascii="Verdana" w:eastAsia="Times New Roman" w:hAnsi="Verdana" w:cs="Arial"/>
                <w:b/>
                <w:noProof/>
                <w:sz w:val="20"/>
                <w:szCs w:val="20"/>
                <w:lang w:val="es-ES" w:eastAsia="es-MX"/>
              </w:rPr>
              <w:tab/>
              <w:t>TABACOS ALFEREZ, S.A. DE C.V.,</w:t>
            </w:r>
            <w:r w:rsidRPr="00957B34">
              <w:rPr>
                <w:rFonts w:ascii="Verdana" w:eastAsia="Times New Roman" w:hAnsi="Verdana" w:cs="Arial"/>
                <w:b/>
                <w:noProof/>
                <w:sz w:val="20"/>
                <w:szCs w:val="20"/>
                <w:lang w:val="es-ES" w:eastAsia="es-MX"/>
              </w:rPr>
              <w:tab/>
              <w:t>R.F.C. TAL990928MT4</w:t>
            </w:r>
          </w:p>
        </w:tc>
      </w:tr>
    </w:tbl>
    <w:p w:rsidR="00957B34" w:rsidRPr="00957B34" w:rsidRDefault="00957B34" w:rsidP="00957B34">
      <w:pPr>
        <w:spacing w:before="100" w:beforeAutospacing="1" w:after="100" w:afterAutospacing="1" w:line="235"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218001</w:t>
      </w:r>
      <w:r w:rsidRPr="00957B34">
        <w:rPr>
          <w:rFonts w:ascii="Verdana" w:eastAsia="Times New Roman" w:hAnsi="Verdana" w:cs="Times New Roman"/>
          <w:sz w:val="20"/>
          <w:szCs w:val="20"/>
          <w:lang w:val="es-ES" w:eastAsia="es-MX"/>
        </w:rPr>
        <w:tab/>
        <w:t>Alferez</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19.</w:t>
            </w:r>
            <w:r w:rsidRPr="00957B34">
              <w:rPr>
                <w:rFonts w:ascii="Verdana" w:eastAsia="Times New Roman" w:hAnsi="Verdana" w:cs="Arial"/>
                <w:b/>
                <w:noProof/>
                <w:sz w:val="20"/>
                <w:szCs w:val="20"/>
                <w:lang w:val="es-ES" w:eastAsia="es-MX"/>
              </w:rPr>
              <w:tab/>
              <w:t>TABACALERA FLORFINA, S.A. DE C.V.,</w:t>
            </w:r>
            <w:r w:rsidRPr="00957B34">
              <w:rPr>
                <w:rFonts w:ascii="Verdana" w:eastAsia="Times New Roman" w:hAnsi="Verdana" w:cs="Arial"/>
                <w:b/>
                <w:noProof/>
                <w:sz w:val="20"/>
                <w:szCs w:val="20"/>
                <w:lang w:val="es-ES" w:eastAsia="es-MX"/>
              </w:rPr>
              <w:tab/>
              <w:t>R.F.C. FLO990517960</w:t>
            </w:r>
          </w:p>
        </w:tc>
      </w:tr>
    </w:tbl>
    <w:p w:rsidR="00957B34" w:rsidRPr="00957B34" w:rsidRDefault="00957B34" w:rsidP="00957B34">
      <w:pPr>
        <w:spacing w:before="100" w:beforeAutospacing="1" w:after="100" w:afterAutospacing="1" w:line="230"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before="100" w:beforeAutospacing="1" w:after="100" w:afterAutospacing="1" w:line="23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3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219001</w:t>
      </w:r>
      <w:r w:rsidRPr="00957B34">
        <w:rPr>
          <w:rFonts w:ascii="Verdana" w:eastAsia="Times New Roman" w:hAnsi="Verdana" w:cs="Times New Roman"/>
          <w:sz w:val="20"/>
          <w:szCs w:val="20"/>
          <w:lang w:val="es-ES" w:eastAsia="es-MX"/>
        </w:rPr>
        <w:tab/>
        <w:t>Don Camilo</w:t>
      </w:r>
    </w:p>
    <w:p w:rsidR="00957B34" w:rsidRPr="00957B34" w:rsidRDefault="00957B34" w:rsidP="00957B34">
      <w:pPr>
        <w:spacing w:before="100" w:beforeAutospacing="1" w:after="100" w:afterAutospacing="1" w:line="23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219002</w:t>
      </w:r>
      <w:r w:rsidRPr="00957B34">
        <w:rPr>
          <w:rFonts w:ascii="Verdana" w:eastAsia="Times New Roman" w:hAnsi="Verdana" w:cs="Times New Roman"/>
          <w:sz w:val="20"/>
          <w:szCs w:val="20"/>
          <w:lang w:val="es-ES" w:eastAsia="es-MX"/>
        </w:rPr>
        <w:tab/>
        <w:t>Camilitos</w:t>
      </w:r>
    </w:p>
    <w:p w:rsidR="00957B34" w:rsidRPr="00957B34" w:rsidRDefault="00957B34" w:rsidP="00957B34">
      <w:pPr>
        <w:spacing w:before="100" w:beforeAutospacing="1" w:after="100" w:afterAutospacing="1" w:line="23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20. IMPORTADORA Y EXPORTADORA DE PUROS Y TABACOS, S.A. DE C.V., R.F.C. IEP911010UG5</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220001</w:t>
      </w:r>
      <w:r w:rsidRPr="00957B34">
        <w:rPr>
          <w:rFonts w:ascii="Verdana" w:eastAsia="Times New Roman" w:hAnsi="Verdana" w:cs="Times New Roman"/>
          <w:sz w:val="20"/>
          <w:szCs w:val="20"/>
          <w:lang w:val="es-ES" w:eastAsia="es-MX"/>
        </w:rPr>
        <w:tab/>
        <w:t>Bolivar</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220002</w:t>
      </w:r>
      <w:r w:rsidRPr="00957B34">
        <w:rPr>
          <w:rFonts w:ascii="Verdana" w:eastAsia="Times New Roman" w:hAnsi="Verdana" w:cs="Times New Roman"/>
          <w:sz w:val="20"/>
          <w:szCs w:val="20"/>
          <w:lang w:val="es-ES" w:eastAsia="es-MX"/>
        </w:rPr>
        <w:tab/>
        <w:t>Cabañas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220003</w:t>
      </w:r>
      <w:r w:rsidRPr="00957B34">
        <w:rPr>
          <w:rFonts w:ascii="Verdana" w:eastAsia="Times New Roman" w:hAnsi="Verdana" w:cs="Times New Roman"/>
          <w:sz w:val="20"/>
          <w:szCs w:val="20"/>
          <w:lang w:val="es-ES" w:eastAsia="es-MX"/>
        </w:rPr>
        <w:tab/>
        <w:t>Cohiba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220004</w:t>
      </w:r>
      <w:r w:rsidRPr="00957B34">
        <w:rPr>
          <w:rFonts w:ascii="Verdana" w:eastAsia="Times New Roman" w:hAnsi="Verdana" w:cs="Times New Roman"/>
          <w:sz w:val="20"/>
          <w:szCs w:val="20"/>
          <w:lang w:val="es-ES" w:eastAsia="es-MX"/>
        </w:rPr>
        <w:tab/>
        <w:t>Cuaba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220005</w:t>
      </w:r>
      <w:r w:rsidRPr="00957B34">
        <w:rPr>
          <w:rFonts w:ascii="Verdana" w:eastAsia="Times New Roman" w:hAnsi="Verdana" w:cs="Times New Roman"/>
          <w:sz w:val="20"/>
          <w:szCs w:val="20"/>
          <w:lang w:val="es-ES" w:eastAsia="es-MX"/>
        </w:rPr>
        <w:tab/>
        <w:t>Diplomáticos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220006</w:t>
      </w:r>
      <w:r w:rsidRPr="00957B34">
        <w:rPr>
          <w:rFonts w:ascii="Verdana" w:eastAsia="Times New Roman" w:hAnsi="Verdana" w:cs="Times New Roman"/>
          <w:sz w:val="20"/>
          <w:szCs w:val="20"/>
          <w:lang w:val="es-ES" w:eastAsia="es-MX"/>
        </w:rPr>
        <w:tab/>
        <w:t>Flor de Cano</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220007</w:t>
      </w:r>
      <w:r w:rsidRPr="00957B34">
        <w:rPr>
          <w:rFonts w:ascii="Verdana" w:eastAsia="Times New Roman" w:hAnsi="Verdana" w:cs="Times New Roman"/>
          <w:sz w:val="20"/>
          <w:szCs w:val="20"/>
          <w:lang w:val="es-ES" w:eastAsia="es-MX"/>
        </w:rPr>
        <w:tab/>
        <w:t>Fonseca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220008</w:t>
      </w:r>
      <w:r w:rsidRPr="00957B34">
        <w:rPr>
          <w:rFonts w:ascii="Verdana" w:eastAsia="Times New Roman" w:hAnsi="Verdana" w:cs="Times New Roman"/>
          <w:sz w:val="20"/>
          <w:szCs w:val="20"/>
          <w:lang w:val="es-ES" w:eastAsia="es-MX"/>
        </w:rPr>
        <w:tab/>
        <w:t>H. Upmann</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220009</w:t>
      </w:r>
      <w:r w:rsidRPr="00957B34">
        <w:rPr>
          <w:rFonts w:ascii="Verdana" w:eastAsia="Times New Roman" w:hAnsi="Verdana" w:cs="Times New Roman"/>
          <w:sz w:val="20"/>
          <w:szCs w:val="20"/>
          <w:lang w:val="es-ES" w:eastAsia="es-MX"/>
        </w:rPr>
        <w:tab/>
        <w:t xml:space="preserve">Hoyo de </w:t>
      </w:r>
      <w:proofErr w:type="gramStart"/>
      <w:r w:rsidRPr="00957B34">
        <w:rPr>
          <w:rFonts w:ascii="Verdana" w:eastAsia="Times New Roman" w:hAnsi="Verdana" w:cs="Times New Roman"/>
          <w:sz w:val="20"/>
          <w:szCs w:val="20"/>
          <w:lang w:val="es-ES" w:eastAsia="es-MX"/>
        </w:rPr>
        <w:t>Monterrey</w:t>
      </w:r>
      <w:proofErr w:type="gramEnd"/>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220010</w:t>
      </w:r>
      <w:r w:rsidRPr="00957B34">
        <w:rPr>
          <w:rFonts w:ascii="Verdana" w:eastAsia="Times New Roman" w:hAnsi="Verdana" w:cs="Times New Roman"/>
          <w:sz w:val="20"/>
          <w:szCs w:val="20"/>
          <w:lang w:val="es-ES" w:eastAsia="es-MX"/>
        </w:rPr>
        <w:tab/>
        <w:t>Juan López</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220011</w:t>
      </w:r>
      <w:r w:rsidRPr="00957B34">
        <w:rPr>
          <w:rFonts w:ascii="Verdana" w:eastAsia="Times New Roman" w:hAnsi="Verdana" w:cs="Times New Roman"/>
          <w:sz w:val="20"/>
          <w:szCs w:val="20"/>
          <w:lang w:val="es-ES" w:eastAsia="es-MX"/>
        </w:rPr>
        <w:tab/>
        <w:t>José L. Piedra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220012</w:t>
      </w:r>
      <w:r w:rsidRPr="00957B34">
        <w:rPr>
          <w:rFonts w:ascii="Verdana" w:eastAsia="Times New Roman" w:hAnsi="Verdana" w:cs="Times New Roman"/>
          <w:sz w:val="20"/>
          <w:szCs w:val="20"/>
          <w:lang w:val="es-ES" w:eastAsia="es-MX"/>
        </w:rPr>
        <w:tab/>
        <w:t>La Gloria Cubana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220013</w:t>
      </w:r>
      <w:r w:rsidRPr="00957B34">
        <w:rPr>
          <w:rFonts w:ascii="Verdana" w:eastAsia="Times New Roman" w:hAnsi="Verdana" w:cs="Times New Roman"/>
          <w:sz w:val="20"/>
          <w:szCs w:val="20"/>
          <w:lang w:val="es-ES" w:eastAsia="es-MX"/>
        </w:rPr>
        <w:tab/>
        <w:t>Montecristo</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220014</w:t>
      </w:r>
      <w:r w:rsidRPr="00957B34">
        <w:rPr>
          <w:rFonts w:ascii="Verdana" w:eastAsia="Times New Roman" w:hAnsi="Verdana" w:cs="Times New Roman"/>
          <w:sz w:val="20"/>
          <w:szCs w:val="20"/>
          <w:lang w:val="es-ES" w:eastAsia="es-MX"/>
        </w:rPr>
        <w:tab/>
        <w:t>Partagas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220015</w:t>
      </w:r>
      <w:r w:rsidRPr="00957B34">
        <w:rPr>
          <w:rFonts w:ascii="Verdana" w:eastAsia="Times New Roman" w:hAnsi="Verdana" w:cs="Times New Roman"/>
          <w:sz w:val="20"/>
          <w:szCs w:val="20"/>
          <w:lang w:val="es-ES" w:eastAsia="es-MX"/>
        </w:rPr>
        <w:tab/>
        <w:t>Por Larrañaga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220016</w:t>
      </w:r>
      <w:r w:rsidRPr="00957B34">
        <w:rPr>
          <w:rFonts w:ascii="Verdana" w:eastAsia="Times New Roman" w:hAnsi="Verdana" w:cs="Times New Roman"/>
          <w:sz w:val="20"/>
          <w:szCs w:val="20"/>
          <w:lang w:val="es-ES" w:eastAsia="es-MX"/>
        </w:rPr>
        <w:tab/>
        <w:t>Punch</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220017</w:t>
      </w:r>
      <w:r w:rsidRPr="00957B34">
        <w:rPr>
          <w:rFonts w:ascii="Verdana" w:eastAsia="Times New Roman" w:hAnsi="Verdana" w:cs="Times New Roman"/>
          <w:sz w:val="20"/>
          <w:szCs w:val="20"/>
          <w:lang w:val="es-ES" w:eastAsia="es-MX"/>
        </w:rPr>
        <w:tab/>
        <w:t>Quai D’Orsay</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220018</w:t>
      </w:r>
      <w:r w:rsidRPr="00957B34">
        <w:rPr>
          <w:rFonts w:ascii="Verdana" w:eastAsia="Times New Roman" w:hAnsi="Verdana" w:cs="Times New Roman"/>
          <w:sz w:val="20"/>
          <w:szCs w:val="20"/>
          <w:lang w:val="es-ES" w:eastAsia="es-MX"/>
        </w:rPr>
        <w:tab/>
        <w:t>Quintero</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220019</w:t>
      </w:r>
      <w:r w:rsidRPr="00957B34">
        <w:rPr>
          <w:rFonts w:ascii="Verdana" w:eastAsia="Times New Roman" w:hAnsi="Verdana" w:cs="Times New Roman"/>
          <w:sz w:val="20"/>
          <w:szCs w:val="20"/>
          <w:lang w:val="es-ES" w:eastAsia="es-MX"/>
        </w:rPr>
        <w:tab/>
        <w:t>Rafael Gonzalez</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220020</w:t>
      </w:r>
      <w:r w:rsidRPr="00957B34">
        <w:rPr>
          <w:rFonts w:ascii="Verdana" w:eastAsia="Times New Roman" w:hAnsi="Verdana" w:cs="Times New Roman"/>
          <w:sz w:val="20"/>
          <w:szCs w:val="20"/>
          <w:lang w:val="es-ES" w:eastAsia="es-MX"/>
        </w:rPr>
        <w:tab/>
        <w:t>Ramon Allones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220021</w:t>
      </w:r>
      <w:r w:rsidRPr="00957B34">
        <w:rPr>
          <w:rFonts w:ascii="Verdana" w:eastAsia="Times New Roman" w:hAnsi="Verdana" w:cs="Times New Roman"/>
          <w:sz w:val="20"/>
          <w:szCs w:val="20"/>
          <w:lang w:val="es-ES" w:eastAsia="es-MX"/>
        </w:rPr>
        <w:tab/>
        <w:t>Rey del Mundo</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220022</w:t>
      </w:r>
      <w:r w:rsidRPr="00957B34">
        <w:rPr>
          <w:rFonts w:ascii="Verdana" w:eastAsia="Times New Roman" w:hAnsi="Verdana" w:cs="Times New Roman"/>
          <w:sz w:val="20"/>
          <w:szCs w:val="20"/>
          <w:lang w:val="es-ES" w:eastAsia="es-MX"/>
        </w:rPr>
        <w:tab/>
        <w:t>Romeo y Julieta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220023</w:t>
      </w:r>
      <w:r w:rsidRPr="00957B34">
        <w:rPr>
          <w:rFonts w:ascii="Verdana" w:eastAsia="Times New Roman" w:hAnsi="Verdana" w:cs="Times New Roman"/>
          <w:sz w:val="20"/>
          <w:szCs w:val="20"/>
          <w:lang w:val="es-ES" w:eastAsia="es-MX"/>
        </w:rPr>
        <w:tab/>
        <w:t>Sancho Panza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220024</w:t>
      </w:r>
      <w:r w:rsidRPr="00957B34">
        <w:rPr>
          <w:rFonts w:ascii="Verdana" w:eastAsia="Times New Roman" w:hAnsi="Verdana" w:cs="Times New Roman"/>
          <w:sz w:val="20"/>
          <w:szCs w:val="20"/>
          <w:lang w:val="es-ES" w:eastAsia="es-MX"/>
        </w:rPr>
        <w:tab/>
        <w:t>San Luis Rey</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220025</w:t>
      </w:r>
      <w:r w:rsidRPr="00957B34">
        <w:rPr>
          <w:rFonts w:ascii="Verdana" w:eastAsia="Times New Roman" w:hAnsi="Verdana" w:cs="Times New Roman"/>
          <w:sz w:val="20"/>
          <w:szCs w:val="20"/>
          <w:lang w:val="es-ES" w:eastAsia="es-MX"/>
        </w:rPr>
        <w:tab/>
        <w:t>San Cristóbal de la Habana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220026</w:t>
      </w:r>
      <w:r w:rsidRPr="00957B34">
        <w:rPr>
          <w:rFonts w:ascii="Verdana" w:eastAsia="Times New Roman" w:hAnsi="Verdana" w:cs="Times New Roman"/>
          <w:sz w:val="20"/>
          <w:szCs w:val="20"/>
          <w:lang w:val="es-ES" w:eastAsia="es-MX"/>
        </w:rPr>
        <w:tab/>
        <w:t>Trinidad</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220027</w:t>
      </w:r>
      <w:r w:rsidRPr="00957B34">
        <w:rPr>
          <w:rFonts w:ascii="Verdana" w:eastAsia="Times New Roman" w:hAnsi="Verdana" w:cs="Times New Roman"/>
          <w:sz w:val="20"/>
          <w:szCs w:val="20"/>
          <w:lang w:val="es-ES" w:eastAsia="es-MX"/>
        </w:rPr>
        <w:tab/>
        <w:t>Vegas Robaina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220028</w:t>
      </w:r>
      <w:r w:rsidRPr="00957B34">
        <w:rPr>
          <w:rFonts w:ascii="Verdana" w:eastAsia="Times New Roman" w:hAnsi="Verdana" w:cs="Times New Roman"/>
          <w:sz w:val="20"/>
          <w:szCs w:val="20"/>
          <w:lang w:val="es-ES" w:eastAsia="es-MX"/>
        </w:rPr>
        <w:tab/>
        <w:t>Vegueros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220029</w:t>
      </w:r>
      <w:r w:rsidRPr="00957B34">
        <w:rPr>
          <w:rFonts w:ascii="Verdana" w:eastAsia="Times New Roman" w:hAnsi="Verdana" w:cs="Times New Roman"/>
          <w:sz w:val="20"/>
          <w:szCs w:val="20"/>
          <w:lang w:val="es-ES" w:eastAsia="es-MX"/>
        </w:rPr>
        <w:tab/>
        <w:t>Minis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220030</w:t>
      </w:r>
      <w:r w:rsidRPr="00957B34">
        <w:rPr>
          <w:rFonts w:ascii="Verdana" w:eastAsia="Times New Roman" w:hAnsi="Verdana" w:cs="Times New Roman"/>
          <w:sz w:val="20"/>
          <w:szCs w:val="20"/>
          <w:lang w:val="es-ES" w:eastAsia="es-MX"/>
        </w:rPr>
        <w:tab/>
        <w:t>Club</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220031</w:t>
      </w:r>
      <w:r w:rsidRPr="00957B34">
        <w:rPr>
          <w:rFonts w:ascii="Verdana" w:eastAsia="Times New Roman" w:hAnsi="Verdana" w:cs="Times New Roman"/>
          <w:sz w:val="20"/>
          <w:szCs w:val="20"/>
          <w:lang w:val="es-ES" w:eastAsia="es-MX"/>
        </w:rPr>
        <w:tab/>
        <w:t>Puritos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220032</w:t>
      </w:r>
      <w:r w:rsidRPr="00957B34">
        <w:rPr>
          <w:rFonts w:ascii="Verdana" w:eastAsia="Times New Roman" w:hAnsi="Verdana" w:cs="Times New Roman"/>
          <w:sz w:val="20"/>
          <w:szCs w:val="20"/>
          <w:lang w:val="es-ES" w:eastAsia="es-MX"/>
        </w:rPr>
        <w:tab/>
        <w:t>Guantanamera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220033</w:t>
      </w:r>
      <w:r w:rsidRPr="00957B34">
        <w:rPr>
          <w:rFonts w:ascii="Verdana" w:eastAsia="Times New Roman" w:hAnsi="Verdana" w:cs="Times New Roman"/>
          <w:sz w:val="20"/>
          <w:szCs w:val="20"/>
          <w:lang w:val="es-ES" w:eastAsia="es-MX"/>
        </w:rPr>
        <w:tab/>
        <w:t>Belinda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220034</w:t>
      </w:r>
      <w:r w:rsidRPr="00957B34">
        <w:rPr>
          <w:rFonts w:ascii="Verdana" w:eastAsia="Times New Roman" w:hAnsi="Verdana" w:cs="Times New Roman"/>
          <w:sz w:val="20"/>
          <w:szCs w:val="20"/>
          <w:lang w:val="es-ES" w:eastAsia="es-MX"/>
        </w:rPr>
        <w:tab/>
        <w:t>Troya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220035</w:t>
      </w:r>
      <w:r w:rsidRPr="00957B34">
        <w:rPr>
          <w:rFonts w:ascii="Verdana" w:eastAsia="Times New Roman" w:hAnsi="Verdana" w:cs="Times New Roman"/>
          <w:sz w:val="20"/>
          <w:szCs w:val="20"/>
          <w:lang w:val="es-ES" w:eastAsia="es-MX"/>
        </w:rPr>
        <w:tab/>
        <w:t>Edmundo Dantes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220036</w:t>
      </w:r>
      <w:r w:rsidRPr="00957B34">
        <w:rPr>
          <w:rFonts w:ascii="Verdana" w:eastAsia="Times New Roman" w:hAnsi="Verdana" w:cs="Times New Roman"/>
          <w:sz w:val="20"/>
          <w:szCs w:val="20"/>
          <w:lang w:val="es-ES" w:eastAsia="es-MX"/>
        </w:rPr>
        <w:tab/>
        <w:t>Statos de Luxe</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220037</w:t>
      </w:r>
      <w:r w:rsidRPr="00957B34">
        <w:rPr>
          <w:rFonts w:ascii="Verdana" w:eastAsia="Times New Roman" w:hAnsi="Verdana" w:cs="Times New Roman"/>
          <w:sz w:val="20"/>
          <w:szCs w:val="20"/>
          <w:lang w:val="es-ES" w:eastAsia="es-MX"/>
        </w:rPr>
        <w:tab/>
        <w:t>Saint Luis Rey</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220038</w:t>
      </w:r>
      <w:r w:rsidRPr="00957B34">
        <w:rPr>
          <w:rFonts w:ascii="Verdana" w:eastAsia="Times New Roman" w:hAnsi="Verdana" w:cs="Times New Roman"/>
          <w:sz w:val="20"/>
          <w:szCs w:val="20"/>
          <w:lang w:val="es-ES" w:eastAsia="es-MX"/>
        </w:rPr>
        <w:tab/>
        <w:t>La Corona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220039</w:t>
      </w:r>
      <w:r w:rsidRPr="00957B34">
        <w:rPr>
          <w:rFonts w:ascii="Verdana" w:eastAsia="Times New Roman" w:hAnsi="Verdana" w:cs="Times New Roman"/>
          <w:sz w:val="20"/>
          <w:szCs w:val="20"/>
          <w:lang w:val="es-ES" w:eastAsia="es-MX"/>
        </w:rPr>
        <w:tab/>
        <w:t>Popular</w:t>
      </w:r>
    </w:p>
    <w:p w:rsidR="00957B34" w:rsidRPr="00957B34" w:rsidRDefault="00957B34" w:rsidP="00957B34">
      <w:pPr>
        <w:spacing w:before="100" w:beforeAutospacing="1" w:after="81" w:line="240" w:lineRule="auto"/>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after="8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21.</w:t>
            </w:r>
            <w:r w:rsidRPr="00957B34">
              <w:rPr>
                <w:rFonts w:ascii="Verdana" w:eastAsia="Times New Roman" w:hAnsi="Verdana" w:cs="Arial"/>
                <w:b/>
                <w:noProof/>
                <w:sz w:val="20"/>
                <w:szCs w:val="20"/>
                <w:lang w:val="es-ES" w:eastAsia="es-MX"/>
              </w:rPr>
              <w:tab/>
              <w:t>COMPAÑÍA LATINOAMERICANA DE COMERCIO, S.A. DE C.V.,</w:t>
            </w:r>
            <w:r w:rsidRPr="00957B34">
              <w:rPr>
                <w:rFonts w:ascii="Verdana" w:eastAsia="Times New Roman" w:hAnsi="Verdana" w:cs="Arial"/>
                <w:b/>
                <w:noProof/>
                <w:sz w:val="20"/>
                <w:szCs w:val="20"/>
                <w:lang w:val="es-ES" w:eastAsia="es-MX"/>
              </w:rPr>
              <w:tab/>
              <w:t>R.F.C. LCO950210RB5</w:t>
            </w:r>
          </w:p>
        </w:tc>
      </w:tr>
    </w:tbl>
    <w:p w:rsidR="00957B34" w:rsidRPr="00957B34" w:rsidRDefault="00957B34" w:rsidP="00957B34">
      <w:pPr>
        <w:spacing w:before="100" w:beforeAutospacing="1" w:after="81" w:line="240" w:lineRule="auto"/>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021001</w:t>
      </w:r>
      <w:r w:rsidRPr="00957B34">
        <w:rPr>
          <w:rFonts w:ascii="Verdana" w:eastAsia="Times New Roman" w:hAnsi="Verdana" w:cs="Times New Roman"/>
          <w:sz w:val="20"/>
          <w:szCs w:val="20"/>
          <w:lang w:val="es-ES" w:eastAsia="es-MX"/>
        </w:rPr>
        <w:tab/>
        <w:t>Popular</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021002</w:t>
      </w:r>
      <w:r w:rsidRPr="00957B34">
        <w:rPr>
          <w:rFonts w:ascii="Verdana" w:eastAsia="Times New Roman" w:hAnsi="Verdana" w:cs="Times New Roman"/>
          <w:sz w:val="20"/>
          <w:szCs w:val="20"/>
          <w:lang w:val="es-ES" w:eastAsia="es-MX"/>
        </w:rPr>
        <w:tab/>
        <w:t>Romeo y Julieta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021003</w:t>
      </w:r>
      <w:r w:rsidRPr="00957B34">
        <w:rPr>
          <w:rFonts w:ascii="Verdana" w:eastAsia="Times New Roman" w:hAnsi="Verdana" w:cs="Times New Roman"/>
          <w:sz w:val="20"/>
          <w:szCs w:val="20"/>
          <w:lang w:val="es-ES" w:eastAsia="es-MX"/>
        </w:rPr>
        <w:tab/>
        <w:t>Cohiba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021004</w:t>
      </w:r>
      <w:r w:rsidRPr="00957B34">
        <w:rPr>
          <w:rFonts w:ascii="Verdana" w:eastAsia="Times New Roman" w:hAnsi="Verdana" w:cs="Times New Roman"/>
          <w:sz w:val="20"/>
          <w:szCs w:val="20"/>
          <w:lang w:val="es-ES" w:eastAsia="es-MX"/>
        </w:rPr>
        <w:tab/>
        <w:t xml:space="preserve">Hoyo de </w:t>
      </w:r>
      <w:proofErr w:type="gramStart"/>
      <w:r w:rsidRPr="00957B34">
        <w:rPr>
          <w:rFonts w:ascii="Verdana" w:eastAsia="Times New Roman" w:hAnsi="Verdana" w:cs="Times New Roman"/>
          <w:sz w:val="20"/>
          <w:szCs w:val="20"/>
          <w:lang w:val="es-ES" w:eastAsia="es-MX"/>
        </w:rPr>
        <w:t>Monterrey</w:t>
      </w:r>
      <w:proofErr w:type="gramEnd"/>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121005</w:t>
      </w:r>
      <w:r w:rsidRPr="00957B34">
        <w:rPr>
          <w:rFonts w:ascii="Verdana" w:eastAsia="Times New Roman" w:hAnsi="Verdana" w:cs="Times New Roman"/>
          <w:sz w:val="20"/>
          <w:szCs w:val="20"/>
          <w:lang w:val="es-ES" w:eastAsia="es-MX"/>
        </w:rPr>
        <w:tab/>
        <w:t xml:space="preserve">Hoyo de </w:t>
      </w:r>
      <w:proofErr w:type="gramStart"/>
      <w:r w:rsidRPr="00957B34">
        <w:rPr>
          <w:rFonts w:ascii="Verdana" w:eastAsia="Times New Roman" w:hAnsi="Verdana" w:cs="Times New Roman"/>
          <w:sz w:val="20"/>
          <w:szCs w:val="20"/>
          <w:lang w:val="es-ES" w:eastAsia="es-MX"/>
        </w:rPr>
        <w:t>Monterrey</w:t>
      </w:r>
      <w:proofErr w:type="gramEnd"/>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121006</w:t>
      </w:r>
      <w:r w:rsidRPr="00957B34">
        <w:rPr>
          <w:rFonts w:ascii="Verdana" w:eastAsia="Times New Roman" w:hAnsi="Verdana" w:cs="Times New Roman"/>
          <w:sz w:val="20"/>
          <w:szCs w:val="20"/>
          <w:lang w:val="es-ES" w:eastAsia="es-MX"/>
        </w:rPr>
        <w:tab/>
        <w:t>Vegas de Robaina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221007</w:t>
      </w:r>
      <w:r w:rsidRPr="00957B34">
        <w:rPr>
          <w:rFonts w:ascii="Verdana" w:eastAsia="Times New Roman" w:hAnsi="Verdana" w:cs="Times New Roman"/>
          <w:sz w:val="20"/>
          <w:szCs w:val="20"/>
          <w:lang w:val="es-ES" w:eastAsia="es-MX"/>
        </w:rPr>
        <w:tab/>
        <w:t>Punch</w:t>
      </w:r>
    </w:p>
    <w:p w:rsidR="00957B34" w:rsidRPr="00957B34" w:rsidRDefault="00957B34" w:rsidP="00957B34">
      <w:pPr>
        <w:spacing w:before="100" w:beforeAutospacing="1" w:after="81" w:line="240" w:lineRule="auto"/>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lastRenderedPageBreak/>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after="8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22.</w:t>
            </w:r>
            <w:r w:rsidRPr="00957B34">
              <w:rPr>
                <w:rFonts w:ascii="Verdana" w:eastAsia="Times New Roman" w:hAnsi="Verdana" w:cs="Arial"/>
                <w:b/>
                <w:noProof/>
                <w:sz w:val="20"/>
                <w:szCs w:val="20"/>
                <w:lang w:val="es-ES" w:eastAsia="es-MX"/>
              </w:rPr>
              <w:tab/>
              <w:t>JOSE OLIVER MARTINEZ HERNANDEZ,</w:t>
            </w:r>
            <w:r w:rsidRPr="00957B34">
              <w:rPr>
                <w:rFonts w:ascii="Verdana" w:eastAsia="Times New Roman" w:hAnsi="Verdana" w:cs="Arial"/>
                <w:b/>
                <w:noProof/>
                <w:sz w:val="20"/>
                <w:szCs w:val="20"/>
                <w:lang w:val="es-ES" w:eastAsia="es-MX"/>
              </w:rPr>
              <w:tab/>
              <w:t>R.F.C. MAHO741022TI0</w:t>
            </w:r>
          </w:p>
        </w:tc>
      </w:tr>
    </w:tbl>
    <w:p w:rsidR="00957B34" w:rsidRPr="00957B34" w:rsidRDefault="00957B34" w:rsidP="00957B34">
      <w:pPr>
        <w:spacing w:before="100" w:beforeAutospacing="1" w:after="81" w:line="240" w:lineRule="auto"/>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222001</w:t>
      </w:r>
      <w:r w:rsidRPr="00957B34">
        <w:rPr>
          <w:rFonts w:ascii="Verdana" w:eastAsia="Times New Roman" w:hAnsi="Verdana" w:cs="Times New Roman"/>
          <w:sz w:val="20"/>
          <w:szCs w:val="20"/>
          <w:lang w:val="es-ES" w:eastAsia="es-MX"/>
        </w:rPr>
        <w:tab/>
        <w:t>No. 1</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222002</w:t>
      </w:r>
      <w:r w:rsidRPr="00957B34">
        <w:rPr>
          <w:rFonts w:ascii="Verdana" w:eastAsia="Times New Roman" w:hAnsi="Verdana" w:cs="Times New Roman"/>
          <w:sz w:val="20"/>
          <w:szCs w:val="20"/>
          <w:lang w:val="es-ES" w:eastAsia="es-MX"/>
        </w:rPr>
        <w:tab/>
        <w:t>No. 2</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222003</w:t>
      </w:r>
      <w:r w:rsidRPr="00957B34">
        <w:rPr>
          <w:rFonts w:ascii="Verdana" w:eastAsia="Times New Roman" w:hAnsi="Verdana" w:cs="Times New Roman"/>
          <w:sz w:val="20"/>
          <w:szCs w:val="20"/>
          <w:lang w:val="es-ES" w:eastAsia="es-MX"/>
        </w:rPr>
        <w:tab/>
        <w:t>No. 4</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222004</w:t>
      </w:r>
      <w:r w:rsidRPr="00957B34">
        <w:rPr>
          <w:rFonts w:ascii="Verdana" w:eastAsia="Times New Roman" w:hAnsi="Verdana" w:cs="Times New Roman"/>
          <w:sz w:val="20"/>
          <w:szCs w:val="20"/>
          <w:lang w:val="es-ES" w:eastAsia="es-MX"/>
        </w:rPr>
        <w:tab/>
        <w:t>No. 5</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222005</w:t>
      </w:r>
      <w:r w:rsidRPr="00957B34">
        <w:rPr>
          <w:rFonts w:ascii="Verdana" w:eastAsia="Times New Roman" w:hAnsi="Verdana" w:cs="Times New Roman"/>
          <w:sz w:val="20"/>
          <w:szCs w:val="20"/>
          <w:lang w:val="es-ES" w:eastAsia="es-MX"/>
        </w:rPr>
        <w:tab/>
        <w:t>No. 5 Extra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222006</w:t>
      </w:r>
      <w:r w:rsidRPr="00957B34">
        <w:rPr>
          <w:rFonts w:ascii="Verdana" w:eastAsia="Times New Roman" w:hAnsi="Verdana" w:cs="Times New Roman"/>
          <w:sz w:val="20"/>
          <w:szCs w:val="20"/>
          <w:lang w:val="es-ES" w:eastAsia="es-MX"/>
        </w:rPr>
        <w:tab/>
        <w:t>No. 6</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222007</w:t>
      </w:r>
      <w:r w:rsidRPr="00957B34">
        <w:rPr>
          <w:rFonts w:ascii="Verdana" w:eastAsia="Times New Roman" w:hAnsi="Verdana" w:cs="Times New Roman"/>
          <w:sz w:val="20"/>
          <w:szCs w:val="20"/>
          <w:lang w:val="es-ES" w:eastAsia="es-MX"/>
        </w:rPr>
        <w:tab/>
        <w:t>No. 6 Extra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222008</w:t>
      </w:r>
      <w:r w:rsidRPr="00957B34">
        <w:rPr>
          <w:rFonts w:ascii="Verdana" w:eastAsia="Times New Roman" w:hAnsi="Verdana" w:cs="Times New Roman"/>
          <w:sz w:val="20"/>
          <w:szCs w:val="20"/>
          <w:lang w:val="es-ES" w:eastAsia="es-MX"/>
        </w:rPr>
        <w:tab/>
        <w:t>No. 7</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222009</w:t>
      </w:r>
      <w:r w:rsidRPr="00957B34">
        <w:rPr>
          <w:rFonts w:ascii="Verdana" w:eastAsia="Times New Roman" w:hAnsi="Verdana" w:cs="Times New Roman"/>
          <w:sz w:val="20"/>
          <w:szCs w:val="20"/>
          <w:lang w:val="es-ES" w:eastAsia="es-MX"/>
        </w:rPr>
        <w:tab/>
        <w:t>No. 8</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222010</w:t>
      </w:r>
      <w:r w:rsidRPr="00957B34">
        <w:rPr>
          <w:rFonts w:ascii="Verdana" w:eastAsia="Times New Roman" w:hAnsi="Verdana" w:cs="Times New Roman"/>
          <w:sz w:val="20"/>
          <w:szCs w:val="20"/>
          <w:lang w:val="es-ES" w:eastAsia="es-MX"/>
        </w:rPr>
        <w:tab/>
        <w:t>No. 9</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222011</w:t>
      </w:r>
      <w:r w:rsidRPr="00957B34">
        <w:rPr>
          <w:rFonts w:ascii="Verdana" w:eastAsia="Times New Roman" w:hAnsi="Verdana" w:cs="Times New Roman"/>
          <w:sz w:val="20"/>
          <w:szCs w:val="20"/>
          <w:lang w:val="es-ES" w:eastAsia="es-MX"/>
        </w:rPr>
        <w:tab/>
        <w:t>Especial Cecilia</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222012</w:t>
      </w:r>
      <w:r w:rsidRPr="00957B34">
        <w:rPr>
          <w:rFonts w:ascii="Verdana" w:eastAsia="Times New Roman" w:hAnsi="Verdana" w:cs="Times New Roman"/>
          <w:sz w:val="20"/>
          <w:szCs w:val="20"/>
          <w:lang w:val="es-ES" w:eastAsia="es-MX"/>
        </w:rPr>
        <w:tab/>
        <w:t>U-18</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222013</w:t>
      </w:r>
      <w:r w:rsidRPr="00957B34">
        <w:rPr>
          <w:rFonts w:ascii="Verdana" w:eastAsia="Times New Roman" w:hAnsi="Verdana" w:cs="Times New Roman"/>
          <w:sz w:val="20"/>
          <w:szCs w:val="20"/>
          <w:lang w:val="es-ES" w:eastAsia="es-MX"/>
        </w:rPr>
        <w:tab/>
        <w:t>Cedros Especial</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222014</w:t>
      </w:r>
      <w:r w:rsidRPr="00957B34">
        <w:rPr>
          <w:rFonts w:ascii="Verdana" w:eastAsia="Times New Roman" w:hAnsi="Verdana" w:cs="Times New Roman"/>
          <w:sz w:val="20"/>
          <w:szCs w:val="20"/>
          <w:lang w:val="es-ES" w:eastAsia="es-MX"/>
        </w:rPr>
        <w:tab/>
        <w:t>Panetelas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222015</w:t>
      </w:r>
      <w:r w:rsidRPr="00957B34">
        <w:rPr>
          <w:rFonts w:ascii="Verdana" w:eastAsia="Times New Roman" w:hAnsi="Verdana" w:cs="Times New Roman"/>
          <w:sz w:val="20"/>
          <w:szCs w:val="20"/>
          <w:lang w:val="es-ES" w:eastAsia="es-MX"/>
        </w:rPr>
        <w:tab/>
        <w:t>Enanos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222016</w:t>
      </w:r>
      <w:r w:rsidRPr="00957B34">
        <w:rPr>
          <w:rFonts w:ascii="Verdana" w:eastAsia="Times New Roman" w:hAnsi="Verdana" w:cs="Times New Roman"/>
          <w:sz w:val="20"/>
          <w:szCs w:val="20"/>
          <w:lang w:val="es-ES" w:eastAsia="es-MX"/>
        </w:rPr>
        <w:tab/>
        <w:t>Veracruzanos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222017</w:t>
      </w:r>
      <w:r w:rsidRPr="00957B34">
        <w:rPr>
          <w:rFonts w:ascii="Verdana" w:eastAsia="Times New Roman" w:hAnsi="Verdana" w:cs="Times New Roman"/>
          <w:sz w:val="20"/>
          <w:szCs w:val="20"/>
          <w:lang w:val="es-ES" w:eastAsia="es-MX"/>
        </w:rPr>
        <w:tab/>
        <w:t>Cazadores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222018</w:t>
      </w:r>
      <w:r w:rsidRPr="00957B34">
        <w:rPr>
          <w:rFonts w:ascii="Verdana" w:eastAsia="Times New Roman" w:hAnsi="Verdana" w:cs="Times New Roman"/>
          <w:sz w:val="20"/>
          <w:szCs w:val="20"/>
          <w:lang w:val="es-ES" w:eastAsia="es-MX"/>
        </w:rPr>
        <w:tab/>
        <w:t>Intermedios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222019</w:t>
      </w:r>
      <w:r w:rsidRPr="00957B34">
        <w:rPr>
          <w:rFonts w:ascii="Verdana" w:eastAsia="Times New Roman" w:hAnsi="Verdana" w:cs="Times New Roman"/>
          <w:sz w:val="20"/>
          <w:szCs w:val="20"/>
          <w:lang w:val="es-ES" w:eastAsia="es-MX"/>
        </w:rPr>
        <w:tab/>
        <w:t>Petit</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222020</w:t>
      </w:r>
      <w:r w:rsidRPr="00957B34">
        <w:rPr>
          <w:rFonts w:ascii="Verdana" w:eastAsia="Times New Roman" w:hAnsi="Verdana" w:cs="Times New Roman"/>
          <w:sz w:val="20"/>
          <w:szCs w:val="20"/>
          <w:lang w:val="es-ES" w:eastAsia="es-MX"/>
        </w:rPr>
        <w:tab/>
        <w:t>Zets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222021</w:t>
      </w:r>
      <w:r w:rsidRPr="00957B34">
        <w:rPr>
          <w:rFonts w:ascii="Verdana" w:eastAsia="Times New Roman" w:hAnsi="Verdana" w:cs="Times New Roman"/>
          <w:sz w:val="20"/>
          <w:szCs w:val="20"/>
          <w:lang w:val="es-ES" w:eastAsia="es-MX"/>
        </w:rPr>
        <w:tab/>
        <w:t>Cedros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222022</w:t>
      </w:r>
      <w:r w:rsidRPr="00957B34">
        <w:rPr>
          <w:rFonts w:ascii="Verdana" w:eastAsia="Times New Roman" w:hAnsi="Verdana" w:cs="Times New Roman"/>
          <w:sz w:val="20"/>
          <w:szCs w:val="20"/>
          <w:lang w:val="es-ES" w:eastAsia="es-MX"/>
        </w:rPr>
        <w:tab/>
        <w:t>Presidentes</w:t>
      </w:r>
    </w:p>
    <w:p w:rsidR="00957B34" w:rsidRPr="00957B34" w:rsidRDefault="00957B34" w:rsidP="00957B34">
      <w:pPr>
        <w:spacing w:after="8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222023</w:t>
      </w:r>
      <w:r w:rsidRPr="00957B34">
        <w:rPr>
          <w:rFonts w:ascii="Verdana" w:eastAsia="Times New Roman" w:hAnsi="Verdana" w:cs="Times New Roman"/>
          <w:sz w:val="20"/>
          <w:szCs w:val="20"/>
          <w:lang w:val="es-ES" w:eastAsia="es-MX"/>
        </w:rPr>
        <w:tab/>
        <w:t>Cedritos</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5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23.</w:t>
            </w:r>
            <w:r w:rsidRPr="00957B34">
              <w:rPr>
                <w:rFonts w:ascii="Verdana" w:eastAsia="Times New Roman" w:hAnsi="Verdana" w:cs="Arial"/>
                <w:b/>
                <w:noProof/>
                <w:sz w:val="20"/>
                <w:szCs w:val="20"/>
                <w:lang w:val="es-ES" w:eastAsia="es-MX"/>
              </w:rPr>
              <w:tab/>
              <w:t>MARIO ACOSTA AGUILAR,</w:t>
            </w:r>
            <w:r w:rsidRPr="00957B34">
              <w:rPr>
                <w:rFonts w:ascii="Verdana" w:eastAsia="Times New Roman" w:hAnsi="Verdana" w:cs="Arial"/>
                <w:b/>
                <w:noProof/>
                <w:sz w:val="20"/>
                <w:szCs w:val="20"/>
                <w:lang w:val="es-ES" w:eastAsia="es-MX"/>
              </w:rPr>
              <w:tab/>
              <w:t>R.F.C. AOAM650517368</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223001</w:t>
      </w:r>
      <w:r w:rsidRPr="00957B34">
        <w:rPr>
          <w:rFonts w:ascii="Verdana" w:eastAsia="Times New Roman" w:hAnsi="Verdana" w:cs="Times New Roman"/>
          <w:sz w:val="20"/>
          <w:szCs w:val="20"/>
          <w:lang w:val="es-ES" w:eastAsia="es-MX"/>
        </w:rPr>
        <w:tab/>
        <w:t>Hoja Selecta Espléndidos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223002</w:t>
      </w:r>
      <w:r w:rsidRPr="00957B34">
        <w:rPr>
          <w:rFonts w:ascii="Verdana" w:eastAsia="Times New Roman" w:hAnsi="Verdana" w:cs="Times New Roman"/>
          <w:sz w:val="20"/>
          <w:szCs w:val="20"/>
          <w:lang w:val="es-ES" w:eastAsia="es-MX"/>
        </w:rPr>
        <w:tab/>
        <w:t>Hoja Selecta #2</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223003</w:t>
      </w:r>
      <w:r w:rsidRPr="00957B34">
        <w:rPr>
          <w:rFonts w:ascii="Verdana" w:eastAsia="Times New Roman" w:hAnsi="Verdana" w:cs="Times New Roman"/>
          <w:sz w:val="20"/>
          <w:szCs w:val="20"/>
          <w:lang w:val="es-ES" w:eastAsia="es-MX"/>
        </w:rPr>
        <w:tab/>
        <w:t>Hoja Selecta #4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223004</w:t>
      </w:r>
      <w:r w:rsidRPr="00957B34">
        <w:rPr>
          <w:rFonts w:ascii="Verdana" w:eastAsia="Times New Roman" w:hAnsi="Verdana" w:cs="Times New Roman"/>
          <w:sz w:val="20"/>
          <w:szCs w:val="20"/>
          <w:lang w:val="es-ES" w:eastAsia="es-MX"/>
        </w:rPr>
        <w:tab/>
        <w:t>Hoja Selecta Churchill</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223005</w:t>
      </w:r>
      <w:r w:rsidRPr="00957B34">
        <w:rPr>
          <w:rFonts w:ascii="Verdana" w:eastAsia="Times New Roman" w:hAnsi="Verdana" w:cs="Times New Roman"/>
          <w:sz w:val="20"/>
          <w:szCs w:val="20"/>
          <w:lang w:val="es-ES" w:eastAsia="es-MX"/>
        </w:rPr>
        <w:tab/>
        <w:t>Hoja Selecta Robustos</w:t>
      </w:r>
    </w:p>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5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24.</w:t>
            </w:r>
            <w:r w:rsidRPr="00957B34">
              <w:rPr>
                <w:rFonts w:ascii="Verdana" w:eastAsia="Times New Roman" w:hAnsi="Verdana" w:cs="Arial"/>
                <w:b/>
                <w:sz w:val="20"/>
                <w:szCs w:val="20"/>
                <w:lang w:val="es-ES" w:eastAsia="es-MX"/>
              </w:rPr>
              <w:tab/>
              <w:t xml:space="preserve">MARIA DE LA LUZ DE LA </w:t>
            </w:r>
            <w:r w:rsidRPr="00957B34">
              <w:rPr>
                <w:rFonts w:ascii="Verdana" w:eastAsia="Times New Roman" w:hAnsi="Verdana" w:cs="Arial"/>
                <w:b/>
                <w:noProof/>
                <w:sz w:val="20"/>
                <w:szCs w:val="20"/>
                <w:lang w:val="es-ES" w:eastAsia="es-MX"/>
              </w:rPr>
              <w:t>FUENTE</w:t>
            </w:r>
            <w:r w:rsidRPr="00957B34">
              <w:rPr>
                <w:rFonts w:ascii="Verdana" w:eastAsia="Times New Roman" w:hAnsi="Verdana" w:cs="Arial"/>
                <w:b/>
                <w:sz w:val="20"/>
                <w:szCs w:val="20"/>
                <w:lang w:val="es-ES" w:eastAsia="es-MX"/>
              </w:rPr>
              <w:t xml:space="preserve"> CAMARENA,</w:t>
            </w:r>
            <w:r w:rsidRPr="00957B34">
              <w:rPr>
                <w:rFonts w:ascii="Verdana" w:eastAsia="Times New Roman" w:hAnsi="Verdana" w:cs="Arial"/>
                <w:b/>
                <w:sz w:val="20"/>
                <w:szCs w:val="20"/>
                <w:lang w:val="es-ES" w:eastAsia="es-MX"/>
              </w:rPr>
              <w:tab/>
              <w:t>R.F.C. FUCL6504129L2</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224001</w:t>
      </w:r>
      <w:r w:rsidRPr="00957B34">
        <w:rPr>
          <w:rFonts w:ascii="Verdana" w:eastAsia="Times New Roman" w:hAnsi="Verdana" w:cs="Times New Roman"/>
          <w:sz w:val="20"/>
          <w:szCs w:val="20"/>
          <w:lang w:val="es-ES" w:eastAsia="es-MX"/>
        </w:rPr>
        <w:tab/>
        <w:t>Mazo Tripa Larga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224002</w:t>
      </w:r>
      <w:r w:rsidRPr="00957B34">
        <w:rPr>
          <w:rFonts w:ascii="Verdana" w:eastAsia="Times New Roman" w:hAnsi="Verdana" w:cs="Times New Roman"/>
          <w:sz w:val="20"/>
          <w:szCs w:val="20"/>
          <w:lang w:val="es-ES" w:eastAsia="es-MX"/>
        </w:rPr>
        <w:tab/>
        <w:t>Mazo Tripa Corta</w:t>
      </w:r>
    </w:p>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n-US" w:eastAsia="es-MX"/>
              </w:rPr>
              <w:t>25.</w:t>
            </w:r>
            <w:r w:rsidRPr="00957B34">
              <w:rPr>
                <w:rFonts w:ascii="Verdana" w:eastAsia="Times New Roman" w:hAnsi="Verdana" w:cs="Arial"/>
                <w:b/>
                <w:noProof/>
                <w:sz w:val="20"/>
                <w:szCs w:val="20"/>
                <w:lang w:val="en-US" w:eastAsia="es-MX"/>
              </w:rPr>
              <w:tab/>
              <w:t>JACKSONVILLE U.S. BRANDS, S.A. DE C.V.,</w:t>
            </w:r>
            <w:r w:rsidRPr="00957B34">
              <w:rPr>
                <w:rFonts w:ascii="Verdana" w:eastAsia="Times New Roman" w:hAnsi="Verdana" w:cs="Arial"/>
                <w:b/>
                <w:noProof/>
                <w:sz w:val="20"/>
                <w:szCs w:val="20"/>
                <w:lang w:val="en-US" w:eastAsia="es-MX"/>
              </w:rPr>
              <w:tab/>
              <w:t>R.F.C. JUB020910K11</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n-U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025001</w:t>
      </w:r>
      <w:r w:rsidRPr="00957B34">
        <w:rPr>
          <w:rFonts w:ascii="Verdana" w:eastAsia="Times New Roman" w:hAnsi="Verdana" w:cs="Times New Roman"/>
          <w:sz w:val="20"/>
          <w:szCs w:val="20"/>
          <w:lang w:val="es-ES" w:eastAsia="es-MX"/>
        </w:rPr>
        <w:tab/>
        <w:t>Posse 85 m.m.</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025002</w:t>
      </w:r>
      <w:r w:rsidRPr="00957B34">
        <w:rPr>
          <w:rFonts w:ascii="Verdana" w:eastAsia="Times New Roman" w:hAnsi="Verdana" w:cs="Times New Roman"/>
          <w:sz w:val="20"/>
          <w:szCs w:val="20"/>
          <w:lang w:val="en-GB" w:eastAsia="es-MX"/>
        </w:rPr>
        <w:tab/>
        <w:t>Posse 100 m.m.</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025003</w:t>
      </w:r>
      <w:r w:rsidRPr="00957B34">
        <w:rPr>
          <w:rFonts w:ascii="Verdana" w:eastAsia="Times New Roman" w:hAnsi="Verdana" w:cs="Times New Roman"/>
          <w:sz w:val="20"/>
          <w:szCs w:val="20"/>
          <w:lang w:val="en-GB" w:eastAsia="es-MX"/>
        </w:rPr>
        <w:tab/>
        <w:t xml:space="preserve">Posse Lights </w:t>
      </w:r>
      <w:proofErr w:type="gramStart"/>
      <w:r w:rsidRPr="00957B34">
        <w:rPr>
          <w:rFonts w:ascii="Verdana" w:eastAsia="Times New Roman" w:hAnsi="Verdana" w:cs="Times New Roman"/>
          <w:sz w:val="20"/>
          <w:szCs w:val="20"/>
          <w:lang w:val="en-GB" w:eastAsia="es-MX"/>
        </w:rPr>
        <w:t>85 m.m</w:t>
      </w:r>
      <w:proofErr w:type="gramEnd"/>
      <w:r w:rsidRPr="00957B34">
        <w:rPr>
          <w:rFonts w:ascii="Verdana" w:eastAsia="Times New Roman" w:hAnsi="Verdana" w:cs="Times New Roman"/>
          <w:sz w:val="20"/>
          <w:szCs w:val="20"/>
          <w:lang w:val="en-GB" w:eastAsia="es-MX"/>
        </w:rPr>
        <w:t>.</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025004</w:t>
      </w:r>
      <w:r w:rsidRPr="00957B34">
        <w:rPr>
          <w:rFonts w:ascii="Verdana" w:eastAsia="Times New Roman" w:hAnsi="Verdana" w:cs="Times New Roman"/>
          <w:sz w:val="20"/>
          <w:szCs w:val="20"/>
          <w:lang w:val="es-ES" w:eastAsia="es-MX"/>
        </w:rPr>
        <w:tab/>
        <w:t>Posse Lights 100 m.m</w:t>
      </w:r>
    </w:p>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26.</w:t>
            </w:r>
            <w:r w:rsidRPr="00957B34">
              <w:rPr>
                <w:rFonts w:ascii="Verdana" w:eastAsia="Times New Roman" w:hAnsi="Verdana" w:cs="Arial"/>
                <w:b/>
                <w:noProof/>
                <w:sz w:val="20"/>
                <w:szCs w:val="20"/>
                <w:lang w:val="es-ES" w:eastAsia="es-MX"/>
              </w:rPr>
              <w:tab/>
              <w:t>CIROOMEX, S.A. DE C.V.,</w:t>
            </w:r>
            <w:r w:rsidRPr="00957B34">
              <w:rPr>
                <w:rFonts w:ascii="Verdana" w:eastAsia="Times New Roman" w:hAnsi="Verdana" w:cs="Arial"/>
                <w:b/>
                <w:noProof/>
                <w:sz w:val="20"/>
                <w:szCs w:val="20"/>
                <w:lang w:val="es-ES" w:eastAsia="es-MX"/>
              </w:rPr>
              <w:tab/>
              <w:t>R.F.C. CIR030513K84</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026020</w:t>
      </w:r>
      <w:r w:rsidRPr="00957B34">
        <w:rPr>
          <w:rFonts w:ascii="Verdana" w:eastAsia="Times New Roman" w:hAnsi="Verdana" w:cs="Times New Roman"/>
          <w:sz w:val="20"/>
          <w:szCs w:val="20"/>
          <w:lang w:val="es-ES" w:eastAsia="es-MX"/>
        </w:rPr>
        <w:tab/>
        <w:t>RGD Cajetilla Dura con Filtro</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026021</w:t>
      </w:r>
      <w:r w:rsidRPr="00957B34">
        <w:rPr>
          <w:rFonts w:ascii="Verdana" w:eastAsia="Times New Roman" w:hAnsi="Verdana" w:cs="Times New Roman"/>
          <w:sz w:val="20"/>
          <w:szCs w:val="20"/>
          <w:lang w:val="es-ES" w:eastAsia="es-MX"/>
        </w:rPr>
        <w:tab/>
        <w:t>RGD Cajetilla Dura con Filtro Mentolados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026022</w:t>
      </w:r>
      <w:r w:rsidRPr="00957B34">
        <w:rPr>
          <w:rFonts w:ascii="Verdana" w:eastAsia="Times New Roman" w:hAnsi="Verdana" w:cs="Times New Roman"/>
          <w:sz w:val="20"/>
          <w:szCs w:val="20"/>
          <w:lang w:val="es-ES" w:eastAsia="es-MX"/>
        </w:rPr>
        <w:tab/>
        <w:t>RGD Cajetilla Dura con Filtro Café</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026023</w:t>
      </w:r>
      <w:r w:rsidRPr="00957B34">
        <w:rPr>
          <w:rFonts w:ascii="Verdana" w:eastAsia="Times New Roman" w:hAnsi="Verdana" w:cs="Times New Roman"/>
          <w:sz w:val="20"/>
          <w:szCs w:val="20"/>
          <w:lang w:val="es-ES" w:eastAsia="es-MX"/>
        </w:rPr>
        <w:tab/>
        <w:t>RGD Cajetilla Dura con Filtro Lights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026024</w:t>
      </w:r>
      <w:r w:rsidRPr="00957B34">
        <w:rPr>
          <w:rFonts w:ascii="Verdana" w:eastAsia="Times New Roman" w:hAnsi="Verdana" w:cs="Times New Roman"/>
          <w:sz w:val="20"/>
          <w:szCs w:val="20"/>
          <w:lang w:val="es-ES" w:eastAsia="es-MX"/>
        </w:rPr>
        <w:tab/>
        <w:t>RGD Cajetilla Suave con Filtro</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026025</w:t>
      </w:r>
      <w:r w:rsidRPr="00957B34">
        <w:rPr>
          <w:rFonts w:ascii="Verdana" w:eastAsia="Times New Roman" w:hAnsi="Verdana" w:cs="Times New Roman"/>
          <w:sz w:val="20"/>
          <w:szCs w:val="20"/>
          <w:lang w:val="es-ES" w:eastAsia="es-MX"/>
        </w:rPr>
        <w:tab/>
        <w:t>RGD Cajetilla Suave con Filtro Mentolados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026026</w:t>
      </w:r>
      <w:r w:rsidRPr="00957B34">
        <w:rPr>
          <w:rFonts w:ascii="Verdana" w:eastAsia="Times New Roman" w:hAnsi="Verdana" w:cs="Times New Roman"/>
          <w:sz w:val="20"/>
          <w:szCs w:val="20"/>
          <w:lang w:val="es-ES" w:eastAsia="es-MX"/>
        </w:rPr>
        <w:tab/>
        <w:t>RGD Cajetilla Suave con Filtro Café</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026027</w:t>
      </w:r>
      <w:r w:rsidRPr="00957B34">
        <w:rPr>
          <w:rFonts w:ascii="Verdana" w:eastAsia="Times New Roman" w:hAnsi="Verdana" w:cs="Times New Roman"/>
          <w:sz w:val="20"/>
          <w:szCs w:val="20"/>
          <w:lang w:val="es-ES" w:eastAsia="es-MX"/>
        </w:rPr>
        <w:tab/>
        <w:t>RGD Cajetilla Suave con Filtro Lights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026028</w:t>
      </w:r>
      <w:r w:rsidRPr="00957B34">
        <w:rPr>
          <w:rFonts w:ascii="Verdana" w:eastAsia="Times New Roman" w:hAnsi="Verdana" w:cs="Times New Roman"/>
          <w:sz w:val="20"/>
          <w:szCs w:val="20"/>
          <w:lang w:val="en-GB" w:eastAsia="es-MX"/>
        </w:rPr>
        <w:tab/>
        <w:t>Hanhello Full Flavor</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026029</w:t>
      </w:r>
      <w:r w:rsidRPr="00957B34">
        <w:rPr>
          <w:rFonts w:ascii="Verdana" w:eastAsia="Times New Roman" w:hAnsi="Verdana" w:cs="Times New Roman"/>
          <w:sz w:val="20"/>
          <w:szCs w:val="20"/>
          <w:lang w:val="en-GB" w:eastAsia="es-MX"/>
        </w:rPr>
        <w:tab/>
        <w:t>Hanhello Light</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026030</w:t>
      </w:r>
      <w:r w:rsidRPr="00957B34">
        <w:rPr>
          <w:rFonts w:ascii="Verdana" w:eastAsia="Times New Roman" w:hAnsi="Verdana" w:cs="Times New Roman"/>
          <w:sz w:val="20"/>
          <w:szCs w:val="20"/>
          <w:lang w:eastAsia="es-MX"/>
        </w:rPr>
        <w:tab/>
        <w:t>Hanhello Natural</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026031</w:t>
      </w:r>
      <w:r w:rsidRPr="00957B34">
        <w:rPr>
          <w:rFonts w:ascii="Verdana" w:eastAsia="Times New Roman" w:hAnsi="Verdana" w:cs="Times New Roman"/>
          <w:sz w:val="20"/>
          <w:szCs w:val="20"/>
          <w:lang w:eastAsia="es-MX"/>
        </w:rPr>
        <w:tab/>
        <w:t>Hanhello Tequila</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026032</w:t>
      </w:r>
      <w:r w:rsidRPr="00957B34">
        <w:rPr>
          <w:rFonts w:ascii="Verdana" w:eastAsia="Times New Roman" w:hAnsi="Verdana" w:cs="Times New Roman"/>
          <w:sz w:val="20"/>
          <w:szCs w:val="20"/>
          <w:lang w:eastAsia="es-MX"/>
        </w:rPr>
        <w:tab/>
        <w:t>Hanhello Limon</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026033</w:t>
      </w:r>
      <w:r w:rsidRPr="00957B34">
        <w:rPr>
          <w:rFonts w:ascii="Verdana" w:eastAsia="Times New Roman" w:hAnsi="Verdana" w:cs="Times New Roman"/>
          <w:sz w:val="20"/>
          <w:szCs w:val="20"/>
          <w:lang w:val="en-GB" w:eastAsia="es-MX"/>
        </w:rPr>
        <w:tab/>
        <w:t>Fire Dance Caf</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026034</w:t>
      </w:r>
      <w:r w:rsidRPr="00957B34">
        <w:rPr>
          <w:rFonts w:ascii="Verdana" w:eastAsia="Times New Roman" w:hAnsi="Verdana" w:cs="Times New Roman"/>
          <w:sz w:val="20"/>
          <w:szCs w:val="20"/>
          <w:lang w:val="en-GB" w:eastAsia="es-MX"/>
        </w:rPr>
        <w:tab/>
        <w:t>Fire Dance Full Flavor</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026035</w:t>
      </w:r>
      <w:r w:rsidRPr="00957B34">
        <w:rPr>
          <w:rFonts w:ascii="Verdana" w:eastAsia="Times New Roman" w:hAnsi="Verdana" w:cs="Times New Roman"/>
          <w:sz w:val="20"/>
          <w:szCs w:val="20"/>
          <w:lang w:val="es-ES" w:eastAsia="es-MX"/>
        </w:rPr>
        <w:tab/>
        <w:t>Fire Dance Light</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026036</w:t>
      </w:r>
      <w:r w:rsidRPr="00957B34">
        <w:rPr>
          <w:rFonts w:ascii="Verdana" w:eastAsia="Times New Roman" w:hAnsi="Verdana" w:cs="Times New Roman"/>
          <w:sz w:val="20"/>
          <w:szCs w:val="20"/>
          <w:lang w:val="es-ES" w:eastAsia="es-MX"/>
        </w:rPr>
        <w:tab/>
        <w:t>RGD Cajetilla Dura con Filtro Vainilla</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026037</w:t>
      </w:r>
      <w:r w:rsidRPr="00957B34">
        <w:rPr>
          <w:rFonts w:ascii="Verdana" w:eastAsia="Times New Roman" w:hAnsi="Verdana" w:cs="Times New Roman"/>
          <w:sz w:val="20"/>
          <w:szCs w:val="20"/>
          <w:lang w:val="es-ES" w:eastAsia="es-MX"/>
        </w:rPr>
        <w:tab/>
        <w:t>RGD Cajetilla Dura con Filtro Chocolate</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026038</w:t>
      </w:r>
      <w:r w:rsidRPr="00957B34">
        <w:rPr>
          <w:rFonts w:ascii="Verdana" w:eastAsia="Times New Roman" w:hAnsi="Verdana" w:cs="Times New Roman"/>
          <w:sz w:val="20"/>
          <w:szCs w:val="20"/>
          <w:lang w:val="es-ES" w:eastAsia="es-MX"/>
        </w:rPr>
        <w:tab/>
        <w:t>RGD Cajetilla Dura con Filtro Tequila</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026039</w:t>
      </w:r>
      <w:r w:rsidRPr="00957B34">
        <w:rPr>
          <w:rFonts w:ascii="Verdana" w:eastAsia="Times New Roman" w:hAnsi="Verdana" w:cs="Times New Roman"/>
          <w:sz w:val="20"/>
          <w:szCs w:val="20"/>
          <w:lang w:val="es-ES" w:eastAsia="es-MX"/>
        </w:rPr>
        <w:tab/>
        <w:t>PANORAMA Cajetilla Dura con Filtro Menthol</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27.</w:t>
            </w:r>
            <w:r w:rsidRPr="00957B34">
              <w:rPr>
                <w:rFonts w:ascii="Verdana" w:eastAsia="Times New Roman" w:hAnsi="Verdana" w:cs="Arial"/>
                <w:b/>
                <w:noProof/>
                <w:sz w:val="20"/>
                <w:szCs w:val="20"/>
                <w:lang w:val="es-ES" w:eastAsia="es-MX"/>
              </w:rPr>
              <w:tab/>
              <w:t>FABRICA DE PUROS VALLE DE MEXICO, S.A. DE C.V.,</w:t>
            </w:r>
            <w:r w:rsidRPr="00957B34">
              <w:rPr>
                <w:rFonts w:ascii="Verdana" w:eastAsia="Times New Roman" w:hAnsi="Verdana" w:cs="Arial"/>
                <w:b/>
                <w:noProof/>
                <w:sz w:val="20"/>
                <w:szCs w:val="20"/>
                <w:lang w:val="es-ES" w:eastAsia="es-MX"/>
              </w:rPr>
              <w:tab/>
              <w:t>R.F.C. FPV710707NQ9</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227001</w:t>
      </w:r>
      <w:r w:rsidRPr="00957B34">
        <w:rPr>
          <w:rFonts w:ascii="Verdana" w:eastAsia="Times New Roman" w:hAnsi="Verdana" w:cs="Times New Roman"/>
          <w:sz w:val="20"/>
          <w:szCs w:val="20"/>
          <w:lang w:val="es-ES" w:eastAsia="es-MX"/>
        </w:rPr>
        <w:tab/>
        <w:t>Puros 20mm x 20cm No. 1</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227002</w:t>
      </w:r>
      <w:r w:rsidRPr="00957B34">
        <w:rPr>
          <w:rFonts w:ascii="Verdana" w:eastAsia="Times New Roman" w:hAnsi="Verdana" w:cs="Times New Roman"/>
          <w:sz w:val="20"/>
          <w:szCs w:val="20"/>
          <w:lang w:val="es-ES" w:eastAsia="es-MX"/>
        </w:rPr>
        <w:tab/>
        <w:t>Puros 16mm x 16cm No. 2</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227003</w:t>
      </w:r>
      <w:r w:rsidRPr="00957B34">
        <w:rPr>
          <w:rFonts w:ascii="Verdana" w:eastAsia="Times New Roman" w:hAnsi="Verdana" w:cs="Times New Roman"/>
          <w:sz w:val="20"/>
          <w:szCs w:val="20"/>
          <w:lang w:val="es-ES" w:eastAsia="es-MX"/>
        </w:rPr>
        <w:tab/>
        <w:t>Puros 16mm x 15cm No. 3 Mayor</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227004</w:t>
      </w:r>
      <w:r w:rsidRPr="00957B34">
        <w:rPr>
          <w:rFonts w:ascii="Verdana" w:eastAsia="Times New Roman" w:hAnsi="Verdana" w:cs="Times New Roman"/>
          <w:sz w:val="20"/>
          <w:szCs w:val="20"/>
          <w:lang w:val="es-ES" w:eastAsia="es-MX"/>
        </w:rPr>
        <w:tab/>
        <w:t>Puros 13mm x 13cm No. 4 Minor</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227005</w:t>
      </w:r>
      <w:r w:rsidRPr="00957B34">
        <w:rPr>
          <w:rFonts w:ascii="Verdana" w:eastAsia="Times New Roman" w:hAnsi="Verdana" w:cs="Times New Roman"/>
          <w:sz w:val="20"/>
          <w:szCs w:val="20"/>
          <w:lang w:val="es-ES" w:eastAsia="es-MX"/>
        </w:rPr>
        <w:tab/>
        <w:t>Puros 20mm x 12cm Sublimes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227006</w:t>
      </w:r>
      <w:r w:rsidRPr="00957B34">
        <w:rPr>
          <w:rFonts w:ascii="Verdana" w:eastAsia="Times New Roman" w:hAnsi="Verdana" w:cs="Times New Roman"/>
          <w:sz w:val="20"/>
          <w:szCs w:val="20"/>
          <w:lang w:val="es-ES" w:eastAsia="es-MX"/>
        </w:rPr>
        <w:tab/>
        <w:t>Puros 16mm x 15cm Picadura</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227007</w:t>
      </w:r>
      <w:r w:rsidRPr="00957B34">
        <w:rPr>
          <w:rFonts w:ascii="Verdana" w:eastAsia="Times New Roman" w:hAnsi="Verdana" w:cs="Times New Roman"/>
          <w:sz w:val="20"/>
          <w:szCs w:val="20"/>
          <w:lang w:val="es-ES" w:eastAsia="es-MX"/>
        </w:rPr>
        <w:tab/>
        <w:t>Puros 13mm x 13cm Picadura</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227008</w:t>
      </w:r>
      <w:r w:rsidRPr="00957B34">
        <w:rPr>
          <w:rFonts w:ascii="Verdana" w:eastAsia="Times New Roman" w:hAnsi="Verdana" w:cs="Times New Roman"/>
          <w:sz w:val="20"/>
          <w:szCs w:val="20"/>
          <w:lang w:val="es-ES" w:eastAsia="es-MX"/>
        </w:rPr>
        <w:tab/>
        <w:t>Puros 9mm x 10cm Hoja Entera</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227009</w:t>
      </w:r>
      <w:r w:rsidRPr="00957B34">
        <w:rPr>
          <w:rFonts w:ascii="Verdana" w:eastAsia="Times New Roman" w:hAnsi="Verdana" w:cs="Times New Roman"/>
          <w:sz w:val="20"/>
          <w:szCs w:val="20"/>
          <w:lang w:val="es-ES" w:eastAsia="es-MX"/>
        </w:rPr>
        <w:tab/>
        <w:t>Puros Tamaño Creme Picadura</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28.</w:t>
            </w:r>
            <w:r w:rsidRPr="00957B34">
              <w:rPr>
                <w:rFonts w:ascii="Verdana" w:eastAsia="Times New Roman" w:hAnsi="Verdana" w:cs="Arial"/>
                <w:b/>
                <w:sz w:val="20"/>
                <w:szCs w:val="20"/>
                <w:lang w:val="es-ES" w:eastAsia="es-MX"/>
              </w:rPr>
              <w:tab/>
              <w:t>FRAGANCIAS ESENCIALES, S.A. DE C.V.,</w:t>
            </w:r>
            <w:r w:rsidRPr="00957B34">
              <w:rPr>
                <w:rFonts w:ascii="Verdana" w:eastAsia="Times New Roman" w:hAnsi="Verdana" w:cs="Arial"/>
                <w:b/>
                <w:sz w:val="20"/>
                <w:szCs w:val="20"/>
                <w:lang w:val="es-ES" w:eastAsia="es-MX"/>
              </w:rPr>
              <w:tab/>
              <w:t>R.F.C. FES970704EY7</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028001</w:t>
      </w:r>
      <w:r w:rsidRPr="00957B34">
        <w:rPr>
          <w:rFonts w:ascii="Verdana" w:eastAsia="Times New Roman" w:hAnsi="Verdana" w:cs="Times New Roman"/>
          <w:sz w:val="20"/>
          <w:szCs w:val="20"/>
          <w:lang w:val="es-ES" w:eastAsia="es-MX"/>
        </w:rPr>
        <w:tab/>
        <w:t>U.S.A. Golden</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29. CORPORACION DE EXPORTACIONES MEXICANAS, S.A. DE C.V.,</w:t>
            </w:r>
            <w:r w:rsidRPr="00957B34">
              <w:rPr>
                <w:rFonts w:ascii="Verdana" w:eastAsia="Times New Roman" w:hAnsi="Verdana" w:cs="Arial"/>
                <w:b/>
                <w:sz w:val="20"/>
                <w:szCs w:val="20"/>
                <w:lang w:val="es-ES" w:eastAsia="es-MX"/>
              </w:rPr>
              <w:tab/>
              <w:t>R.F.C. CEM880523SC0</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029001</w:t>
      </w:r>
      <w:r w:rsidRPr="00957B34">
        <w:rPr>
          <w:rFonts w:ascii="Verdana" w:eastAsia="Times New Roman" w:hAnsi="Verdana" w:cs="Times New Roman"/>
          <w:sz w:val="20"/>
          <w:szCs w:val="20"/>
          <w:lang w:val="es-ES" w:eastAsia="es-MX"/>
        </w:rPr>
        <w:tab/>
        <w:t>Rojo´s</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30.</w:t>
            </w:r>
            <w:r w:rsidRPr="00957B34">
              <w:rPr>
                <w:rFonts w:ascii="Verdana" w:eastAsia="Times New Roman" w:hAnsi="Verdana" w:cs="Arial"/>
                <w:b/>
                <w:sz w:val="20"/>
                <w:szCs w:val="20"/>
                <w:lang w:val="es-ES" w:eastAsia="es-MX"/>
              </w:rPr>
              <w:tab/>
              <w:t>COMERCIAL TARGA, S.A. DE C.V.,</w:t>
            </w:r>
            <w:r w:rsidRPr="00957B34">
              <w:rPr>
                <w:rFonts w:ascii="Verdana" w:eastAsia="Times New Roman" w:hAnsi="Verdana" w:cs="Arial"/>
                <w:b/>
                <w:sz w:val="20"/>
                <w:szCs w:val="20"/>
                <w:lang w:val="es-ES" w:eastAsia="es-MX"/>
              </w:rPr>
              <w:tab/>
              <w:t>R.F.C. CTA840526JN5</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t>CLAVES</w:t>
      </w:r>
      <w:r w:rsidRPr="00957B34">
        <w:rPr>
          <w:rFonts w:ascii="Verdana" w:eastAsia="Times New Roman" w:hAnsi="Verdana" w:cs="Times New Roman"/>
          <w:b/>
          <w:sz w:val="20"/>
          <w:szCs w:val="20"/>
          <w:lang w:val="en-US" w:eastAsia="es-MX"/>
        </w:rPr>
        <w:tab/>
      </w:r>
      <w:r w:rsidRPr="00957B34">
        <w:rPr>
          <w:rFonts w:ascii="Verdana" w:eastAsia="Times New Roman" w:hAnsi="Verdana" w:cs="Times New Roman"/>
          <w:b/>
          <w:sz w:val="20"/>
          <w:szCs w:val="20"/>
          <w:lang w:val="en-GB" w:eastAsia="es-MX"/>
        </w:rPr>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030001</w:t>
      </w:r>
      <w:r w:rsidRPr="00957B34">
        <w:rPr>
          <w:rFonts w:ascii="Verdana" w:eastAsia="Times New Roman" w:hAnsi="Verdana" w:cs="Times New Roman"/>
          <w:sz w:val="20"/>
          <w:szCs w:val="20"/>
          <w:lang w:val="en-GB" w:eastAsia="es-MX"/>
        </w:rPr>
        <w:tab/>
        <w:t>New York New York Lights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030002</w:t>
      </w:r>
      <w:r w:rsidRPr="00957B34">
        <w:rPr>
          <w:rFonts w:ascii="Verdana" w:eastAsia="Times New Roman" w:hAnsi="Verdana" w:cs="Times New Roman"/>
          <w:sz w:val="20"/>
          <w:szCs w:val="20"/>
          <w:lang w:val="en-GB" w:eastAsia="es-MX"/>
        </w:rPr>
        <w:tab/>
        <w:t>New York New York Full Flavor</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GB"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98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5976"/>
              </w:tabs>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32. PHILIP MORRIS MÉXICO PRODUCTOS Y SERVICIOS, S. DE R.L. DE C.V., R.F.C. SCP970811NE6</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032004</w:t>
      </w:r>
      <w:r w:rsidRPr="00957B34">
        <w:rPr>
          <w:rFonts w:ascii="Verdana" w:eastAsia="Times New Roman" w:hAnsi="Verdana" w:cs="Times New Roman"/>
          <w:sz w:val="20"/>
          <w:szCs w:val="20"/>
          <w:lang w:val="es-ES" w:eastAsia="es-MX"/>
        </w:rPr>
        <w:tab/>
        <w:t>Dalton 20´s F.T. y C.S.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032005</w:t>
      </w:r>
      <w:r w:rsidRPr="00957B34">
        <w:rPr>
          <w:rFonts w:ascii="Verdana" w:eastAsia="Times New Roman" w:hAnsi="Verdana" w:cs="Times New Roman"/>
          <w:sz w:val="20"/>
          <w:szCs w:val="20"/>
          <w:lang w:val="en-GB" w:eastAsia="es-MX"/>
        </w:rPr>
        <w:tab/>
        <w:t>Baronet Regular F.T.</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032011</w:t>
      </w:r>
      <w:r w:rsidRPr="00957B34">
        <w:rPr>
          <w:rFonts w:ascii="Verdana" w:eastAsia="Times New Roman" w:hAnsi="Verdana" w:cs="Times New Roman"/>
          <w:sz w:val="20"/>
          <w:szCs w:val="20"/>
          <w:lang w:val="en-GB" w:eastAsia="es-MX"/>
        </w:rPr>
        <w:tab/>
        <w:t>Marlboro 14’s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032017</w:t>
      </w:r>
      <w:r w:rsidRPr="00957B34">
        <w:rPr>
          <w:rFonts w:ascii="Verdana" w:eastAsia="Times New Roman" w:hAnsi="Verdana" w:cs="Times New Roman"/>
          <w:sz w:val="20"/>
          <w:szCs w:val="20"/>
          <w:lang w:eastAsia="es-MX"/>
        </w:rPr>
        <w:tab/>
        <w:t>Marlboro F.T.</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032018</w:t>
      </w:r>
      <w:r w:rsidRPr="00957B34">
        <w:rPr>
          <w:rFonts w:ascii="Verdana" w:eastAsia="Times New Roman" w:hAnsi="Verdana" w:cs="Times New Roman"/>
          <w:sz w:val="20"/>
          <w:szCs w:val="20"/>
          <w:lang w:eastAsia="es-MX"/>
        </w:rPr>
        <w:tab/>
        <w:t>Marlboro E.L.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032024</w:t>
      </w:r>
      <w:r w:rsidRPr="00957B34">
        <w:rPr>
          <w:rFonts w:ascii="Verdana" w:eastAsia="Times New Roman" w:hAnsi="Verdana" w:cs="Times New Roman"/>
          <w:sz w:val="20"/>
          <w:szCs w:val="20"/>
          <w:lang w:val="en-GB" w:eastAsia="es-MX"/>
        </w:rPr>
        <w:tab/>
        <w:t>Benson &amp; Hedges 100 M.M. Ment.</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032026</w:t>
      </w:r>
      <w:r w:rsidRPr="00957B34">
        <w:rPr>
          <w:rFonts w:ascii="Verdana" w:eastAsia="Times New Roman" w:hAnsi="Verdana" w:cs="Times New Roman"/>
          <w:sz w:val="20"/>
          <w:szCs w:val="20"/>
          <w:lang w:eastAsia="es-MX"/>
        </w:rPr>
        <w:tab/>
        <w:t>Faros c/filtro</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032030</w:t>
      </w:r>
      <w:r w:rsidRPr="00957B34">
        <w:rPr>
          <w:rFonts w:ascii="Verdana" w:eastAsia="Times New Roman" w:hAnsi="Verdana" w:cs="Times New Roman"/>
          <w:sz w:val="20"/>
          <w:szCs w:val="20"/>
          <w:lang w:eastAsia="es-MX"/>
        </w:rPr>
        <w:tab/>
        <w:t>Benson &amp; Hedges Menthol 100 F.T.</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032031</w:t>
      </w:r>
      <w:r w:rsidRPr="00957B34">
        <w:rPr>
          <w:rFonts w:ascii="Verdana" w:eastAsia="Times New Roman" w:hAnsi="Verdana" w:cs="Times New Roman"/>
          <w:sz w:val="20"/>
          <w:szCs w:val="20"/>
          <w:lang w:val="es-ES" w:eastAsia="es-MX"/>
        </w:rPr>
        <w:tab/>
        <w:t>Marlboro 100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032032</w:t>
      </w:r>
      <w:r w:rsidRPr="00957B34">
        <w:rPr>
          <w:rFonts w:ascii="Verdana" w:eastAsia="Times New Roman" w:hAnsi="Verdana" w:cs="Times New Roman"/>
          <w:sz w:val="20"/>
          <w:szCs w:val="20"/>
          <w:lang w:val="es-ES" w:eastAsia="es-MX"/>
        </w:rPr>
        <w:tab/>
        <w:t>Marlboro Fresh</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032054</w:t>
      </w:r>
      <w:r w:rsidRPr="00957B34">
        <w:rPr>
          <w:rFonts w:ascii="Verdana" w:eastAsia="Times New Roman" w:hAnsi="Verdana" w:cs="Times New Roman"/>
          <w:sz w:val="20"/>
          <w:szCs w:val="20"/>
          <w:lang w:val="es-ES" w:eastAsia="es-MX"/>
        </w:rPr>
        <w:tab/>
        <w:t>Nevada</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032057</w:t>
      </w:r>
      <w:r w:rsidRPr="00957B34">
        <w:rPr>
          <w:rFonts w:ascii="Verdana" w:eastAsia="Times New Roman" w:hAnsi="Verdana" w:cs="Times New Roman"/>
          <w:sz w:val="20"/>
          <w:szCs w:val="20"/>
          <w:lang w:val="es-ES" w:eastAsia="es-MX"/>
        </w:rPr>
        <w:tab/>
        <w:t>Rodeo Caj. Suave</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032063</w:t>
      </w:r>
      <w:r w:rsidRPr="00957B34">
        <w:rPr>
          <w:rFonts w:ascii="Verdana" w:eastAsia="Times New Roman" w:hAnsi="Verdana" w:cs="Times New Roman"/>
          <w:sz w:val="20"/>
          <w:szCs w:val="20"/>
          <w:lang w:val="es-ES" w:eastAsia="es-MX"/>
        </w:rPr>
        <w:tab/>
        <w:t>Lider Regular F.T.</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032068</w:t>
      </w:r>
      <w:r w:rsidRPr="00957B34">
        <w:rPr>
          <w:rFonts w:ascii="Verdana" w:eastAsia="Times New Roman" w:hAnsi="Verdana" w:cs="Times New Roman"/>
          <w:sz w:val="20"/>
          <w:szCs w:val="20"/>
          <w:lang w:val="es-ES" w:eastAsia="es-MX"/>
        </w:rPr>
        <w:tab/>
        <w:t>Fortuna F.F.</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032069</w:t>
      </w:r>
      <w:r w:rsidRPr="00957B34">
        <w:rPr>
          <w:rFonts w:ascii="Verdana" w:eastAsia="Times New Roman" w:hAnsi="Verdana" w:cs="Times New Roman"/>
          <w:sz w:val="20"/>
          <w:szCs w:val="20"/>
          <w:lang w:val="es-ES" w:eastAsia="es-MX"/>
        </w:rPr>
        <w:tab/>
        <w:t>Fortuna Lights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032070</w:t>
      </w:r>
      <w:r w:rsidRPr="00957B34">
        <w:rPr>
          <w:rFonts w:ascii="Verdana" w:eastAsia="Times New Roman" w:hAnsi="Verdana" w:cs="Times New Roman"/>
          <w:sz w:val="20"/>
          <w:szCs w:val="20"/>
          <w:lang w:val="es-ES" w:eastAsia="es-MX"/>
        </w:rPr>
        <w:tab/>
        <w:t>Derby con Filtro</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032071</w:t>
      </w:r>
      <w:r w:rsidRPr="00957B34">
        <w:rPr>
          <w:rFonts w:ascii="Verdana" w:eastAsia="Times New Roman" w:hAnsi="Verdana" w:cs="Times New Roman"/>
          <w:sz w:val="20"/>
          <w:szCs w:val="20"/>
          <w:lang w:val="es-ES" w:eastAsia="es-MX"/>
        </w:rPr>
        <w:tab/>
        <w:t>Bali C.S.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032072</w:t>
      </w:r>
      <w:r w:rsidRPr="00957B34">
        <w:rPr>
          <w:rFonts w:ascii="Verdana" w:eastAsia="Times New Roman" w:hAnsi="Verdana" w:cs="Times New Roman"/>
          <w:sz w:val="20"/>
          <w:szCs w:val="20"/>
          <w:lang w:eastAsia="es-MX"/>
        </w:rPr>
        <w:tab/>
        <w:t>Marlboro Mild Flavor F.T.</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032089</w:t>
      </w:r>
      <w:r w:rsidRPr="00957B34">
        <w:rPr>
          <w:rFonts w:ascii="Verdana" w:eastAsia="Times New Roman" w:hAnsi="Verdana" w:cs="Times New Roman"/>
          <w:sz w:val="20"/>
          <w:szCs w:val="20"/>
          <w:lang w:val="es-ES" w:eastAsia="es-MX"/>
        </w:rPr>
        <w:tab/>
        <w:t>Elegantes c/ filtro</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032090</w:t>
      </w:r>
      <w:r w:rsidRPr="00957B34">
        <w:rPr>
          <w:rFonts w:ascii="Verdana" w:eastAsia="Times New Roman" w:hAnsi="Verdana" w:cs="Times New Roman"/>
          <w:sz w:val="20"/>
          <w:szCs w:val="20"/>
          <w:lang w:val="es-ES" w:eastAsia="es-MX"/>
        </w:rPr>
        <w:tab/>
        <w:t>Elegantes c/ filtro Menthol</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032102</w:t>
      </w:r>
      <w:r w:rsidRPr="00957B34">
        <w:rPr>
          <w:rFonts w:ascii="Verdana" w:eastAsia="Times New Roman" w:hAnsi="Verdana" w:cs="Times New Roman"/>
          <w:sz w:val="20"/>
          <w:szCs w:val="20"/>
          <w:lang w:val="en-GB" w:eastAsia="es-MX"/>
        </w:rPr>
        <w:tab/>
        <w:t>Caporal c/Filtro 20´s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032103</w:t>
      </w:r>
      <w:r w:rsidRPr="00957B34">
        <w:rPr>
          <w:rFonts w:ascii="Verdana" w:eastAsia="Times New Roman" w:hAnsi="Verdana" w:cs="Times New Roman"/>
          <w:sz w:val="20"/>
          <w:szCs w:val="20"/>
          <w:lang w:val="en-GB" w:eastAsia="es-MX"/>
        </w:rPr>
        <w:tab/>
        <w:t>Boston</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032110</w:t>
      </w:r>
      <w:r w:rsidRPr="00957B34">
        <w:rPr>
          <w:rFonts w:ascii="Verdana" w:eastAsia="Times New Roman" w:hAnsi="Verdana" w:cs="Times New Roman"/>
          <w:sz w:val="20"/>
          <w:szCs w:val="20"/>
          <w:lang w:val="en-GB" w:eastAsia="es-MX"/>
        </w:rPr>
        <w:tab/>
        <w:t>Marboro Mild 14´s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032118</w:t>
      </w:r>
      <w:r w:rsidRPr="00957B34">
        <w:rPr>
          <w:rFonts w:ascii="Verdana" w:eastAsia="Times New Roman" w:hAnsi="Verdana" w:cs="Times New Roman"/>
          <w:sz w:val="20"/>
          <w:szCs w:val="20"/>
          <w:lang w:val="en-GB" w:eastAsia="es-MX"/>
        </w:rPr>
        <w:tab/>
        <w:t>Benson &amp; Hedges Gold 100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032119</w:t>
      </w:r>
      <w:r w:rsidRPr="00957B34">
        <w:rPr>
          <w:rFonts w:ascii="Verdana" w:eastAsia="Times New Roman" w:hAnsi="Verdana" w:cs="Times New Roman"/>
          <w:sz w:val="20"/>
          <w:szCs w:val="20"/>
          <w:lang w:val="en-GB" w:eastAsia="es-MX"/>
        </w:rPr>
        <w:tab/>
        <w:t>Benson &amp; Hedges Fine Gold 100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032120</w:t>
      </w:r>
      <w:r w:rsidRPr="00957B34">
        <w:rPr>
          <w:rFonts w:ascii="Verdana" w:eastAsia="Times New Roman" w:hAnsi="Verdana" w:cs="Times New Roman"/>
          <w:sz w:val="20"/>
          <w:szCs w:val="20"/>
          <w:lang w:val="en-GB" w:eastAsia="es-MX"/>
        </w:rPr>
        <w:tab/>
        <w:t>Benson &amp; Hedges Fine Mnt 100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lastRenderedPageBreak/>
        <w:t>032122</w:t>
      </w:r>
      <w:r w:rsidRPr="00957B34">
        <w:rPr>
          <w:rFonts w:ascii="Verdana" w:eastAsia="Times New Roman" w:hAnsi="Verdana" w:cs="Times New Roman"/>
          <w:sz w:val="20"/>
          <w:szCs w:val="20"/>
          <w:lang w:val="en-GB" w:eastAsia="es-MX"/>
        </w:rPr>
        <w:tab/>
        <w:t>Marlboro Ice Xpress MNT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032124</w:t>
      </w:r>
      <w:r w:rsidRPr="00957B34">
        <w:rPr>
          <w:rFonts w:ascii="Verdana" w:eastAsia="Times New Roman" w:hAnsi="Verdana" w:cs="Times New Roman"/>
          <w:sz w:val="20"/>
          <w:szCs w:val="20"/>
          <w:lang w:val="en-GB" w:eastAsia="es-MX"/>
        </w:rPr>
        <w:tab/>
        <w:t>Marlboro Black Freeze MNT Ks Box</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032128</w:t>
      </w:r>
      <w:r w:rsidRPr="00957B34">
        <w:rPr>
          <w:rFonts w:ascii="Verdana" w:eastAsia="Times New Roman" w:hAnsi="Verdana" w:cs="Times New Roman"/>
          <w:sz w:val="20"/>
          <w:szCs w:val="20"/>
          <w:lang w:val="en-GB" w:eastAsia="es-MX"/>
        </w:rPr>
        <w:tab/>
        <w:t>Muratti Rojo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032129</w:t>
      </w:r>
      <w:r w:rsidRPr="00957B34">
        <w:rPr>
          <w:rFonts w:ascii="Verdana" w:eastAsia="Times New Roman" w:hAnsi="Verdana" w:cs="Times New Roman"/>
          <w:sz w:val="20"/>
          <w:szCs w:val="20"/>
          <w:lang w:val="en-GB" w:eastAsia="es-MX"/>
        </w:rPr>
        <w:tab/>
        <w:t>Muratti Azul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032131</w:t>
      </w:r>
      <w:r w:rsidRPr="00957B34">
        <w:rPr>
          <w:rFonts w:ascii="Verdana" w:eastAsia="Times New Roman" w:hAnsi="Verdana" w:cs="Times New Roman"/>
          <w:sz w:val="20"/>
          <w:szCs w:val="20"/>
          <w:lang w:val="en-GB" w:eastAsia="es-MX"/>
        </w:rPr>
        <w:tab/>
        <w:t>Marlboro Gold Original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032132</w:t>
      </w:r>
      <w:r w:rsidRPr="00957B34">
        <w:rPr>
          <w:rFonts w:ascii="Verdana" w:eastAsia="Times New Roman" w:hAnsi="Verdana" w:cs="Times New Roman"/>
          <w:sz w:val="20"/>
          <w:szCs w:val="20"/>
          <w:lang w:val="en-GB" w:eastAsia="es-MX"/>
        </w:rPr>
        <w:tab/>
        <w:t xml:space="preserve">Marlboro Gold Original Ks </w:t>
      </w:r>
      <w:proofErr w:type="gramStart"/>
      <w:r w:rsidRPr="00957B34">
        <w:rPr>
          <w:rFonts w:ascii="Verdana" w:eastAsia="Times New Roman" w:hAnsi="Verdana" w:cs="Times New Roman"/>
          <w:sz w:val="20"/>
          <w:szCs w:val="20"/>
          <w:lang w:val="en-GB" w:eastAsia="es-MX"/>
        </w:rPr>
        <w:t>Sof</w:t>
      </w:r>
      <w:proofErr w:type="gramEnd"/>
      <w:r w:rsidRPr="00957B34">
        <w:rPr>
          <w:rFonts w:ascii="Verdana" w:eastAsia="Times New Roman" w:hAnsi="Verdana" w:cs="Times New Roman"/>
          <w:sz w:val="20"/>
          <w:szCs w:val="20"/>
          <w:lang w:val="en-GB" w:eastAsia="es-MX"/>
        </w:rPr>
        <w:t xml:space="preserve">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032133</w:t>
      </w:r>
      <w:r w:rsidRPr="00957B34">
        <w:rPr>
          <w:rFonts w:ascii="Verdana" w:eastAsia="Times New Roman" w:hAnsi="Verdana" w:cs="Times New Roman"/>
          <w:sz w:val="20"/>
          <w:szCs w:val="20"/>
          <w:lang w:val="en-GB" w:eastAsia="es-MX"/>
        </w:rPr>
        <w:tab/>
        <w:t>Marlboro Gold Original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032134</w:t>
      </w:r>
      <w:r w:rsidRPr="00957B34">
        <w:rPr>
          <w:rFonts w:ascii="Verdana" w:eastAsia="Times New Roman" w:hAnsi="Verdana" w:cs="Times New Roman"/>
          <w:sz w:val="20"/>
          <w:szCs w:val="20"/>
          <w:lang w:val="en-GB" w:eastAsia="es-MX"/>
        </w:rPr>
        <w:tab/>
        <w:t>Marlboro Gold Touch Ks Box 20 SLI</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032135</w:t>
      </w:r>
      <w:r w:rsidRPr="00957B34">
        <w:rPr>
          <w:rFonts w:ascii="Verdana" w:eastAsia="Times New Roman" w:hAnsi="Verdana" w:cs="Times New Roman"/>
          <w:sz w:val="20"/>
          <w:szCs w:val="20"/>
          <w:lang w:val="es-ES" w:eastAsia="es-MX"/>
        </w:rPr>
        <w:tab/>
        <w:t>Delicados Rs Rsp 25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032136</w:t>
      </w:r>
      <w:r w:rsidRPr="00957B34">
        <w:rPr>
          <w:rFonts w:ascii="Verdana" w:eastAsia="Times New Roman" w:hAnsi="Verdana" w:cs="Times New Roman"/>
          <w:sz w:val="20"/>
          <w:szCs w:val="20"/>
          <w:lang w:val="es-ES" w:eastAsia="es-MX"/>
        </w:rPr>
        <w:tab/>
        <w:t>Delicados Dorados Rs Rsp 25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032139</w:t>
      </w:r>
      <w:r w:rsidRPr="00957B34">
        <w:rPr>
          <w:rFonts w:ascii="Verdana" w:eastAsia="Times New Roman" w:hAnsi="Verdana" w:cs="Times New Roman"/>
          <w:sz w:val="20"/>
          <w:szCs w:val="20"/>
          <w:lang w:val="en-GB" w:eastAsia="es-MX"/>
        </w:rPr>
        <w:tab/>
        <w:t>West Red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032140</w:t>
      </w:r>
      <w:r w:rsidRPr="00957B34">
        <w:rPr>
          <w:rFonts w:ascii="Verdana" w:eastAsia="Times New Roman" w:hAnsi="Verdana" w:cs="Times New Roman"/>
          <w:sz w:val="20"/>
          <w:szCs w:val="20"/>
          <w:lang w:val="en-GB" w:eastAsia="es-MX"/>
        </w:rPr>
        <w:tab/>
        <w:t>West Silver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032141</w:t>
      </w:r>
      <w:r w:rsidRPr="00957B34">
        <w:rPr>
          <w:rFonts w:ascii="Verdana" w:eastAsia="Times New Roman" w:hAnsi="Verdana" w:cs="Times New Roman"/>
          <w:sz w:val="20"/>
          <w:szCs w:val="20"/>
          <w:lang w:val="en-GB" w:eastAsia="es-MX"/>
        </w:rPr>
        <w:tab/>
        <w:t>Marlboro Gold Original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032142</w:t>
      </w:r>
      <w:r w:rsidRPr="00957B34">
        <w:rPr>
          <w:rFonts w:ascii="Verdana" w:eastAsia="Times New Roman" w:hAnsi="Verdana" w:cs="Times New Roman"/>
          <w:sz w:val="20"/>
          <w:szCs w:val="20"/>
          <w:lang w:val="en-GB" w:eastAsia="es-MX"/>
        </w:rPr>
        <w:tab/>
        <w:t>Davidoff Classic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032143</w:t>
      </w:r>
      <w:r w:rsidRPr="00957B34">
        <w:rPr>
          <w:rFonts w:ascii="Verdana" w:eastAsia="Times New Roman" w:hAnsi="Verdana" w:cs="Times New Roman"/>
          <w:sz w:val="20"/>
          <w:szCs w:val="20"/>
          <w:lang w:eastAsia="es-MX"/>
        </w:rPr>
        <w:tab/>
        <w:t>Davidoff Gold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032144</w:t>
      </w:r>
      <w:r w:rsidRPr="00957B34">
        <w:rPr>
          <w:rFonts w:ascii="Verdana" w:eastAsia="Times New Roman" w:hAnsi="Verdana" w:cs="Times New Roman"/>
          <w:sz w:val="20"/>
          <w:szCs w:val="20"/>
          <w:lang w:val="es-ES" w:eastAsia="es-MX"/>
        </w:rPr>
        <w:tab/>
        <w:t>Delicados Dorados LS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032145</w:t>
      </w:r>
      <w:r w:rsidRPr="00957B34">
        <w:rPr>
          <w:rFonts w:ascii="Verdana" w:eastAsia="Times New Roman" w:hAnsi="Verdana" w:cs="Times New Roman"/>
          <w:sz w:val="20"/>
          <w:szCs w:val="20"/>
          <w:lang w:val="es-ES" w:eastAsia="es-MX"/>
        </w:rPr>
        <w:tab/>
        <w:t>Fortuna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032146</w:t>
      </w:r>
      <w:r w:rsidRPr="00957B34">
        <w:rPr>
          <w:rFonts w:ascii="Verdana" w:eastAsia="Times New Roman" w:hAnsi="Verdana" w:cs="Times New Roman"/>
          <w:sz w:val="20"/>
          <w:szCs w:val="20"/>
          <w:lang w:eastAsia="es-MX"/>
        </w:rPr>
        <w:tab/>
        <w:t>Fortuna (Azul)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032147</w:t>
      </w:r>
      <w:r w:rsidRPr="00957B34">
        <w:rPr>
          <w:rFonts w:ascii="Verdana" w:eastAsia="Times New Roman" w:hAnsi="Verdana" w:cs="Times New Roman"/>
          <w:sz w:val="20"/>
          <w:szCs w:val="20"/>
          <w:lang w:val="en-GB" w:eastAsia="es-MX"/>
        </w:rPr>
        <w:tab/>
        <w:t>Benson &amp; Hedges Gold 100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032148 </w:t>
      </w:r>
      <w:r w:rsidRPr="00957B34">
        <w:rPr>
          <w:rFonts w:ascii="Verdana" w:eastAsia="Times New Roman" w:hAnsi="Verdana" w:cs="Times New Roman"/>
          <w:sz w:val="20"/>
          <w:szCs w:val="20"/>
          <w:lang w:val="en-GB" w:eastAsia="es-MX"/>
        </w:rPr>
        <w:tab/>
        <w:t>Benson &amp; Hedges MNT 100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032149</w:t>
      </w:r>
      <w:r w:rsidRPr="00957B34">
        <w:rPr>
          <w:rFonts w:ascii="Verdana" w:eastAsia="Times New Roman" w:hAnsi="Verdana" w:cs="Times New Roman"/>
          <w:sz w:val="20"/>
          <w:szCs w:val="20"/>
          <w:lang w:val="en-GB" w:eastAsia="es-MX"/>
        </w:rPr>
        <w:tab/>
        <w:t>Faros RS RSP 24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032150</w:t>
      </w:r>
      <w:r w:rsidRPr="00957B34">
        <w:rPr>
          <w:rFonts w:ascii="Verdana" w:eastAsia="Times New Roman" w:hAnsi="Verdana" w:cs="Times New Roman"/>
          <w:sz w:val="20"/>
          <w:szCs w:val="20"/>
          <w:lang w:val="en-GB" w:eastAsia="es-MX"/>
        </w:rPr>
        <w:tab/>
        <w:t>Benson &amp; Hedges Polar Blue Mnt 100´s Box 20´s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032151</w:t>
      </w:r>
      <w:r w:rsidRPr="00957B34">
        <w:rPr>
          <w:rFonts w:ascii="Verdana" w:eastAsia="Times New Roman" w:hAnsi="Verdana" w:cs="Times New Roman"/>
          <w:sz w:val="20"/>
          <w:szCs w:val="20"/>
          <w:lang w:val="en-GB" w:eastAsia="es-MX"/>
        </w:rPr>
        <w:tab/>
        <w:t>Benson &amp; Hedges Polar Blue Mnt 100´s Box 14´s</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032152</w:t>
      </w:r>
      <w:r w:rsidRPr="00957B34">
        <w:rPr>
          <w:rFonts w:ascii="Verdana" w:eastAsia="Times New Roman" w:hAnsi="Verdana" w:cs="Times New Roman"/>
          <w:sz w:val="20"/>
          <w:szCs w:val="20"/>
          <w:lang w:val="es-ES" w:eastAsia="es-MX"/>
        </w:rPr>
        <w:tab/>
        <w:t>Delicados con filtro LS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032153</w:t>
      </w:r>
      <w:r w:rsidRPr="00957B34">
        <w:rPr>
          <w:rFonts w:ascii="Verdana" w:eastAsia="Times New Roman" w:hAnsi="Verdana" w:cs="Times New Roman"/>
          <w:sz w:val="20"/>
          <w:szCs w:val="20"/>
          <w:lang w:val="es-ES" w:eastAsia="es-MX"/>
        </w:rPr>
        <w:tab/>
        <w:t>Delicados Dorados LS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032154</w:t>
      </w:r>
      <w:r w:rsidRPr="00957B34">
        <w:rPr>
          <w:rFonts w:ascii="Verdana" w:eastAsia="Times New Roman" w:hAnsi="Verdana" w:cs="Times New Roman"/>
          <w:sz w:val="20"/>
          <w:szCs w:val="20"/>
          <w:lang w:val="es-ES" w:eastAsia="es-MX"/>
        </w:rPr>
        <w:tab/>
        <w:t>Delicados con filtro LS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lastRenderedPageBreak/>
        <w:t>032155</w:t>
      </w:r>
      <w:r w:rsidRPr="00957B34">
        <w:rPr>
          <w:rFonts w:ascii="Verdana" w:eastAsia="Times New Roman" w:hAnsi="Verdana" w:cs="Times New Roman"/>
          <w:sz w:val="20"/>
          <w:szCs w:val="20"/>
          <w:lang w:val="en-GB" w:eastAsia="es-MX"/>
        </w:rPr>
        <w:tab/>
        <w:t>Benson &amp; Hedges UNO Mnt 100 LSB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032156</w:t>
      </w:r>
      <w:r w:rsidRPr="00957B34">
        <w:rPr>
          <w:rFonts w:ascii="Verdana" w:eastAsia="Times New Roman" w:hAnsi="Verdana" w:cs="Times New Roman"/>
          <w:sz w:val="20"/>
          <w:szCs w:val="20"/>
          <w:lang w:val="en-GB" w:eastAsia="es-MX"/>
        </w:rPr>
        <w:tab/>
        <w:t>Benson &amp; Hedges UNO 100 LSB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032157</w:t>
      </w:r>
      <w:r w:rsidRPr="00957B34">
        <w:rPr>
          <w:rFonts w:ascii="Verdana" w:eastAsia="Times New Roman" w:hAnsi="Verdana" w:cs="Times New Roman"/>
          <w:sz w:val="20"/>
          <w:szCs w:val="20"/>
          <w:lang w:val="en-GB" w:eastAsia="es-MX"/>
        </w:rPr>
        <w:tab/>
        <w:t>Marlboro White Mint Mnt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032158</w:t>
      </w:r>
      <w:r w:rsidRPr="00957B34">
        <w:rPr>
          <w:rFonts w:ascii="Verdana" w:eastAsia="Times New Roman" w:hAnsi="Verdana" w:cs="Times New Roman"/>
          <w:sz w:val="20"/>
          <w:szCs w:val="20"/>
          <w:lang w:val="en-GB" w:eastAsia="es-MX"/>
        </w:rPr>
        <w:tab/>
        <w:t>Marlboro Fresh Mnt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032159</w:t>
      </w:r>
      <w:r w:rsidRPr="00957B34">
        <w:rPr>
          <w:rFonts w:ascii="Verdana" w:eastAsia="Times New Roman" w:hAnsi="Verdana" w:cs="Times New Roman"/>
          <w:sz w:val="20"/>
          <w:szCs w:val="20"/>
          <w:lang w:val="en-GB" w:eastAsia="es-MX"/>
        </w:rPr>
        <w:tab/>
        <w:t>Marlboro Gold Original 100´s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032160</w:t>
      </w:r>
      <w:r w:rsidRPr="00957B34">
        <w:rPr>
          <w:rFonts w:ascii="Verdana" w:eastAsia="Times New Roman" w:hAnsi="Verdana" w:cs="Times New Roman"/>
          <w:sz w:val="20"/>
          <w:szCs w:val="20"/>
          <w:lang w:val="en-GB" w:eastAsia="es-MX"/>
        </w:rPr>
        <w:tab/>
        <w:t>Marlboro ICE Xpress Mnt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032161</w:t>
      </w:r>
      <w:r w:rsidRPr="00957B34">
        <w:rPr>
          <w:rFonts w:ascii="Verdana" w:eastAsia="Times New Roman" w:hAnsi="Verdana" w:cs="Times New Roman"/>
          <w:sz w:val="20"/>
          <w:szCs w:val="20"/>
          <w:lang w:val="en-GB" w:eastAsia="es-MX"/>
        </w:rPr>
        <w:tab/>
        <w:t>Rodeo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032162</w:t>
      </w:r>
      <w:r w:rsidRPr="00957B34">
        <w:rPr>
          <w:rFonts w:ascii="Verdana" w:eastAsia="Times New Roman" w:hAnsi="Verdana" w:cs="Times New Roman"/>
          <w:sz w:val="20"/>
          <w:szCs w:val="20"/>
          <w:lang w:val="en-GB" w:eastAsia="es-MX"/>
        </w:rPr>
        <w:tab/>
        <w:t>Baronet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032163</w:t>
      </w:r>
      <w:r w:rsidRPr="00957B34">
        <w:rPr>
          <w:rFonts w:ascii="Verdana" w:eastAsia="Times New Roman" w:hAnsi="Verdana" w:cs="Times New Roman"/>
          <w:sz w:val="20"/>
          <w:szCs w:val="20"/>
          <w:lang w:val="en-GB" w:eastAsia="es-MX"/>
        </w:rPr>
        <w:tab/>
        <w:t>Fortuna Cold Mint Mnt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032164</w:t>
      </w:r>
      <w:r w:rsidRPr="00957B34">
        <w:rPr>
          <w:rFonts w:ascii="Verdana" w:eastAsia="Times New Roman" w:hAnsi="Verdana" w:cs="Times New Roman"/>
          <w:sz w:val="20"/>
          <w:szCs w:val="20"/>
          <w:lang w:val="en-GB" w:eastAsia="es-MX"/>
        </w:rPr>
        <w:tab/>
        <w:t>Fortuna Cold Mint Mnt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032165</w:t>
      </w:r>
      <w:r w:rsidRPr="00957B34">
        <w:rPr>
          <w:rFonts w:ascii="Verdana" w:eastAsia="Times New Roman" w:hAnsi="Verdana" w:cs="Times New Roman"/>
          <w:sz w:val="20"/>
          <w:szCs w:val="20"/>
          <w:lang w:val="es-ES" w:eastAsia="es-MX"/>
        </w:rPr>
        <w:tab/>
        <w:t>Delicados con Filtro LS RSP 25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032166</w:t>
      </w:r>
      <w:r w:rsidRPr="00957B34">
        <w:rPr>
          <w:rFonts w:ascii="Verdana" w:eastAsia="Times New Roman" w:hAnsi="Verdana" w:cs="Times New Roman"/>
          <w:sz w:val="20"/>
          <w:szCs w:val="20"/>
          <w:lang w:val="es-ES" w:eastAsia="es-MX"/>
        </w:rPr>
        <w:tab/>
        <w:t>Delicados Dorados LS RSP 25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032167</w:t>
      </w:r>
      <w:r w:rsidRPr="00957B34">
        <w:rPr>
          <w:rFonts w:ascii="Verdana" w:eastAsia="Times New Roman" w:hAnsi="Verdana" w:cs="Times New Roman"/>
          <w:sz w:val="20"/>
          <w:szCs w:val="20"/>
          <w:lang w:val="es-ES" w:eastAsia="es-MX"/>
        </w:rPr>
        <w:tab/>
        <w:t>Dalton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032168</w:t>
      </w:r>
      <w:r w:rsidRPr="00957B34">
        <w:rPr>
          <w:rFonts w:ascii="Verdana" w:eastAsia="Times New Roman" w:hAnsi="Verdana" w:cs="Times New Roman"/>
          <w:sz w:val="20"/>
          <w:szCs w:val="20"/>
          <w:lang w:val="en-GB" w:eastAsia="es-MX"/>
        </w:rPr>
        <w:tab/>
        <w:t>Benson &amp; Hedges Polar Ice Mnt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032169</w:t>
      </w:r>
      <w:r w:rsidRPr="00957B34">
        <w:rPr>
          <w:rFonts w:ascii="Verdana" w:eastAsia="Times New Roman" w:hAnsi="Verdana" w:cs="Times New Roman"/>
          <w:sz w:val="20"/>
          <w:szCs w:val="20"/>
          <w:lang w:val="en-GB" w:eastAsia="es-MX"/>
        </w:rPr>
        <w:tab/>
        <w:t>Marlboro Kretek Mint Mnt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032170</w:t>
      </w:r>
      <w:r w:rsidRPr="00957B34">
        <w:rPr>
          <w:rFonts w:ascii="Verdana" w:eastAsia="Times New Roman" w:hAnsi="Verdana" w:cs="Times New Roman"/>
          <w:sz w:val="20"/>
          <w:szCs w:val="20"/>
          <w:lang w:val="es-ES" w:eastAsia="es-MX"/>
        </w:rPr>
        <w:tab/>
        <w:t>Delicados Dorados LS Box 15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032171</w:t>
      </w:r>
      <w:r w:rsidRPr="00957B34">
        <w:rPr>
          <w:rFonts w:ascii="Verdana" w:eastAsia="Times New Roman" w:hAnsi="Verdana" w:cs="Times New Roman"/>
          <w:sz w:val="20"/>
          <w:szCs w:val="20"/>
          <w:lang w:val="es-ES" w:eastAsia="es-MX"/>
        </w:rPr>
        <w:tab/>
        <w:t>Delicados con Filtro LS Box 15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032172</w:t>
      </w:r>
      <w:r w:rsidRPr="00957B34">
        <w:rPr>
          <w:rFonts w:ascii="Verdana" w:eastAsia="Times New Roman" w:hAnsi="Verdana" w:cs="Times New Roman"/>
          <w:sz w:val="20"/>
          <w:szCs w:val="20"/>
          <w:lang w:val="es-ES" w:eastAsia="es-MX"/>
        </w:rPr>
        <w:tab/>
        <w:t>Delicados Dorados LS RSP 24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032173</w:t>
      </w:r>
      <w:r w:rsidRPr="00957B34">
        <w:rPr>
          <w:rFonts w:ascii="Verdana" w:eastAsia="Times New Roman" w:hAnsi="Verdana" w:cs="Times New Roman"/>
          <w:sz w:val="20"/>
          <w:szCs w:val="20"/>
          <w:lang w:val="es-ES" w:eastAsia="es-MX"/>
        </w:rPr>
        <w:tab/>
        <w:t>Delicados con Filtro LS RSP 24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032174</w:t>
      </w:r>
      <w:r w:rsidRPr="00957B34">
        <w:rPr>
          <w:rFonts w:ascii="Verdana" w:eastAsia="Times New Roman" w:hAnsi="Verdana" w:cs="Times New Roman"/>
          <w:sz w:val="20"/>
          <w:szCs w:val="20"/>
          <w:lang w:val="en-GB" w:eastAsia="es-MX"/>
        </w:rPr>
        <w:tab/>
        <w:t>Marlboro Gold Original KS Box 18</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032175</w:t>
      </w:r>
      <w:r w:rsidRPr="00957B34">
        <w:rPr>
          <w:rFonts w:ascii="Verdana" w:eastAsia="Times New Roman" w:hAnsi="Verdana" w:cs="Times New Roman"/>
          <w:sz w:val="20"/>
          <w:szCs w:val="20"/>
          <w:lang w:val="es-ES" w:eastAsia="es-MX"/>
        </w:rPr>
        <w:tab/>
        <w:t>Marlboro (Red Upgrade) LS Box 18</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032176</w:t>
      </w:r>
      <w:r w:rsidRPr="00957B34">
        <w:rPr>
          <w:rFonts w:ascii="Verdana" w:eastAsia="Times New Roman" w:hAnsi="Verdana" w:cs="Times New Roman"/>
          <w:sz w:val="20"/>
          <w:szCs w:val="20"/>
          <w:lang w:val="en-GB" w:eastAsia="es-MX"/>
        </w:rPr>
        <w:tab/>
        <w:t>Marlboro Ice Xpress Mnt 100 Box 18</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032177</w:t>
      </w:r>
      <w:r w:rsidRPr="00957B34">
        <w:rPr>
          <w:rFonts w:ascii="Verdana" w:eastAsia="Times New Roman" w:hAnsi="Verdana" w:cs="Times New Roman"/>
          <w:sz w:val="20"/>
          <w:szCs w:val="20"/>
          <w:lang w:val="en-GB" w:eastAsia="es-MX"/>
        </w:rPr>
        <w:tab/>
        <w:t>Benson &amp; Hedges Pearl Capsule Mnt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032178</w:t>
      </w:r>
      <w:r w:rsidRPr="00957B34">
        <w:rPr>
          <w:rFonts w:ascii="Verdana" w:eastAsia="Times New Roman" w:hAnsi="Verdana" w:cs="Times New Roman"/>
          <w:sz w:val="20"/>
          <w:szCs w:val="20"/>
          <w:lang w:val="en-GB" w:eastAsia="es-MX"/>
        </w:rPr>
        <w:tab/>
        <w:t>Chesterfield Red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032179</w:t>
      </w:r>
      <w:r w:rsidRPr="00957B34">
        <w:rPr>
          <w:rFonts w:ascii="Verdana" w:eastAsia="Times New Roman" w:hAnsi="Verdana" w:cs="Times New Roman"/>
          <w:sz w:val="20"/>
          <w:szCs w:val="20"/>
          <w:lang w:val="en-GB" w:eastAsia="es-MX"/>
        </w:rPr>
        <w:tab/>
        <w:t>Chesterfield Blue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032180</w:t>
      </w:r>
      <w:r w:rsidRPr="00957B34">
        <w:rPr>
          <w:rFonts w:ascii="Verdana" w:eastAsia="Times New Roman" w:hAnsi="Verdana" w:cs="Times New Roman"/>
          <w:sz w:val="20"/>
          <w:szCs w:val="20"/>
          <w:lang w:val="en-GB" w:eastAsia="es-MX"/>
        </w:rPr>
        <w:tab/>
        <w:t>Chesterfield Red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lastRenderedPageBreak/>
        <w:t>032181</w:t>
      </w:r>
      <w:r w:rsidRPr="00957B34">
        <w:rPr>
          <w:rFonts w:ascii="Verdana" w:eastAsia="Times New Roman" w:hAnsi="Verdana" w:cs="Times New Roman"/>
          <w:sz w:val="20"/>
          <w:szCs w:val="20"/>
          <w:lang w:val="en-GB" w:eastAsia="es-MX"/>
        </w:rPr>
        <w:tab/>
        <w:t>Chesterfield Blue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032182</w:t>
      </w:r>
      <w:r w:rsidRPr="00957B34">
        <w:rPr>
          <w:rFonts w:ascii="Verdana" w:eastAsia="Times New Roman" w:hAnsi="Verdana" w:cs="Times New Roman"/>
          <w:sz w:val="20"/>
          <w:szCs w:val="20"/>
          <w:lang w:val="en-GB" w:eastAsia="es-MX"/>
        </w:rPr>
        <w:tab/>
        <w:t>Chesterfield Mint MNT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032183</w:t>
      </w:r>
      <w:r w:rsidRPr="00957B34">
        <w:rPr>
          <w:rFonts w:ascii="Verdana" w:eastAsia="Times New Roman" w:hAnsi="Verdana" w:cs="Times New Roman"/>
          <w:sz w:val="20"/>
          <w:szCs w:val="20"/>
          <w:lang w:val="es-ES" w:eastAsia="es-MX"/>
        </w:rPr>
        <w:tab/>
        <w:t>Marlboro Advance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032184</w:t>
      </w:r>
      <w:r w:rsidRPr="00957B34">
        <w:rPr>
          <w:rFonts w:ascii="Verdana" w:eastAsia="Times New Roman" w:hAnsi="Verdana" w:cs="Times New Roman"/>
          <w:sz w:val="20"/>
          <w:szCs w:val="20"/>
          <w:lang w:val="es-ES" w:eastAsia="es-MX"/>
        </w:rPr>
        <w:tab/>
        <w:t>Delicados Frescos LS Box 15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032185</w:t>
      </w:r>
      <w:r w:rsidRPr="00957B34">
        <w:rPr>
          <w:rFonts w:ascii="Verdana" w:eastAsia="Times New Roman" w:hAnsi="Verdana" w:cs="Times New Roman"/>
          <w:sz w:val="20"/>
          <w:szCs w:val="20"/>
          <w:lang w:val="es-ES" w:eastAsia="es-MX"/>
        </w:rPr>
        <w:tab/>
        <w:t>Delicados Claros LS Box 15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032186</w:t>
      </w:r>
      <w:r w:rsidRPr="00957B34">
        <w:rPr>
          <w:rFonts w:ascii="Verdana" w:eastAsia="Times New Roman" w:hAnsi="Verdana" w:cs="Times New Roman"/>
          <w:sz w:val="20"/>
          <w:szCs w:val="20"/>
          <w:lang w:val="es-ES" w:eastAsia="es-MX"/>
        </w:rPr>
        <w:tab/>
        <w:t>Delicados Claros LS Rsp 24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032187</w:t>
      </w:r>
      <w:r w:rsidRPr="00957B34">
        <w:rPr>
          <w:rFonts w:ascii="Verdana" w:eastAsia="Times New Roman" w:hAnsi="Verdana" w:cs="Times New Roman"/>
          <w:sz w:val="20"/>
          <w:szCs w:val="20"/>
          <w:lang w:val="en-GB" w:eastAsia="es-MX"/>
        </w:rPr>
        <w:tab/>
        <w:t>Faros NF RS SOF 18 SLI</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032188</w:t>
      </w:r>
      <w:r w:rsidRPr="00957B34">
        <w:rPr>
          <w:rFonts w:ascii="Verdana" w:eastAsia="Times New Roman" w:hAnsi="Verdana" w:cs="Times New Roman"/>
          <w:sz w:val="20"/>
          <w:szCs w:val="20"/>
          <w:lang w:val="en-GB" w:eastAsia="es-MX"/>
        </w:rPr>
        <w:tab/>
        <w:t>Chesterfield Blue Caps 100 Box 18</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032189</w:t>
      </w:r>
      <w:r w:rsidRPr="00957B34">
        <w:rPr>
          <w:rFonts w:ascii="Verdana" w:eastAsia="Times New Roman" w:hAnsi="Verdana" w:cs="Times New Roman"/>
          <w:sz w:val="20"/>
          <w:szCs w:val="20"/>
          <w:lang w:val="en-GB" w:eastAsia="es-MX"/>
        </w:rPr>
        <w:tab/>
        <w:t>Chesterfield Mint Caps 100 Box 18</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032190</w:t>
      </w:r>
      <w:r w:rsidRPr="00957B34">
        <w:rPr>
          <w:rFonts w:ascii="Verdana" w:eastAsia="Times New Roman" w:hAnsi="Verdana" w:cs="Times New Roman"/>
          <w:sz w:val="20"/>
          <w:szCs w:val="20"/>
          <w:lang w:val="en-GB" w:eastAsia="es-MX"/>
        </w:rPr>
        <w:tab/>
        <w:t>Benson &amp; Hedges Gold Pearl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032191</w:t>
      </w:r>
      <w:r w:rsidRPr="00957B34">
        <w:rPr>
          <w:rFonts w:ascii="Verdana" w:eastAsia="Times New Roman" w:hAnsi="Verdana" w:cs="Times New Roman"/>
          <w:sz w:val="20"/>
          <w:szCs w:val="20"/>
          <w:lang w:val="en-GB" w:eastAsia="es-MX"/>
        </w:rPr>
        <w:tab/>
        <w:t>Marlboro Gold Original (Caps)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032192</w:t>
      </w:r>
      <w:r w:rsidRPr="00957B34">
        <w:rPr>
          <w:rFonts w:ascii="Verdana" w:eastAsia="Times New Roman" w:hAnsi="Verdana" w:cs="Times New Roman"/>
          <w:sz w:val="20"/>
          <w:szCs w:val="20"/>
          <w:lang w:val="en-GB" w:eastAsia="es-MX"/>
        </w:rPr>
        <w:tab/>
        <w:t>Marlboro Gold Original (Caps) 100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032193</w:t>
      </w:r>
      <w:r w:rsidRPr="00957B34">
        <w:rPr>
          <w:rFonts w:ascii="Verdana" w:eastAsia="Times New Roman" w:hAnsi="Verdana" w:cs="Times New Roman"/>
          <w:sz w:val="20"/>
          <w:szCs w:val="20"/>
          <w:lang w:val="en-GB" w:eastAsia="es-MX"/>
        </w:rPr>
        <w:tab/>
        <w:t>Marlboro White Mint MNT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032194</w:t>
      </w:r>
      <w:r w:rsidRPr="00957B34">
        <w:rPr>
          <w:rFonts w:ascii="Verdana" w:eastAsia="Times New Roman" w:hAnsi="Verdana" w:cs="Times New Roman"/>
          <w:sz w:val="20"/>
          <w:szCs w:val="20"/>
          <w:lang w:val="en-GB" w:eastAsia="es-MX"/>
        </w:rPr>
        <w:tab/>
        <w:t>Chesterfield Red KS Box 16</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032195</w:t>
      </w:r>
      <w:r w:rsidRPr="00957B34">
        <w:rPr>
          <w:rFonts w:ascii="Verdana" w:eastAsia="Times New Roman" w:hAnsi="Verdana" w:cs="Times New Roman"/>
          <w:sz w:val="20"/>
          <w:szCs w:val="20"/>
          <w:lang w:val="en-GB" w:eastAsia="es-MX"/>
        </w:rPr>
        <w:tab/>
        <w:t>Chesterfield Mint KS Box 16</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032196</w:t>
      </w:r>
      <w:r w:rsidRPr="00957B34">
        <w:rPr>
          <w:rFonts w:ascii="Verdana" w:eastAsia="Times New Roman" w:hAnsi="Verdana" w:cs="Times New Roman"/>
          <w:sz w:val="20"/>
          <w:szCs w:val="20"/>
          <w:lang w:val="en-GB" w:eastAsia="es-MX"/>
        </w:rPr>
        <w:tab/>
        <w:t>Chesterfield Blue KS Box 16</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032197</w:t>
      </w:r>
      <w:r w:rsidRPr="00957B34">
        <w:rPr>
          <w:rFonts w:ascii="Verdana" w:eastAsia="Times New Roman" w:hAnsi="Verdana" w:cs="Times New Roman"/>
          <w:sz w:val="20"/>
          <w:szCs w:val="20"/>
          <w:lang w:val="en-GB" w:eastAsia="es-MX"/>
        </w:rPr>
        <w:tab/>
        <w:t>Marlboro Rubyfresh Fusion Blast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032198</w:t>
      </w:r>
      <w:r w:rsidRPr="00957B34">
        <w:rPr>
          <w:rFonts w:ascii="Verdana" w:eastAsia="Times New Roman" w:hAnsi="Verdana" w:cs="Times New Roman"/>
          <w:sz w:val="20"/>
          <w:szCs w:val="20"/>
          <w:lang w:val="en-GB" w:eastAsia="es-MX"/>
        </w:rPr>
        <w:tab/>
        <w:t>Marlboro Velvet Fusion Blast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032199</w:t>
      </w:r>
      <w:r w:rsidRPr="00957B34">
        <w:rPr>
          <w:rFonts w:ascii="Verdana" w:eastAsia="Times New Roman" w:hAnsi="Verdana" w:cs="Times New Roman"/>
          <w:sz w:val="20"/>
          <w:szCs w:val="20"/>
          <w:lang w:val="es-ES" w:eastAsia="es-MX"/>
        </w:rPr>
        <w:tab/>
        <w:t>Faros Blancos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032200</w:t>
      </w:r>
      <w:r w:rsidRPr="00957B34">
        <w:rPr>
          <w:rFonts w:ascii="Verdana" w:eastAsia="Times New Roman" w:hAnsi="Verdana" w:cs="Times New Roman"/>
          <w:sz w:val="20"/>
          <w:szCs w:val="20"/>
          <w:lang w:val="es-ES" w:eastAsia="es-MX"/>
        </w:rPr>
        <w:tab/>
        <w:t>Delicados Capsulas MNT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032201</w:t>
      </w:r>
      <w:r w:rsidRPr="00957B34">
        <w:rPr>
          <w:rFonts w:ascii="Verdana" w:eastAsia="Times New Roman" w:hAnsi="Verdana" w:cs="Times New Roman"/>
          <w:sz w:val="20"/>
          <w:szCs w:val="20"/>
          <w:lang w:val="en-GB" w:eastAsia="es-MX"/>
        </w:rPr>
        <w:tab/>
        <w:t>Marlboro Pocket (Red FWD) RS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032202</w:t>
      </w:r>
      <w:r w:rsidRPr="00957B34">
        <w:rPr>
          <w:rFonts w:ascii="Verdana" w:eastAsia="Times New Roman" w:hAnsi="Verdana" w:cs="Times New Roman"/>
          <w:sz w:val="20"/>
          <w:szCs w:val="20"/>
          <w:lang w:val="en-GB" w:eastAsia="es-MX"/>
        </w:rPr>
        <w:tab/>
        <w:t>Marlboro Gold Original RS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032203</w:t>
      </w:r>
      <w:r w:rsidRPr="00957B34">
        <w:rPr>
          <w:rFonts w:ascii="Verdana" w:eastAsia="Times New Roman" w:hAnsi="Verdana" w:cs="Times New Roman"/>
          <w:sz w:val="20"/>
          <w:szCs w:val="20"/>
          <w:lang w:val="en-GB" w:eastAsia="es-MX"/>
        </w:rPr>
        <w:tab/>
        <w:t>Chesterfield Purple Caps 100 Box 18</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032204</w:t>
      </w:r>
      <w:r w:rsidRPr="00957B34">
        <w:rPr>
          <w:rFonts w:ascii="Verdana" w:eastAsia="Times New Roman" w:hAnsi="Verdana" w:cs="Times New Roman"/>
          <w:sz w:val="20"/>
          <w:szCs w:val="20"/>
          <w:lang w:val="en-GB" w:eastAsia="es-MX"/>
        </w:rPr>
        <w:tab/>
        <w:t>Benson &amp; Hedges Polarpearl Mnt 100 RCB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032205</w:t>
      </w:r>
      <w:r w:rsidRPr="00957B34">
        <w:rPr>
          <w:rFonts w:ascii="Verdana" w:eastAsia="Times New Roman" w:hAnsi="Verdana" w:cs="Times New Roman"/>
          <w:sz w:val="20"/>
          <w:szCs w:val="20"/>
          <w:lang w:val="en-GB" w:eastAsia="es-MX"/>
        </w:rPr>
        <w:tab/>
        <w:t>Benson &amp; Hedges Crystal Violet SLI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032206</w:t>
      </w:r>
      <w:r w:rsidRPr="00957B34">
        <w:rPr>
          <w:rFonts w:ascii="Verdana" w:eastAsia="Times New Roman" w:hAnsi="Verdana" w:cs="Times New Roman"/>
          <w:sz w:val="20"/>
          <w:szCs w:val="20"/>
          <w:lang w:val="en-GB" w:eastAsia="es-MX"/>
        </w:rPr>
        <w:tab/>
        <w:t>Marlboro Amber Advance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proofErr w:type="gramStart"/>
      <w:r w:rsidRPr="00957B34">
        <w:rPr>
          <w:rFonts w:ascii="Verdana" w:eastAsia="Times New Roman" w:hAnsi="Verdana" w:cs="Times New Roman"/>
          <w:sz w:val="20"/>
          <w:szCs w:val="20"/>
          <w:lang w:val="en-GB" w:eastAsia="es-MX"/>
        </w:rPr>
        <w:lastRenderedPageBreak/>
        <w:t>032207</w:t>
      </w:r>
      <w:r w:rsidRPr="00957B34">
        <w:rPr>
          <w:rFonts w:ascii="Verdana" w:eastAsia="Times New Roman" w:hAnsi="Verdana" w:cs="Times New Roman"/>
          <w:sz w:val="20"/>
          <w:szCs w:val="20"/>
          <w:lang w:val="en-GB" w:eastAsia="es-MX"/>
        </w:rPr>
        <w:tab/>
        <w:t>Marlboro (Red FWD Caps) 100 Box</w:t>
      </w:r>
      <w:proofErr w:type="gramEnd"/>
      <w:r w:rsidRPr="00957B34">
        <w:rPr>
          <w:rFonts w:ascii="Verdana" w:eastAsia="Times New Roman" w:hAnsi="Verdana" w:cs="Times New Roman"/>
          <w:sz w:val="20"/>
          <w:szCs w:val="20"/>
          <w:lang w:val="en-GB" w:eastAsia="es-MX"/>
        </w:rPr>
        <w:t xml:space="preserve">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032208</w:t>
      </w:r>
      <w:r w:rsidRPr="00957B34">
        <w:rPr>
          <w:rFonts w:ascii="Verdana" w:eastAsia="Times New Roman" w:hAnsi="Verdana" w:cs="Times New Roman"/>
          <w:sz w:val="20"/>
          <w:szCs w:val="20"/>
          <w:lang w:val="en-GB" w:eastAsia="es-MX"/>
        </w:rPr>
        <w:tab/>
        <w:t>Chesterfield Red (3.0WC)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032209</w:t>
      </w:r>
      <w:r w:rsidRPr="00957B34">
        <w:rPr>
          <w:rFonts w:ascii="Verdana" w:eastAsia="Times New Roman" w:hAnsi="Verdana" w:cs="Times New Roman"/>
          <w:sz w:val="20"/>
          <w:szCs w:val="20"/>
          <w:lang w:val="en-GB" w:eastAsia="es-MX"/>
        </w:rPr>
        <w:tab/>
        <w:t>Chesterfield Blue (3.0 WC)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032210</w:t>
      </w:r>
      <w:r w:rsidRPr="00957B34">
        <w:rPr>
          <w:rFonts w:ascii="Verdana" w:eastAsia="Times New Roman" w:hAnsi="Verdana" w:cs="Times New Roman"/>
          <w:sz w:val="20"/>
          <w:szCs w:val="20"/>
          <w:lang w:val="en-GB" w:eastAsia="es-MX"/>
        </w:rPr>
        <w:tab/>
        <w:t>Chesterfield Mint (3.0 WC) Ks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032211</w:t>
      </w:r>
      <w:r w:rsidRPr="00957B34">
        <w:rPr>
          <w:rFonts w:ascii="Verdana" w:eastAsia="Times New Roman" w:hAnsi="Verdana" w:cs="Times New Roman"/>
          <w:sz w:val="20"/>
          <w:szCs w:val="20"/>
          <w:lang w:val="en-US" w:eastAsia="es-MX"/>
        </w:rPr>
        <w:tab/>
        <w:t>Benson &amp; Hedges Crystal Blue SLI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032212</w:t>
      </w:r>
      <w:r w:rsidRPr="00957B34">
        <w:rPr>
          <w:rFonts w:ascii="Verdana" w:eastAsia="Times New Roman" w:hAnsi="Verdana" w:cs="Times New Roman"/>
          <w:sz w:val="20"/>
          <w:szCs w:val="20"/>
          <w:lang w:val="en-US" w:eastAsia="es-MX"/>
        </w:rPr>
        <w:tab/>
        <w:t>Dalton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032213</w:t>
      </w:r>
      <w:r w:rsidRPr="00957B34">
        <w:rPr>
          <w:rFonts w:ascii="Verdana" w:eastAsia="Times New Roman" w:hAnsi="Verdana" w:cs="Times New Roman"/>
          <w:sz w:val="20"/>
          <w:szCs w:val="20"/>
          <w:lang w:val="en-US" w:eastAsia="es-MX"/>
        </w:rPr>
        <w:tab/>
        <w:t>Rodeo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032214</w:t>
      </w:r>
      <w:r w:rsidRPr="00957B34">
        <w:rPr>
          <w:rFonts w:ascii="Verdana" w:eastAsia="Times New Roman" w:hAnsi="Verdana" w:cs="Times New Roman"/>
          <w:sz w:val="20"/>
          <w:szCs w:val="20"/>
          <w:lang w:val="es-ES" w:eastAsia="es-MX"/>
        </w:rPr>
        <w:tab/>
        <w:t>Delicados Originales Ls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032215</w:t>
      </w:r>
      <w:r w:rsidRPr="00957B34">
        <w:rPr>
          <w:rFonts w:ascii="Verdana" w:eastAsia="Times New Roman" w:hAnsi="Verdana" w:cs="Times New Roman"/>
          <w:sz w:val="20"/>
          <w:szCs w:val="20"/>
          <w:lang w:eastAsia="es-MX"/>
        </w:rPr>
        <w:tab/>
        <w:t>Marlboro Velvet Fusion Blast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032216</w:t>
      </w:r>
      <w:r w:rsidRPr="00957B34">
        <w:rPr>
          <w:rFonts w:ascii="Verdana" w:eastAsia="Times New Roman" w:hAnsi="Verdana" w:cs="Times New Roman"/>
          <w:sz w:val="20"/>
          <w:szCs w:val="20"/>
          <w:lang w:val="es-ES" w:eastAsia="es-MX"/>
        </w:rPr>
        <w:tab/>
        <w:t>Delicados Claros LS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032217</w:t>
      </w:r>
      <w:r w:rsidRPr="00957B34">
        <w:rPr>
          <w:rFonts w:ascii="Verdana" w:eastAsia="Times New Roman" w:hAnsi="Verdana" w:cs="Times New Roman"/>
          <w:sz w:val="20"/>
          <w:szCs w:val="20"/>
          <w:lang w:val="es-ES" w:eastAsia="es-MX"/>
        </w:rPr>
        <w:tab/>
        <w:t>Delicados Frescos LS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032218</w:t>
      </w:r>
      <w:r w:rsidRPr="00957B34">
        <w:rPr>
          <w:rFonts w:ascii="Verdana" w:eastAsia="Times New Roman" w:hAnsi="Verdana" w:cs="Times New Roman"/>
          <w:sz w:val="20"/>
          <w:szCs w:val="20"/>
          <w:lang w:val="en-US" w:eastAsia="es-MX"/>
        </w:rPr>
        <w:tab/>
        <w:t>Marlboro Ice Xpress Mnt 100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032219</w:t>
      </w:r>
      <w:r w:rsidRPr="00957B34">
        <w:rPr>
          <w:rFonts w:ascii="Verdana" w:eastAsia="Times New Roman" w:hAnsi="Verdana" w:cs="Times New Roman"/>
          <w:sz w:val="20"/>
          <w:szCs w:val="20"/>
          <w:lang w:val="en-US" w:eastAsia="es-MX"/>
        </w:rPr>
        <w:tab/>
        <w:t>Marlboro Ice Xpress Mnt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032220</w:t>
      </w:r>
      <w:r w:rsidRPr="00957B34">
        <w:rPr>
          <w:rFonts w:ascii="Verdana" w:eastAsia="Times New Roman" w:hAnsi="Verdana" w:cs="Times New Roman"/>
          <w:sz w:val="20"/>
          <w:szCs w:val="20"/>
          <w:lang w:val="en-US" w:eastAsia="es-MX"/>
        </w:rPr>
        <w:tab/>
        <w:t>Marlboro Fusion Shine 100 BOX 20 SLI</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032221 </w:t>
      </w:r>
      <w:r w:rsidRPr="00957B34">
        <w:rPr>
          <w:rFonts w:ascii="Verdana" w:eastAsia="Times New Roman" w:hAnsi="Verdana" w:cs="Times New Roman"/>
          <w:sz w:val="20"/>
          <w:szCs w:val="20"/>
          <w:lang w:val="en-US" w:eastAsia="es-MX"/>
        </w:rPr>
        <w:tab/>
        <w:t>Chesterfield Mint Caps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032222</w:t>
      </w:r>
      <w:r w:rsidRPr="00957B34">
        <w:rPr>
          <w:rFonts w:ascii="Verdana" w:eastAsia="Times New Roman" w:hAnsi="Verdana" w:cs="Times New Roman"/>
          <w:sz w:val="20"/>
          <w:szCs w:val="20"/>
          <w:lang w:val="en-US" w:eastAsia="es-MX"/>
        </w:rPr>
        <w:tab/>
        <w:t>Chesterfield Purple Caps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032223 </w:t>
      </w:r>
      <w:r w:rsidRPr="00957B34">
        <w:rPr>
          <w:rFonts w:ascii="Verdana" w:eastAsia="Times New Roman" w:hAnsi="Verdana" w:cs="Times New Roman"/>
          <w:sz w:val="20"/>
          <w:szCs w:val="20"/>
          <w:lang w:val="en-US" w:eastAsia="es-MX"/>
        </w:rPr>
        <w:tab/>
        <w:t>Chesterfield Blue LS RSP 24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032224 </w:t>
      </w:r>
      <w:r w:rsidRPr="00957B34">
        <w:rPr>
          <w:rFonts w:ascii="Verdana" w:eastAsia="Times New Roman" w:hAnsi="Verdana" w:cs="Times New Roman"/>
          <w:sz w:val="20"/>
          <w:szCs w:val="20"/>
          <w:lang w:val="en-US" w:eastAsia="es-MX"/>
        </w:rPr>
        <w:tab/>
        <w:t>Chesterfield Original LS RSP 24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032225</w:t>
      </w:r>
      <w:r w:rsidRPr="00957B34">
        <w:rPr>
          <w:rFonts w:ascii="Verdana" w:eastAsia="Times New Roman" w:hAnsi="Verdana" w:cs="Times New Roman"/>
          <w:sz w:val="20"/>
          <w:szCs w:val="20"/>
          <w:lang w:val="en-US" w:eastAsia="es-MX"/>
        </w:rPr>
        <w:tab/>
        <w:t>Marlboro Double Fusion Ruby (2.5) 100 Box 14</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032226</w:t>
      </w:r>
      <w:r w:rsidRPr="00957B34">
        <w:rPr>
          <w:rFonts w:ascii="Verdana" w:eastAsia="Times New Roman" w:hAnsi="Verdana" w:cs="Times New Roman"/>
          <w:sz w:val="20"/>
          <w:szCs w:val="20"/>
          <w:lang w:eastAsia="es-MX"/>
        </w:rPr>
        <w:tab/>
        <w:t>Marlboro (Red 2.5) 100 Box</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032227</w:t>
      </w:r>
      <w:r w:rsidRPr="00957B34">
        <w:rPr>
          <w:rFonts w:ascii="Verdana" w:eastAsia="Times New Roman" w:hAnsi="Verdana" w:cs="Times New Roman"/>
          <w:sz w:val="20"/>
          <w:szCs w:val="20"/>
          <w:lang w:eastAsia="es-MX"/>
        </w:rPr>
        <w:tab/>
        <w:t>Marlboro Shuffle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032228</w:t>
      </w:r>
      <w:r w:rsidRPr="00957B34">
        <w:rPr>
          <w:rFonts w:ascii="Verdana" w:eastAsia="Times New Roman" w:hAnsi="Verdana" w:cs="Times New Roman"/>
          <w:sz w:val="20"/>
          <w:szCs w:val="20"/>
          <w:lang w:val="en-US" w:eastAsia="es-MX"/>
        </w:rPr>
        <w:tab/>
        <w:t>Marlboro Just Ks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032229</w:t>
      </w:r>
      <w:r w:rsidRPr="00957B34">
        <w:rPr>
          <w:rFonts w:ascii="Verdana" w:eastAsia="Times New Roman" w:hAnsi="Verdana" w:cs="Times New Roman"/>
          <w:sz w:val="20"/>
          <w:szCs w:val="20"/>
          <w:lang w:val="en-US" w:eastAsia="es-MX"/>
        </w:rPr>
        <w:tab/>
        <w:t>Marlboro Fusion Summer 100 Box 20</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032230</w:t>
      </w:r>
      <w:r w:rsidRPr="00957B34">
        <w:rPr>
          <w:rFonts w:ascii="Verdana" w:eastAsia="Times New Roman" w:hAnsi="Verdana" w:cs="Times New Roman"/>
          <w:sz w:val="20"/>
          <w:szCs w:val="20"/>
          <w:lang w:val="en-US" w:eastAsia="es-MX"/>
        </w:rPr>
        <w:tab/>
        <w:t>Chesterfield Original (4.0) KS BOX 15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032231</w:t>
      </w:r>
      <w:r w:rsidRPr="00957B34">
        <w:rPr>
          <w:rFonts w:ascii="Verdana" w:eastAsia="Times New Roman" w:hAnsi="Verdana" w:cs="Times New Roman"/>
          <w:sz w:val="20"/>
          <w:szCs w:val="20"/>
          <w:lang w:val="en-US" w:eastAsia="es-MX"/>
        </w:rPr>
        <w:tab/>
        <w:t>Chesterfield Original (4.0) LS BOX 25</w:t>
      </w:r>
    </w:p>
    <w:p w:rsidR="00957B34" w:rsidRPr="00957B34" w:rsidRDefault="00957B34" w:rsidP="00957B34">
      <w:pPr>
        <w:spacing w:before="100" w:beforeAutospacing="1" w:after="100" w:afterAutospacing="1" w:line="219"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032232</w:t>
      </w:r>
      <w:r w:rsidRPr="00957B34">
        <w:rPr>
          <w:rFonts w:ascii="Verdana" w:eastAsia="Times New Roman" w:hAnsi="Verdana" w:cs="Times New Roman"/>
          <w:sz w:val="20"/>
          <w:szCs w:val="20"/>
          <w:lang w:val="es-ES" w:eastAsia="es-MX"/>
        </w:rPr>
        <w:tab/>
        <w:t>Marlboro Red LS RSP 25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032233</w:t>
      </w:r>
      <w:r w:rsidRPr="00957B34">
        <w:rPr>
          <w:rFonts w:ascii="Verdana" w:eastAsia="Times New Roman" w:hAnsi="Verdana" w:cs="Times New Roman"/>
          <w:sz w:val="20"/>
          <w:szCs w:val="20"/>
          <w:lang w:val="es-ES" w:eastAsia="es-MX"/>
        </w:rPr>
        <w:tab/>
        <w:t>Marlboro Selección Artesanal Ks 20</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032234</w:t>
      </w:r>
      <w:r w:rsidRPr="00957B34">
        <w:rPr>
          <w:rFonts w:ascii="Verdana" w:eastAsia="Times New Roman" w:hAnsi="Verdana" w:cs="Times New Roman"/>
          <w:sz w:val="20"/>
          <w:szCs w:val="20"/>
          <w:lang w:val="en-US" w:eastAsia="es-MX"/>
        </w:rPr>
        <w:tab/>
        <w:t>Chesterfield Original REMIX 100s BOX 20s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132001</w:t>
      </w:r>
      <w:r w:rsidRPr="00957B34">
        <w:rPr>
          <w:rFonts w:ascii="Verdana" w:eastAsia="Times New Roman" w:hAnsi="Verdana" w:cs="Times New Roman"/>
          <w:sz w:val="20"/>
          <w:szCs w:val="20"/>
          <w:lang w:eastAsia="es-MX"/>
        </w:rPr>
        <w:tab/>
        <w:t>Faros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132002</w:t>
      </w:r>
      <w:r w:rsidRPr="00957B34">
        <w:rPr>
          <w:rFonts w:ascii="Verdana" w:eastAsia="Times New Roman" w:hAnsi="Verdana" w:cs="Times New Roman"/>
          <w:sz w:val="20"/>
          <w:szCs w:val="20"/>
          <w:lang w:val="es-ES" w:eastAsia="es-MX"/>
        </w:rPr>
        <w:tab/>
        <w:t>Delicados Ovalados 12</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132003</w:t>
      </w:r>
      <w:r w:rsidRPr="00957B34">
        <w:rPr>
          <w:rFonts w:ascii="Verdana" w:eastAsia="Times New Roman" w:hAnsi="Verdana" w:cs="Times New Roman"/>
          <w:sz w:val="20"/>
          <w:szCs w:val="20"/>
          <w:lang w:val="es-ES" w:eastAsia="es-MX"/>
        </w:rPr>
        <w:tab/>
        <w:t>Supremos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132004</w:t>
      </w:r>
      <w:r w:rsidRPr="00957B34">
        <w:rPr>
          <w:rFonts w:ascii="Verdana" w:eastAsia="Times New Roman" w:hAnsi="Verdana" w:cs="Times New Roman"/>
          <w:sz w:val="20"/>
          <w:szCs w:val="20"/>
          <w:lang w:val="es-ES" w:eastAsia="es-MX"/>
        </w:rPr>
        <w:tab/>
        <w:t>Elegantes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132005</w:t>
      </w:r>
      <w:r w:rsidRPr="00957B34">
        <w:rPr>
          <w:rFonts w:ascii="Verdana" w:eastAsia="Times New Roman" w:hAnsi="Verdana" w:cs="Times New Roman"/>
          <w:sz w:val="20"/>
          <w:szCs w:val="20"/>
          <w:lang w:val="es-ES" w:eastAsia="es-MX"/>
        </w:rPr>
        <w:tab/>
        <w:t>Elegantes Mentolados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132006</w:t>
      </w:r>
      <w:r w:rsidRPr="00957B34">
        <w:rPr>
          <w:rFonts w:ascii="Verdana" w:eastAsia="Times New Roman" w:hAnsi="Verdana" w:cs="Times New Roman"/>
          <w:sz w:val="20"/>
          <w:szCs w:val="20"/>
          <w:lang w:val="es-ES" w:eastAsia="es-MX"/>
        </w:rPr>
        <w:tab/>
        <w:t>Tigres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132007</w:t>
      </w:r>
      <w:r w:rsidRPr="00957B34">
        <w:rPr>
          <w:rFonts w:ascii="Verdana" w:eastAsia="Times New Roman" w:hAnsi="Verdana" w:cs="Times New Roman"/>
          <w:sz w:val="20"/>
          <w:szCs w:val="20"/>
          <w:lang w:val="es-ES" w:eastAsia="es-MX"/>
        </w:rPr>
        <w:tab/>
        <w:t>Delicados Ovalados 14´s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132008 </w:t>
      </w:r>
      <w:r w:rsidRPr="00957B34">
        <w:rPr>
          <w:rFonts w:ascii="Verdana" w:eastAsia="Times New Roman" w:hAnsi="Verdana" w:cs="Times New Roman"/>
          <w:sz w:val="20"/>
          <w:szCs w:val="20"/>
          <w:lang w:val="es-ES" w:eastAsia="es-MX"/>
        </w:rPr>
        <w:tab/>
        <w:t>Delicados 20 Menthol sin Filtro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132009</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z w:val="20"/>
          <w:szCs w:val="20"/>
          <w:lang w:eastAsia="es-MX"/>
        </w:rPr>
        <w:t>Delicados Ovalados NF RS SOF 18</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132022</w:t>
      </w:r>
      <w:r w:rsidRPr="00957B34">
        <w:rPr>
          <w:rFonts w:ascii="Verdana" w:eastAsia="Times New Roman" w:hAnsi="Verdana" w:cs="Times New Roman"/>
          <w:sz w:val="20"/>
          <w:szCs w:val="20"/>
          <w:lang w:val="es-ES" w:eastAsia="es-MX"/>
        </w:rPr>
        <w:tab/>
        <w:t>Reales sin Filtro c/Boquilla</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33.</w:t>
            </w:r>
            <w:r w:rsidRPr="00957B34">
              <w:rPr>
                <w:rFonts w:ascii="Verdana" w:eastAsia="Times New Roman" w:hAnsi="Verdana" w:cs="Arial"/>
                <w:b/>
                <w:sz w:val="20"/>
                <w:szCs w:val="20"/>
                <w:lang w:val="es-ES" w:eastAsia="es-MX"/>
              </w:rPr>
              <w:tab/>
              <w:t>NEW CENTURY TOBACCO MEXICO S.A. DE C.V.,</w:t>
            </w:r>
            <w:r w:rsidRPr="00957B34">
              <w:rPr>
                <w:rFonts w:ascii="Verdana" w:eastAsia="Times New Roman" w:hAnsi="Verdana" w:cs="Arial"/>
                <w:b/>
                <w:sz w:val="20"/>
                <w:szCs w:val="20"/>
                <w:lang w:val="es-ES" w:eastAsia="es-MX"/>
              </w:rPr>
              <w:tab/>
              <w:t>R.F.C. NCT0609151V3</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033001</w:t>
      </w:r>
      <w:r w:rsidRPr="00957B34">
        <w:rPr>
          <w:rFonts w:ascii="Verdana" w:eastAsia="Times New Roman" w:hAnsi="Verdana" w:cs="Times New Roman"/>
          <w:sz w:val="20"/>
          <w:szCs w:val="20"/>
          <w:lang w:val="es-ES" w:eastAsia="es-MX"/>
        </w:rPr>
        <w:tab/>
        <w:t>Fact Regular</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34. MANUFACTURAS TRADICIONALES DE TABACO, S. A. DE C.V.,</w:t>
            </w:r>
            <w:r w:rsidRPr="00957B34">
              <w:rPr>
                <w:rFonts w:ascii="Verdana" w:eastAsia="Times New Roman" w:hAnsi="Verdana" w:cs="Arial"/>
                <w:b/>
                <w:sz w:val="20"/>
                <w:szCs w:val="20"/>
                <w:lang w:val="es-ES" w:eastAsia="es-MX"/>
              </w:rPr>
              <w:tab/>
              <w:t>R.F.C. MTT981104MG5</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434001</w:t>
      </w:r>
      <w:r w:rsidRPr="00957B34">
        <w:rPr>
          <w:rFonts w:ascii="Verdana" w:eastAsia="Times New Roman" w:hAnsi="Verdana" w:cs="Times New Roman"/>
          <w:sz w:val="20"/>
          <w:szCs w:val="20"/>
          <w:lang w:val="es-ES" w:eastAsia="es-MX"/>
        </w:rPr>
        <w:tab/>
        <w:t>Aromaticos 13.5 x 48 x 7</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434002</w:t>
      </w:r>
      <w:r w:rsidRPr="00957B34">
        <w:rPr>
          <w:rFonts w:ascii="Verdana" w:eastAsia="Times New Roman" w:hAnsi="Verdana" w:cs="Times New Roman"/>
          <w:sz w:val="20"/>
          <w:szCs w:val="20"/>
          <w:lang w:val="en-GB" w:eastAsia="es-MX"/>
        </w:rPr>
        <w:tab/>
        <w:t>Churchill 16 x 50 x 7</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434003</w:t>
      </w:r>
      <w:r w:rsidRPr="00957B34">
        <w:rPr>
          <w:rFonts w:ascii="Verdana" w:eastAsia="Times New Roman" w:hAnsi="Verdana" w:cs="Times New Roman"/>
          <w:sz w:val="20"/>
          <w:szCs w:val="20"/>
          <w:lang w:val="en-GB" w:eastAsia="es-MX"/>
        </w:rPr>
        <w:tab/>
        <w:t>Churchill Habano 16 x 50 x 7</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434004</w:t>
      </w:r>
      <w:r w:rsidRPr="00957B34">
        <w:rPr>
          <w:rFonts w:ascii="Verdana" w:eastAsia="Times New Roman" w:hAnsi="Verdana" w:cs="Times New Roman"/>
          <w:sz w:val="20"/>
          <w:szCs w:val="20"/>
          <w:lang w:val="es-ES" w:eastAsia="es-MX"/>
        </w:rPr>
        <w:tab/>
        <w:t>Coronita Picadura 7.5 x 42 x 4</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434005</w:t>
      </w:r>
      <w:r w:rsidRPr="00957B34">
        <w:rPr>
          <w:rFonts w:ascii="Verdana" w:eastAsia="Times New Roman" w:hAnsi="Verdana" w:cs="Times New Roman"/>
          <w:sz w:val="20"/>
          <w:szCs w:val="20"/>
          <w:lang w:val="es-ES" w:eastAsia="es-MX"/>
        </w:rPr>
        <w:tab/>
        <w:t>Coronitas 7.5 x 42 x 4</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434006</w:t>
      </w:r>
      <w:r w:rsidRPr="00957B34">
        <w:rPr>
          <w:rFonts w:ascii="Verdana" w:eastAsia="Times New Roman" w:hAnsi="Verdana" w:cs="Times New Roman"/>
          <w:sz w:val="20"/>
          <w:szCs w:val="20"/>
          <w:lang w:val="es-ES" w:eastAsia="es-MX"/>
        </w:rPr>
        <w:tab/>
        <w:t>Coronitas Habanos 7.5 x 42 x 4</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434007</w:t>
      </w:r>
      <w:r w:rsidRPr="00957B34">
        <w:rPr>
          <w:rFonts w:ascii="Verdana" w:eastAsia="Times New Roman" w:hAnsi="Verdana" w:cs="Times New Roman"/>
          <w:sz w:val="20"/>
          <w:szCs w:val="20"/>
          <w:lang w:val="es-ES" w:eastAsia="es-MX"/>
        </w:rPr>
        <w:tab/>
        <w:t>Deliciosos 4.2 x 32 x 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434008</w:t>
      </w:r>
      <w:r w:rsidRPr="00957B34">
        <w:rPr>
          <w:rFonts w:ascii="Verdana" w:eastAsia="Times New Roman" w:hAnsi="Verdana" w:cs="Times New Roman"/>
          <w:sz w:val="20"/>
          <w:szCs w:val="20"/>
          <w:lang w:val="es-ES" w:eastAsia="es-MX"/>
        </w:rPr>
        <w:tab/>
        <w:t>Dictadores 11.5 x 42 x 6.75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434009</w:t>
      </w:r>
      <w:r w:rsidRPr="00957B34">
        <w:rPr>
          <w:rFonts w:ascii="Verdana" w:eastAsia="Times New Roman" w:hAnsi="Verdana" w:cs="Times New Roman"/>
          <w:sz w:val="20"/>
          <w:szCs w:val="20"/>
          <w:lang w:val="es-ES" w:eastAsia="es-MX"/>
        </w:rPr>
        <w:tab/>
        <w:t>Dictadores Habanos 11.5 x 42 x 6.75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434012</w:t>
      </w:r>
      <w:r w:rsidRPr="00957B34">
        <w:rPr>
          <w:rFonts w:ascii="Verdana" w:eastAsia="Times New Roman" w:hAnsi="Verdana" w:cs="Times New Roman"/>
          <w:sz w:val="20"/>
          <w:szCs w:val="20"/>
          <w:lang w:val="es-ES" w:eastAsia="es-MX"/>
        </w:rPr>
        <w:tab/>
        <w:t>Imperiales 17 x 52 x 7</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434013</w:t>
      </w:r>
      <w:r w:rsidRPr="00957B34">
        <w:rPr>
          <w:rFonts w:ascii="Verdana" w:eastAsia="Times New Roman" w:hAnsi="Verdana" w:cs="Times New Roman"/>
          <w:sz w:val="20"/>
          <w:szCs w:val="20"/>
          <w:lang w:val="es-ES" w:eastAsia="es-MX"/>
        </w:rPr>
        <w:tab/>
        <w:t>Imperiales Habanos 17 x 52 x 7</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434014</w:t>
      </w:r>
      <w:r w:rsidRPr="00957B34">
        <w:rPr>
          <w:rFonts w:ascii="Verdana" w:eastAsia="Times New Roman" w:hAnsi="Verdana" w:cs="Times New Roman"/>
          <w:sz w:val="20"/>
          <w:szCs w:val="20"/>
          <w:lang w:val="es-ES" w:eastAsia="es-MX"/>
        </w:rPr>
        <w:tab/>
        <w:t>Petit Boquilla 2.8 x 21 x 4</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434015</w:t>
      </w:r>
      <w:r w:rsidRPr="00957B34">
        <w:rPr>
          <w:rFonts w:ascii="Verdana" w:eastAsia="Times New Roman" w:hAnsi="Verdana" w:cs="Times New Roman"/>
          <w:sz w:val="20"/>
          <w:szCs w:val="20"/>
          <w:lang w:val="es-ES" w:eastAsia="es-MX"/>
        </w:rPr>
        <w:tab/>
        <w:t>Petit Irene 1.2 x 21 x 2.75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434016</w:t>
      </w:r>
      <w:r w:rsidRPr="00957B34">
        <w:rPr>
          <w:rFonts w:ascii="Verdana" w:eastAsia="Times New Roman" w:hAnsi="Verdana" w:cs="Times New Roman"/>
          <w:sz w:val="20"/>
          <w:szCs w:val="20"/>
          <w:lang w:val="es-ES" w:eastAsia="es-MX"/>
        </w:rPr>
        <w:tab/>
        <w:t>Piramides 13 x 48-50 x 6.75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434017</w:t>
      </w:r>
      <w:r w:rsidRPr="00957B34">
        <w:rPr>
          <w:rFonts w:ascii="Verdana" w:eastAsia="Times New Roman" w:hAnsi="Verdana" w:cs="Times New Roman"/>
          <w:sz w:val="20"/>
          <w:szCs w:val="20"/>
          <w:lang w:val="es-ES" w:eastAsia="es-MX"/>
        </w:rPr>
        <w:tab/>
        <w:t>Piramides Habanos 13 x 48-50 x 6.75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434018</w:t>
      </w:r>
      <w:r w:rsidRPr="00957B34">
        <w:rPr>
          <w:rFonts w:ascii="Verdana" w:eastAsia="Times New Roman" w:hAnsi="Verdana" w:cs="Times New Roman"/>
          <w:sz w:val="20"/>
          <w:szCs w:val="20"/>
          <w:lang w:val="es-ES" w:eastAsia="es-MX"/>
        </w:rPr>
        <w:tab/>
        <w:t>Presidentes 1 12 x 38 x 7.25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434019</w:t>
      </w:r>
      <w:r w:rsidRPr="00957B34">
        <w:rPr>
          <w:rFonts w:ascii="Verdana" w:eastAsia="Times New Roman" w:hAnsi="Verdana" w:cs="Times New Roman"/>
          <w:sz w:val="20"/>
          <w:szCs w:val="20"/>
          <w:lang w:val="es-ES" w:eastAsia="es-MX"/>
        </w:rPr>
        <w:tab/>
        <w:t>Presidentes 2 14.5 x 44 x 7.25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434020</w:t>
      </w:r>
      <w:r w:rsidRPr="00957B34">
        <w:rPr>
          <w:rFonts w:ascii="Verdana" w:eastAsia="Times New Roman" w:hAnsi="Verdana" w:cs="Times New Roman"/>
          <w:sz w:val="20"/>
          <w:szCs w:val="20"/>
          <w:lang w:val="es-ES" w:eastAsia="es-MX"/>
        </w:rPr>
        <w:tab/>
        <w:t>Robustos 12.3 x 50 x 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434021</w:t>
      </w:r>
      <w:r w:rsidRPr="00957B34">
        <w:rPr>
          <w:rFonts w:ascii="Verdana" w:eastAsia="Times New Roman" w:hAnsi="Verdana" w:cs="Times New Roman"/>
          <w:sz w:val="20"/>
          <w:szCs w:val="20"/>
          <w:lang w:val="es-ES" w:eastAsia="es-MX"/>
        </w:rPr>
        <w:tab/>
        <w:t>Robustos Habano 12.3 x 50 x 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434022</w:t>
      </w:r>
      <w:r w:rsidRPr="00957B34">
        <w:rPr>
          <w:rFonts w:ascii="Verdana" w:eastAsia="Times New Roman" w:hAnsi="Verdana" w:cs="Times New Roman"/>
          <w:sz w:val="20"/>
          <w:szCs w:val="20"/>
          <w:lang w:val="es-ES" w:eastAsia="es-MX"/>
        </w:rPr>
        <w:tab/>
        <w:t>Robustos Picadura 12.3 x 50 x 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434023</w:t>
      </w:r>
      <w:r w:rsidRPr="00957B34">
        <w:rPr>
          <w:rFonts w:ascii="Verdana" w:eastAsia="Times New Roman" w:hAnsi="Verdana" w:cs="Times New Roman"/>
          <w:sz w:val="20"/>
          <w:szCs w:val="20"/>
          <w:lang w:val="es-ES" w:eastAsia="es-MX"/>
        </w:rPr>
        <w:tab/>
        <w:t>Short Robusto Habano 9 x 50 x 4</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434024</w:t>
      </w:r>
      <w:r w:rsidRPr="00957B34">
        <w:rPr>
          <w:rFonts w:ascii="Verdana" w:eastAsia="Times New Roman" w:hAnsi="Verdana" w:cs="Times New Roman"/>
          <w:sz w:val="20"/>
          <w:szCs w:val="20"/>
          <w:lang w:val="es-ES" w:eastAsia="es-MX"/>
        </w:rPr>
        <w:tab/>
        <w:t>Short Robusto Picadura 9 x 50 x 4</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434025</w:t>
      </w:r>
      <w:r w:rsidRPr="00957B34">
        <w:rPr>
          <w:rFonts w:ascii="Verdana" w:eastAsia="Times New Roman" w:hAnsi="Verdana" w:cs="Times New Roman"/>
          <w:sz w:val="20"/>
          <w:szCs w:val="20"/>
          <w:lang w:val="es-ES" w:eastAsia="es-MX"/>
        </w:rPr>
        <w:tab/>
        <w:t>Short Torpedo Picadura 9 x 48-52 x 4</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434026</w:t>
      </w:r>
      <w:r w:rsidRPr="00957B34">
        <w:rPr>
          <w:rFonts w:ascii="Verdana" w:eastAsia="Times New Roman" w:hAnsi="Verdana" w:cs="Times New Roman"/>
          <w:sz w:val="20"/>
          <w:szCs w:val="20"/>
          <w:lang w:val="es-ES" w:eastAsia="es-MX"/>
        </w:rPr>
        <w:tab/>
        <w:t>Toro 14 x 50 x 6</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434027</w:t>
      </w:r>
      <w:r w:rsidRPr="00957B34">
        <w:rPr>
          <w:rFonts w:ascii="Verdana" w:eastAsia="Times New Roman" w:hAnsi="Verdana" w:cs="Times New Roman"/>
          <w:sz w:val="20"/>
          <w:szCs w:val="20"/>
          <w:lang w:val="es-ES" w:eastAsia="es-MX"/>
        </w:rPr>
        <w:tab/>
        <w:t>Torpedos 13.5 x 48-52 x 6.75</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434028</w:t>
      </w:r>
      <w:r w:rsidRPr="00957B34">
        <w:rPr>
          <w:rFonts w:ascii="Verdana" w:eastAsia="Times New Roman" w:hAnsi="Verdana" w:cs="Times New Roman"/>
          <w:sz w:val="20"/>
          <w:szCs w:val="20"/>
          <w:lang w:val="es-ES" w:eastAsia="es-MX"/>
        </w:rPr>
        <w:tab/>
        <w:t>Torpedos Habanos 13.5 x 48-52 x 6.75</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434029</w:t>
      </w:r>
      <w:r w:rsidRPr="00957B34">
        <w:rPr>
          <w:rFonts w:ascii="Verdana" w:eastAsia="Times New Roman" w:hAnsi="Verdana" w:cs="Times New Roman"/>
          <w:sz w:val="20"/>
          <w:szCs w:val="20"/>
          <w:lang w:val="es-ES" w:eastAsia="es-MX"/>
        </w:rPr>
        <w:tab/>
        <w:t>Unicos 1 10.7 x 44 x 6</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434030</w:t>
      </w:r>
      <w:r w:rsidRPr="00957B34">
        <w:rPr>
          <w:rFonts w:ascii="Verdana" w:eastAsia="Times New Roman" w:hAnsi="Verdana" w:cs="Times New Roman"/>
          <w:sz w:val="20"/>
          <w:szCs w:val="20"/>
          <w:lang w:val="es-ES" w:eastAsia="es-MX"/>
        </w:rPr>
        <w:tab/>
        <w:t>Unicos 1 Habanos 10.7 x 44 x 6</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434031</w:t>
      </w:r>
      <w:r w:rsidRPr="00957B34">
        <w:rPr>
          <w:rFonts w:ascii="Verdana" w:eastAsia="Times New Roman" w:hAnsi="Verdana" w:cs="Times New Roman"/>
          <w:sz w:val="20"/>
          <w:szCs w:val="20"/>
          <w:lang w:val="es-ES" w:eastAsia="es-MX"/>
        </w:rPr>
        <w:tab/>
        <w:t>Unicos 1 Picadura 10.7 x 44 x 6</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434032</w:t>
      </w:r>
      <w:r w:rsidRPr="00957B34">
        <w:rPr>
          <w:rFonts w:ascii="Verdana" w:eastAsia="Times New Roman" w:hAnsi="Verdana" w:cs="Times New Roman"/>
          <w:sz w:val="20"/>
          <w:szCs w:val="20"/>
          <w:lang w:val="es-ES" w:eastAsia="es-MX"/>
        </w:rPr>
        <w:tab/>
        <w:t>Unicos 2 9.4 x 42 x 5.25</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434033</w:t>
      </w:r>
      <w:r w:rsidRPr="00957B34">
        <w:rPr>
          <w:rFonts w:ascii="Verdana" w:eastAsia="Times New Roman" w:hAnsi="Verdana" w:cs="Times New Roman"/>
          <w:sz w:val="20"/>
          <w:szCs w:val="20"/>
          <w:lang w:val="es-ES" w:eastAsia="es-MX"/>
        </w:rPr>
        <w:tab/>
        <w:t>Unicos 2 Picadura 9.4 x 42 x 5.25</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434034</w:t>
      </w:r>
      <w:r w:rsidRPr="00957B34">
        <w:rPr>
          <w:rFonts w:ascii="Verdana" w:eastAsia="Times New Roman" w:hAnsi="Verdana" w:cs="Times New Roman"/>
          <w:sz w:val="20"/>
          <w:szCs w:val="20"/>
          <w:lang w:val="es-ES" w:eastAsia="es-MX"/>
        </w:rPr>
        <w:tab/>
        <w:t>Unicos 2 Habanos 9.4 x 42 x 5.25</w:t>
      </w:r>
    </w:p>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35.</w:t>
            </w:r>
            <w:r w:rsidRPr="00957B34">
              <w:rPr>
                <w:rFonts w:ascii="Verdana" w:eastAsia="Times New Roman" w:hAnsi="Verdana" w:cs="Arial"/>
                <w:b/>
                <w:sz w:val="20"/>
                <w:szCs w:val="20"/>
                <w:lang w:val="es-ES" w:eastAsia="es-MX"/>
              </w:rPr>
              <w:tab/>
              <w:t>GESTION INTERNACIONAL DE MEXICO S DE RL DE CV.,</w:t>
            </w:r>
            <w:r w:rsidRPr="00957B34">
              <w:rPr>
                <w:rFonts w:ascii="Verdana" w:eastAsia="Times New Roman" w:hAnsi="Verdana" w:cs="Arial"/>
                <w:b/>
                <w:sz w:val="20"/>
                <w:szCs w:val="20"/>
                <w:lang w:val="es-ES" w:eastAsia="es-MX"/>
              </w:rPr>
              <w:tab/>
              <w:t>R.F.C. GIM030523KV7</w:t>
            </w:r>
          </w:p>
        </w:tc>
      </w:tr>
    </w:tbl>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 </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t>CLAVES</w:t>
      </w:r>
      <w:r w:rsidRPr="00957B34">
        <w:rPr>
          <w:rFonts w:ascii="Verdana" w:eastAsia="Times New Roman" w:hAnsi="Verdana" w:cs="Times New Roman"/>
          <w:b/>
          <w:sz w:val="20"/>
          <w:szCs w:val="20"/>
          <w:lang w:val="en-US" w:eastAsia="es-MX"/>
        </w:rPr>
        <w:tab/>
      </w:r>
      <w:r w:rsidRPr="00957B34">
        <w:rPr>
          <w:rFonts w:ascii="Verdana" w:eastAsia="Times New Roman" w:hAnsi="Verdana" w:cs="Times New Roman"/>
          <w:b/>
          <w:sz w:val="20"/>
          <w:szCs w:val="20"/>
          <w:lang w:val="en-GB" w:eastAsia="es-MX"/>
        </w:rPr>
        <w:t>MARCAS</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035001</w:t>
      </w:r>
      <w:r w:rsidRPr="00957B34">
        <w:rPr>
          <w:rFonts w:ascii="Verdana" w:eastAsia="Times New Roman" w:hAnsi="Verdana" w:cs="Times New Roman"/>
          <w:sz w:val="20"/>
          <w:szCs w:val="20"/>
          <w:lang w:val="en-GB" w:eastAsia="es-MX"/>
        </w:rPr>
        <w:tab/>
        <w:t>Gold Rush Cherry</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035002</w:t>
      </w:r>
      <w:r w:rsidRPr="00957B34">
        <w:rPr>
          <w:rFonts w:ascii="Verdana" w:eastAsia="Times New Roman" w:hAnsi="Verdana" w:cs="Times New Roman"/>
          <w:sz w:val="20"/>
          <w:szCs w:val="20"/>
          <w:lang w:val="en-GB" w:eastAsia="es-MX"/>
        </w:rPr>
        <w:tab/>
        <w:t>Gold Rush Vainilla</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035003</w:t>
      </w:r>
      <w:r w:rsidRPr="00957B34">
        <w:rPr>
          <w:rFonts w:ascii="Verdana" w:eastAsia="Times New Roman" w:hAnsi="Verdana" w:cs="Times New Roman"/>
          <w:sz w:val="20"/>
          <w:szCs w:val="20"/>
          <w:lang w:val="en-US" w:eastAsia="es-MX"/>
        </w:rPr>
        <w:tab/>
        <w:t>Swetarrillo</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035004 </w:t>
      </w:r>
      <w:r w:rsidRPr="00957B34">
        <w:rPr>
          <w:rFonts w:ascii="Verdana" w:eastAsia="Times New Roman" w:hAnsi="Verdana" w:cs="Times New Roman"/>
          <w:sz w:val="20"/>
          <w:szCs w:val="20"/>
          <w:lang w:val="en-US" w:eastAsia="es-MX"/>
        </w:rPr>
        <w:tab/>
        <w:t xml:space="preserve"> Prime Time Cherry</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035005 </w:t>
      </w:r>
      <w:r w:rsidRPr="00957B34">
        <w:rPr>
          <w:rFonts w:ascii="Verdana" w:eastAsia="Times New Roman" w:hAnsi="Verdana" w:cs="Times New Roman"/>
          <w:sz w:val="20"/>
          <w:szCs w:val="20"/>
          <w:lang w:val="en-US" w:eastAsia="es-MX"/>
        </w:rPr>
        <w:tab/>
        <w:t xml:space="preserve"> Prime Time Vainilla</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235003</w:t>
      </w:r>
      <w:r w:rsidRPr="00957B34">
        <w:rPr>
          <w:rFonts w:ascii="Verdana" w:eastAsia="Times New Roman" w:hAnsi="Verdana" w:cs="Times New Roman"/>
          <w:sz w:val="20"/>
          <w:szCs w:val="20"/>
          <w:lang w:val="es-ES" w:eastAsia="es-MX"/>
        </w:rPr>
        <w:tab/>
        <w:t>Café Créme Regular</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235004</w:t>
      </w:r>
      <w:r w:rsidRPr="00957B34">
        <w:rPr>
          <w:rFonts w:ascii="Verdana" w:eastAsia="Times New Roman" w:hAnsi="Verdana" w:cs="Times New Roman"/>
          <w:sz w:val="20"/>
          <w:szCs w:val="20"/>
          <w:lang w:val="es-ES" w:eastAsia="es-MX"/>
        </w:rPr>
        <w:tab/>
        <w:t>Café Créme Blue</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235005</w:t>
      </w:r>
      <w:r w:rsidRPr="00957B34">
        <w:rPr>
          <w:rFonts w:ascii="Verdana" w:eastAsia="Times New Roman" w:hAnsi="Verdana" w:cs="Times New Roman"/>
          <w:sz w:val="20"/>
          <w:szCs w:val="20"/>
          <w:lang w:val="es-ES" w:eastAsia="es-MX"/>
        </w:rPr>
        <w:tab/>
        <w:t>Café Créme Arome</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235006</w:t>
      </w:r>
      <w:r w:rsidRPr="00957B34">
        <w:rPr>
          <w:rFonts w:ascii="Verdana" w:eastAsia="Times New Roman" w:hAnsi="Verdana" w:cs="Times New Roman"/>
          <w:sz w:val="20"/>
          <w:szCs w:val="20"/>
          <w:lang w:val="es-ES" w:eastAsia="es-MX"/>
        </w:rPr>
        <w:tab/>
        <w:t>Café Créme Filter Tip</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235007</w:t>
      </w:r>
      <w:r w:rsidRPr="00957B34">
        <w:rPr>
          <w:rFonts w:ascii="Verdana" w:eastAsia="Times New Roman" w:hAnsi="Verdana" w:cs="Times New Roman"/>
          <w:sz w:val="20"/>
          <w:szCs w:val="20"/>
          <w:lang w:val="es-ES" w:eastAsia="es-MX"/>
        </w:rPr>
        <w:tab/>
        <w:t>Café Créme Filter Arome</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235008</w:t>
      </w:r>
      <w:r w:rsidRPr="00957B34">
        <w:rPr>
          <w:rFonts w:ascii="Verdana" w:eastAsia="Times New Roman" w:hAnsi="Verdana" w:cs="Times New Roman"/>
          <w:sz w:val="20"/>
          <w:szCs w:val="20"/>
          <w:lang w:val="es-ES" w:eastAsia="es-MX"/>
        </w:rPr>
        <w:tab/>
        <w:t>Café Créme Noir</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235009</w:t>
      </w:r>
      <w:r w:rsidRPr="00957B34">
        <w:rPr>
          <w:rFonts w:ascii="Verdana" w:eastAsia="Times New Roman" w:hAnsi="Verdana" w:cs="Times New Roman"/>
          <w:sz w:val="20"/>
          <w:szCs w:val="20"/>
          <w:lang w:val="es-ES" w:eastAsia="es-MX"/>
        </w:rPr>
        <w:tab/>
        <w:t>Café Créme French Vainilla</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235010</w:t>
      </w:r>
      <w:r w:rsidRPr="00957B34">
        <w:rPr>
          <w:rFonts w:ascii="Verdana" w:eastAsia="Times New Roman" w:hAnsi="Verdana" w:cs="Times New Roman"/>
          <w:sz w:val="20"/>
          <w:szCs w:val="20"/>
          <w:lang w:val="es-ES" w:eastAsia="es-MX"/>
        </w:rPr>
        <w:tab/>
        <w:t>Café Créme Machiatto</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235011</w:t>
      </w:r>
      <w:r w:rsidRPr="00957B34">
        <w:rPr>
          <w:rFonts w:ascii="Verdana" w:eastAsia="Times New Roman" w:hAnsi="Verdana" w:cs="Times New Roman"/>
          <w:sz w:val="20"/>
          <w:szCs w:val="20"/>
          <w:lang w:val="en-US" w:eastAsia="es-MX"/>
        </w:rPr>
        <w:tab/>
        <w:t>Black Vessel Wood Tip Vainilla</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235012</w:t>
      </w:r>
      <w:r w:rsidRPr="00957B34">
        <w:rPr>
          <w:rFonts w:ascii="Verdana" w:eastAsia="Times New Roman" w:hAnsi="Verdana" w:cs="Times New Roman"/>
          <w:sz w:val="20"/>
          <w:szCs w:val="20"/>
          <w:lang w:val="en-US" w:eastAsia="es-MX"/>
        </w:rPr>
        <w:tab/>
        <w:t>Black Vessel Wood Tip Cherry</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235013</w:t>
      </w:r>
      <w:r w:rsidRPr="00957B34">
        <w:rPr>
          <w:rFonts w:ascii="Verdana" w:eastAsia="Times New Roman" w:hAnsi="Verdana" w:cs="Times New Roman"/>
          <w:sz w:val="20"/>
          <w:szCs w:val="20"/>
          <w:lang w:val="en-US" w:eastAsia="es-MX"/>
        </w:rPr>
        <w:tab/>
        <w:t>Black Vessel Wood Tip Premium Black</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noProof/>
          <w:color w:val="000000"/>
          <w:sz w:val="20"/>
          <w:szCs w:val="20"/>
          <w:lang w:val="en-US" w:eastAsia="es-MX"/>
        </w:rPr>
        <w:t>235014</w:t>
      </w:r>
      <w:r w:rsidRPr="00957B34">
        <w:rPr>
          <w:rFonts w:ascii="Verdana" w:eastAsia="Times New Roman" w:hAnsi="Verdana" w:cs="Times New Roman"/>
          <w:noProof/>
          <w:color w:val="000000"/>
          <w:sz w:val="20"/>
          <w:szCs w:val="20"/>
          <w:lang w:val="en-US" w:eastAsia="es-MX"/>
        </w:rPr>
        <w:tab/>
      </w:r>
      <w:r w:rsidRPr="00957B34">
        <w:rPr>
          <w:rFonts w:ascii="Verdana" w:eastAsia="Times New Roman" w:hAnsi="Verdana" w:cs="Times New Roman"/>
          <w:sz w:val="20"/>
          <w:szCs w:val="20"/>
          <w:lang w:val="en-US" w:eastAsia="es-MX"/>
        </w:rPr>
        <w:t>La Paz Mini Wilde</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noProof/>
          <w:color w:val="000000"/>
          <w:sz w:val="20"/>
          <w:szCs w:val="20"/>
          <w:lang w:val="en-US" w:eastAsia="es-MX"/>
        </w:rPr>
        <w:t xml:space="preserve">235015 </w:t>
      </w:r>
      <w:r w:rsidRPr="00957B34">
        <w:rPr>
          <w:rFonts w:ascii="Verdana" w:eastAsia="Times New Roman" w:hAnsi="Verdana" w:cs="Times New Roman"/>
          <w:noProof/>
          <w:color w:val="000000"/>
          <w:sz w:val="20"/>
          <w:szCs w:val="20"/>
          <w:lang w:val="en-US" w:eastAsia="es-MX"/>
        </w:rPr>
        <w:tab/>
      </w:r>
      <w:r w:rsidRPr="00957B34">
        <w:rPr>
          <w:rFonts w:ascii="Verdana" w:eastAsia="Times New Roman" w:hAnsi="Verdana" w:cs="Times New Roman"/>
          <w:sz w:val="20"/>
          <w:szCs w:val="20"/>
          <w:lang w:val="en-US" w:eastAsia="es-MX"/>
        </w:rPr>
        <w:t>Granger Yellow Originals</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noProof/>
          <w:color w:val="000000"/>
          <w:sz w:val="20"/>
          <w:szCs w:val="20"/>
          <w:lang w:val="en-US" w:eastAsia="es-MX"/>
        </w:rPr>
        <w:t>235016</w:t>
      </w:r>
      <w:r w:rsidRPr="00957B34">
        <w:rPr>
          <w:rFonts w:ascii="Verdana" w:eastAsia="Times New Roman" w:hAnsi="Verdana" w:cs="Times New Roman"/>
          <w:noProof/>
          <w:color w:val="000000"/>
          <w:sz w:val="20"/>
          <w:szCs w:val="20"/>
          <w:lang w:val="en-US" w:eastAsia="es-MX"/>
        </w:rPr>
        <w:tab/>
      </w:r>
      <w:r w:rsidRPr="00957B34">
        <w:rPr>
          <w:rFonts w:ascii="Verdana" w:eastAsia="Times New Roman" w:hAnsi="Verdana" w:cs="Times New Roman"/>
          <w:sz w:val="20"/>
          <w:szCs w:val="20"/>
          <w:lang w:val="en-US" w:eastAsia="es-MX"/>
        </w:rPr>
        <w:t>Granger Red Originals</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noProof/>
          <w:color w:val="000000"/>
          <w:sz w:val="20"/>
          <w:szCs w:val="20"/>
          <w:lang w:val="en-US" w:eastAsia="es-MX"/>
        </w:rPr>
        <w:t xml:space="preserve">235017 </w:t>
      </w:r>
      <w:r w:rsidRPr="00957B34">
        <w:rPr>
          <w:rFonts w:ascii="Verdana" w:eastAsia="Times New Roman" w:hAnsi="Verdana" w:cs="Times New Roman"/>
          <w:noProof/>
          <w:color w:val="000000"/>
          <w:sz w:val="20"/>
          <w:szCs w:val="20"/>
          <w:lang w:val="en-US" w:eastAsia="es-MX"/>
        </w:rPr>
        <w:tab/>
      </w:r>
      <w:r w:rsidRPr="00957B34">
        <w:rPr>
          <w:rFonts w:ascii="Verdana" w:eastAsia="Times New Roman" w:hAnsi="Verdana" w:cs="Times New Roman"/>
          <w:sz w:val="20"/>
          <w:szCs w:val="20"/>
          <w:lang w:val="en-US" w:eastAsia="es-MX"/>
        </w:rPr>
        <w:t>Captain Black Dark Crema</w:t>
      </w:r>
    </w:p>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36.</w:t>
            </w:r>
            <w:r w:rsidRPr="00957B34">
              <w:rPr>
                <w:rFonts w:ascii="Verdana" w:eastAsia="Times New Roman" w:hAnsi="Verdana" w:cs="Arial"/>
                <w:b/>
                <w:sz w:val="20"/>
                <w:szCs w:val="20"/>
                <w:lang w:val="es-ES" w:eastAsia="es-MX"/>
              </w:rPr>
              <w:tab/>
              <w:t xml:space="preserve">PUROS Y TABACOS DON CHEPO Y SUCESORES S.A. DE C.V., </w:t>
            </w:r>
            <w:r w:rsidRPr="00957B34">
              <w:rPr>
                <w:rFonts w:ascii="Verdana" w:eastAsia="Times New Roman" w:hAnsi="Verdana" w:cs="Arial"/>
                <w:b/>
                <w:sz w:val="20"/>
                <w:szCs w:val="20"/>
                <w:lang w:val="es-ES" w:eastAsia="es-MX"/>
              </w:rPr>
              <w:tab/>
              <w:t>R.F.C.PTD971118J42</w:t>
            </w:r>
          </w:p>
        </w:tc>
      </w:tr>
    </w:tbl>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236001</w:t>
      </w:r>
      <w:r w:rsidRPr="00957B34">
        <w:rPr>
          <w:rFonts w:ascii="Verdana" w:eastAsia="Times New Roman" w:hAnsi="Verdana" w:cs="Times New Roman"/>
          <w:sz w:val="20"/>
          <w:szCs w:val="20"/>
          <w:lang w:val="es-ES" w:eastAsia="es-MX"/>
        </w:rPr>
        <w:tab/>
        <w:t>Puros Churchill c/1 Unidad</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236002</w:t>
      </w:r>
      <w:r w:rsidRPr="00957B34">
        <w:rPr>
          <w:rFonts w:ascii="Verdana" w:eastAsia="Times New Roman" w:hAnsi="Verdana" w:cs="Times New Roman"/>
          <w:sz w:val="20"/>
          <w:szCs w:val="20"/>
          <w:lang w:val="es-ES" w:eastAsia="es-MX"/>
        </w:rPr>
        <w:tab/>
        <w:t>Puro Robustos c/1 Unidad</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236003</w:t>
      </w:r>
      <w:r w:rsidRPr="00957B34">
        <w:rPr>
          <w:rFonts w:ascii="Verdana" w:eastAsia="Times New Roman" w:hAnsi="Verdana" w:cs="Times New Roman"/>
          <w:sz w:val="20"/>
          <w:szCs w:val="20"/>
          <w:lang w:val="es-ES" w:eastAsia="es-MX"/>
        </w:rPr>
        <w:tab/>
        <w:t>Puros Aficionados c/1 Unidad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236004</w:t>
      </w:r>
      <w:r w:rsidRPr="00957B34">
        <w:rPr>
          <w:rFonts w:ascii="Verdana" w:eastAsia="Times New Roman" w:hAnsi="Verdana" w:cs="Times New Roman"/>
          <w:sz w:val="20"/>
          <w:szCs w:val="20"/>
          <w:lang w:val="es-ES" w:eastAsia="es-MX"/>
        </w:rPr>
        <w:tab/>
        <w:t>Puros Eliseos c/1 Unidad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236005</w:t>
      </w:r>
      <w:r w:rsidRPr="00957B34">
        <w:rPr>
          <w:rFonts w:ascii="Verdana" w:eastAsia="Times New Roman" w:hAnsi="Verdana" w:cs="Times New Roman"/>
          <w:sz w:val="20"/>
          <w:szCs w:val="20"/>
          <w:lang w:val="es-ES" w:eastAsia="es-MX"/>
        </w:rPr>
        <w:tab/>
        <w:t>Puritos Vainillas c/5 Unidades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236006</w:t>
      </w:r>
      <w:r w:rsidRPr="00957B34">
        <w:rPr>
          <w:rFonts w:ascii="Verdana" w:eastAsia="Times New Roman" w:hAnsi="Verdana" w:cs="Times New Roman"/>
          <w:sz w:val="20"/>
          <w:szCs w:val="20"/>
          <w:lang w:val="es-ES" w:eastAsia="es-MX"/>
        </w:rPr>
        <w:tab/>
        <w:t>Puritos Chocolate c/5 Unidades</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37.</w:t>
            </w:r>
            <w:r w:rsidRPr="00957B34">
              <w:rPr>
                <w:rFonts w:ascii="Verdana" w:eastAsia="Times New Roman" w:hAnsi="Verdana" w:cs="Arial"/>
                <w:b/>
                <w:sz w:val="20"/>
                <w:szCs w:val="20"/>
                <w:lang w:val="es-ES" w:eastAsia="es-MX"/>
              </w:rPr>
              <w:tab/>
              <w:t xml:space="preserve">PAOLINT S.A. DE C.V., </w:t>
            </w:r>
            <w:r w:rsidRPr="00957B34">
              <w:rPr>
                <w:rFonts w:ascii="Verdana" w:eastAsia="Times New Roman" w:hAnsi="Verdana" w:cs="Arial"/>
                <w:b/>
                <w:sz w:val="20"/>
                <w:szCs w:val="20"/>
                <w:lang w:val="es-ES" w:eastAsia="es-MX"/>
              </w:rPr>
              <w:tab/>
              <w:t>R.F.C. PAO100714DA3</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037001</w:t>
      </w:r>
      <w:r w:rsidRPr="00957B34">
        <w:rPr>
          <w:rFonts w:ascii="Verdana" w:eastAsia="Times New Roman" w:hAnsi="Verdana" w:cs="Times New Roman"/>
          <w:sz w:val="20"/>
          <w:szCs w:val="20"/>
          <w:lang w:val="es-ES" w:eastAsia="es-MX"/>
        </w:rPr>
        <w:tab/>
        <w:t>Azabache Cajetilla Dura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037002</w:t>
      </w:r>
      <w:r w:rsidRPr="00957B34">
        <w:rPr>
          <w:rFonts w:ascii="Verdana" w:eastAsia="Times New Roman" w:hAnsi="Verdana" w:cs="Times New Roman"/>
          <w:sz w:val="20"/>
          <w:szCs w:val="20"/>
          <w:lang w:val="es-ES" w:eastAsia="es-MX"/>
        </w:rPr>
        <w:tab/>
        <w:t>Feeling Fresa Cajetilla Dura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037003</w:t>
      </w:r>
      <w:r w:rsidRPr="00957B34">
        <w:rPr>
          <w:rFonts w:ascii="Verdana" w:eastAsia="Times New Roman" w:hAnsi="Verdana" w:cs="Times New Roman"/>
          <w:sz w:val="20"/>
          <w:szCs w:val="20"/>
          <w:lang w:val="es-ES" w:eastAsia="es-MX"/>
        </w:rPr>
        <w:tab/>
        <w:t>Feeling Limón Cajetilla Dura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037004</w:t>
      </w:r>
      <w:r w:rsidRPr="00957B34">
        <w:rPr>
          <w:rFonts w:ascii="Verdana" w:eastAsia="Times New Roman" w:hAnsi="Verdana" w:cs="Times New Roman"/>
          <w:sz w:val="20"/>
          <w:szCs w:val="20"/>
          <w:lang w:val="es-ES" w:eastAsia="es-MX"/>
        </w:rPr>
        <w:tab/>
        <w:t>Feeling Manzana Mentolada Cajetilla Dura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037005</w:t>
      </w:r>
      <w:r w:rsidRPr="00957B34">
        <w:rPr>
          <w:rFonts w:ascii="Verdana" w:eastAsia="Times New Roman" w:hAnsi="Verdana" w:cs="Times New Roman"/>
          <w:sz w:val="20"/>
          <w:szCs w:val="20"/>
          <w:lang w:val="es-ES" w:eastAsia="es-MX"/>
        </w:rPr>
        <w:tab/>
        <w:t>Samba Vainilla Cocoa Cajetilla Dura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037006</w:t>
      </w:r>
      <w:r w:rsidRPr="00957B34">
        <w:rPr>
          <w:rFonts w:ascii="Verdana" w:eastAsia="Times New Roman" w:hAnsi="Verdana" w:cs="Times New Roman"/>
          <w:sz w:val="20"/>
          <w:szCs w:val="20"/>
          <w:lang w:val="es-ES" w:eastAsia="es-MX"/>
        </w:rPr>
        <w:tab/>
        <w:t>Samba Chocolate Cajetilla Dura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037007</w:t>
      </w:r>
      <w:r w:rsidRPr="00957B34">
        <w:rPr>
          <w:rFonts w:ascii="Verdana" w:eastAsia="Times New Roman" w:hAnsi="Verdana" w:cs="Times New Roman"/>
          <w:sz w:val="20"/>
          <w:szCs w:val="20"/>
          <w:lang w:val="es-ES" w:eastAsia="es-MX"/>
        </w:rPr>
        <w:tab/>
        <w:t>Samba Capuchino Cajetilla Dura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037008</w:t>
      </w:r>
      <w:r w:rsidRPr="00957B34">
        <w:rPr>
          <w:rFonts w:ascii="Verdana" w:eastAsia="Times New Roman" w:hAnsi="Verdana" w:cs="Times New Roman"/>
          <w:sz w:val="20"/>
          <w:szCs w:val="20"/>
          <w:lang w:val="es-ES" w:eastAsia="es-MX"/>
        </w:rPr>
        <w:tab/>
        <w:t>Samba Vainilla Cocoa Cajetilla Suave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037009</w:t>
      </w:r>
      <w:r w:rsidRPr="00957B34">
        <w:rPr>
          <w:rFonts w:ascii="Verdana" w:eastAsia="Times New Roman" w:hAnsi="Verdana" w:cs="Times New Roman"/>
          <w:sz w:val="20"/>
          <w:szCs w:val="20"/>
          <w:lang w:val="es-ES" w:eastAsia="es-MX"/>
        </w:rPr>
        <w:tab/>
        <w:t>Samba Chocolate Cajetilla Suave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037010</w:t>
      </w:r>
      <w:r w:rsidRPr="00957B34">
        <w:rPr>
          <w:rFonts w:ascii="Verdana" w:eastAsia="Times New Roman" w:hAnsi="Verdana" w:cs="Times New Roman"/>
          <w:sz w:val="20"/>
          <w:szCs w:val="20"/>
          <w:lang w:val="es-ES" w:eastAsia="es-MX"/>
        </w:rPr>
        <w:tab/>
        <w:t>Samba Capuchino Cajetilla Suave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037011</w:t>
      </w:r>
      <w:r w:rsidRPr="00957B34">
        <w:rPr>
          <w:rFonts w:ascii="Verdana" w:eastAsia="Times New Roman" w:hAnsi="Verdana" w:cs="Times New Roman"/>
          <w:sz w:val="20"/>
          <w:szCs w:val="20"/>
          <w:lang w:val="es-ES" w:eastAsia="es-MX"/>
        </w:rPr>
        <w:tab/>
        <w:t>Azabache Cajetilla Suave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037012</w:t>
      </w:r>
      <w:r w:rsidRPr="00957B34">
        <w:rPr>
          <w:rFonts w:ascii="Verdana" w:eastAsia="Times New Roman" w:hAnsi="Verdana" w:cs="Times New Roman"/>
          <w:sz w:val="20"/>
          <w:szCs w:val="20"/>
          <w:lang w:val="es-ES" w:eastAsia="es-MX"/>
        </w:rPr>
        <w:tab/>
        <w:t>Feeling Fresa Cajetilla Suave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037013</w:t>
      </w:r>
      <w:r w:rsidRPr="00957B34">
        <w:rPr>
          <w:rFonts w:ascii="Verdana" w:eastAsia="Times New Roman" w:hAnsi="Verdana" w:cs="Times New Roman"/>
          <w:sz w:val="20"/>
          <w:szCs w:val="20"/>
          <w:lang w:val="es-ES" w:eastAsia="es-MX"/>
        </w:rPr>
        <w:tab/>
        <w:t>Feeling Limón Cajetilla Suave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037014</w:t>
      </w:r>
      <w:r w:rsidRPr="00957B34">
        <w:rPr>
          <w:rFonts w:ascii="Verdana" w:eastAsia="Times New Roman" w:hAnsi="Verdana" w:cs="Times New Roman"/>
          <w:sz w:val="20"/>
          <w:szCs w:val="20"/>
          <w:lang w:val="es-ES" w:eastAsia="es-MX"/>
        </w:rPr>
        <w:tab/>
        <w:t>Feeling Manzana Mentolada Cajetilla Suave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037015</w:t>
      </w:r>
      <w:r w:rsidRPr="00957B34">
        <w:rPr>
          <w:rFonts w:ascii="Verdana" w:eastAsia="Times New Roman" w:hAnsi="Verdana" w:cs="Times New Roman"/>
          <w:sz w:val="20"/>
          <w:szCs w:val="20"/>
          <w:lang w:val="es-ES" w:eastAsia="es-MX"/>
        </w:rPr>
        <w:tab/>
        <w:t>Picudos Cajetilla Dura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037016</w:t>
      </w:r>
      <w:r w:rsidRPr="00957B34">
        <w:rPr>
          <w:rFonts w:ascii="Verdana" w:eastAsia="Times New Roman" w:hAnsi="Verdana" w:cs="Times New Roman"/>
          <w:sz w:val="20"/>
          <w:szCs w:val="20"/>
          <w:lang w:val="es-ES" w:eastAsia="es-MX"/>
        </w:rPr>
        <w:tab/>
        <w:t>Picudos Cajetilla Suave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137017</w:t>
      </w:r>
      <w:r w:rsidRPr="00957B34">
        <w:rPr>
          <w:rFonts w:ascii="Verdana" w:eastAsia="Times New Roman" w:hAnsi="Verdana" w:cs="Times New Roman"/>
          <w:sz w:val="20"/>
          <w:szCs w:val="20"/>
          <w:lang w:val="es-ES" w:eastAsia="es-MX"/>
        </w:rPr>
        <w:tab/>
        <w:t>Picudos sin Filtro</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38.</w:t>
            </w:r>
            <w:r w:rsidRPr="00957B34">
              <w:rPr>
                <w:rFonts w:ascii="Verdana" w:eastAsia="Times New Roman" w:hAnsi="Verdana" w:cs="Arial"/>
                <w:b/>
                <w:sz w:val="20"/>
                <w:szCs w:val="20"/>
                <w:lang w:val="es-ES" w:eastAsia="es-MX"/>
              </w:rPr>
              <w:tab/>
              <w:t>TABACOS INDUSTRIALES, S.A.</w:t>
            </w:r>
            <w:r w:rsidRPr="00957B34">
              <w:rPr>
                <w:rFonts w:ascii="Verdana" w:eastAsia="Times New Roman" w:hAnsi="Verdana" w:cs="Arial"/>
                <w:b/>
                <w:sz w:val="20"/>
                <w:szCs w:val="20"/>
                <w:lang w:val="es-ES" w:eastAsia="es-MX"/>
              </w:rPr>
              <w:tab/>
              <w:t>R.F.C. TIN660816F70</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t>CLAVES</w:t>
      </w:r>
      <w:r w:rsidRPr="00957B34">
        <w:rPr>
          <w:rFonts w:ascii="Verdana" w:eastAsia="Times New Roman" w:hAnsi="Verdana" w:cs="Times New Roman"/>
          <w:b/>
          <w:sz w:val="20"/>
          <w:szCs w:val="20"/>
          <w:lang w:val="en-US" w:eastAsia="es-MX"/>
        </w:rPr>
        <w:tab/>
      </w:r>
      <w:r w:rsidRPr="00957B34">
        <w:rPr>
          <w:rFonts w:ascii="Verdana" w:eastAsia="Times New Roman" w:hAnsi="Verdana" w:cs="Times New Roman"/>
          <w:b/>
          <w:sz w:val="20"/>
          <w:szCs w:val="20"/>
          <w:lang w:val="en-GB" w:eastAsia="es-MX"/>
        </w:rPr>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338001 </w:t>
      </w:r>
      <w:r w:rsidRPr="00957B34">
        <w:rPr>
          <w:rFonts w:ascii="Verdana" w:eastAsia="Times New Roman" w:hAnsi="Verdana" w:cs="Times New Roman"/>
          <w:sz w:val="20"/>
          <w:szCs w:val="20"/>
          <w:lang w:val="en-GB" w:eastAsia="es-MX"/>
        </w:rPr>
        <w:tab/>
        <w:t>Kentucky Club Regular</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338002 </w:t>
      </w:r>
      <w:r w:rsidRPr="00957B34">
        <w:rPr>
          <w:rFonts w:ascii="Verdana" w:eastAsia="Times New Roman" w:hAnsi="Verdana" w:cs="Times New Roman"/>
          <w:sz w:val="20"/>
          <w:szCs w:val="20"/>
          <w:lang w:val="en-GB" w:eastAsia="es-MX"/>
        </w:rPr>
        <w:tab/>
        <w:t>Vermont Maple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338003 </w:t>
      </w:r>
      <w:r w:rsidRPr="00957B34">
        <w:rPr>
          <w:rFonts w:ascii="Verdana" w:eastAsia="Times New Roman" w:hAnsi="Verdana" w:cs="Times New Roman"/>
          <w:sz w:val="20"/>
          <w:szCs w:val="20"/>
          <w:lang w:val="en-GB" w:eastAsia="es-MX"/>
        </w:rPr>
        <w:tab/>
        <w:t>Kentucky Club Aromático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338004 </w:t>
      </w:r>
      <w:r w:rsidRPr="00957B34">
        <w:rPr>
          <w:rFonts w:ascii="Verdana" w:eastAsia="Times New Roman" w:hAnsi="Verdana" w:cs="Times New Roman"/>
          <w:sz w:val="20"/>
          <w:szCs w:val="20"/>
          <w:lang w:val="en-GB" w:eastAsia="es-MX"/>
        </w:rPr>
        <w:tab/>
        <w:t>Flanders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338005 </w:t>
      </w:r>
      <w:r w:rsidRPr="00957B34">
        <w:rPr>
          <w:rFonts w:ascii="Verdana" w:eastAsia="Times New Roman" w:hAnsi="Verdana" w:cs="Times New Roman"/>
          <w:sz w:val="20"/>
          <w:szCs w:val="20"/>
          <w:lang w:val="en-GB" w:eastAsia="es-MX"/>
        </w:rPr>
        <w:tab/>
        <w:t>Kahlua Aromático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338006 </w:t>
      </w:r>
      <w:r w:rsidRPr="00957B34">
        <w:rPr>
          <w:rFonts w:ascii="Verdana" w:eastAsia="Times New Roman" w:hAnsi="Verdana" w:cs="Times New Roman"/>
          <w:sz w:val="20"/>
          <w:szCs w:val="20"/>
          <w:lang w:val="en-GB" w:eastAsia="es-MX"/>
        </w:rPr>
        <w:tab/>
        <w:t>Kahlua Cherry</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338007 </w:t>
      </w:r>
      <w:r w:rsidRPr="00957B34">
        <w:rPr>
          <w:rFonts w:ascii="Verdana" w:eastAsia="Times New Roman" w:hAnsi="Verdana" w:cs="Times New Roman"/>
          <w:sz w:val="20"/>
          <w:szCs w:val="20"/>
          <w:lang w:val="en-GB" w:eastAsia="es-MX"/>
        </w:rPr>
        <w:tab/>
        <w:t>London Dock</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338008 </w:t>
      </w:r>
      <w:r w:rsidRPr="00957B34">
        <w:rPr>
          <w:rFonts w:ascii="Verdana" w:eastAsia="Times New Roman" w:hAnsi="Verdana" w:cs="Times New Roman"/>
          <w:sz w:val="20"/>
          <w:szCs w:val="20"/>
          <w:lang w:val="en-GB" w:eastAsia="es-MX"/>
        </w:rPr>
        <w:tab/>
        <w:t>Brush Creek</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338009 </w:t>
      </w:r>
      <w:r w:rsidRPr="00957B34">
        <w:rPr>
          <w:rFonts w:ascii="Verdana" w:eastAsia="Times New Roman" w:hAnsi="Verdana" w:cs="Times New Roman"/>
          <w:sz w:val="20"/>
          <w:szCs w:val="20"/>
          <w:lang w:val="en-GB" w:eastAsia="es-MX"/>
        </w:rPr>
        <w:tab/>
        <w:t>Whitehall Amaretto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338010 </w:t>
      </w:r>
      <w:r w:rsidRPr="00957B34">
        <w:rPr>
          <w:rFonts w:ascii="Verdana" w:eastAsia="Times New Roman" w:hAnsi="Verdana" w:cs="Times New Roman"/>
          <w:sz w:val="20"/>
          <w:szCs w:val="20"/>
          <w:lang w:val="en-GB" w:eastAsia="es-MX"/>
        </w:rPr>
        <w:tab/>
        <w:t>Whitehall Geraniumm</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338011 </w:t>
      </w:r>
      <w:r w:rsidRPr="00957B34">
        <w:rPr>
          <w:rFonts w:ascii="Verdana" w:eastAsia="Times New Roman" w:hAnsi="Verdana" w:cs="Times New Roman"/>
          <w:sz w:val="20"/>
          <w:szCs w:val="20"/>
          <w:lang w:val="en-GB" w:eastAsia="es-MX"/>
        </w:rPr>
        <w:tab/>
        <w:t>Whitehall Blues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338012 </w:t>
      </w:r>
      <w:r w:rsidRPr="00957B34">
        <w:rPr>
          <w:rFonts w:ascii="Verdana" w:eastAsia="Times New Roman" w:hAnsi="Verdana" w:cs="Times New Roman"/>
          <w:sz w:val="20"/>
          <w:szCs w:val="20"/>
          <w:lang w:val="en-GB" w:eastAsia="es-MX"/>
        </w:rPr>
        <w:tab/>
        <w:t>Whitehall Mango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338013 </w:t>
      </w:r>
      <w:r w:rsidRPr="00957B34">
        <w:rPr>
          <w:rFonts w:ascii="Verdana" w:eastAsia="Times New Roman" w:hAnsi="Verdana" w:cs="Times New Roman"/>
          <w:sz w:val="20"/>
          <w:szCs w:val="20"/>
          <w:lang w:val="en-GB" w:eastAsia="es-MX"/>
        </w:rPr>
        <w:tab/>
        <w:t>Whitehall Noblet</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338014 </w:t>
      </w:r>
      <w:r w:rsidRPr="00957B34">
        <w:rPr>
          <w:rFonts w:ascii="Verdana" w:eastAsia="Times New Roman" w:hAnsi="Verdana" w:cs="Times New Roman"/>
          <w:sz w:val="20"/>
          <w:szCs w:val="20"/>
          <w:lang w:val="en-GB" w:eastAsia="es-MX"/>
        </w:rPr>
        <w:tab/>
        <w:t>Whitehall Meadow</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338015 </w:t>
      </w:r>
      <w:r w:rsidRPr="00957B34">
        <w:rPr>
          <w:rFonts w:ascii="Verdana" w:eastAsia="Times New Roman" w:hAnsi="Verdana" w:cs="Times New Roman"/>
          <w:sz w:val="20"/>
          <w:szCs w:val="20"/>
          <w:lang w:val="en-GB" w:eastAsia="es-MX"/>
        </w:rPr>
        <w:tab/>
        <w:t>Kaywoodie Obscuro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 xml:space="preserve">338016 </w:t>
      </w:r>
      <w:r w:rsidRPr="00957B34">
        <w:rPr>
          <w:rFonts w:ascii="Verdana" w:eastAsia="Times New Roman" w:hAnsi="Verdana" w:cs="Times New Roman"/>
          <w:sz w:val="20"/>
          <w:szCs w:val="20"/>
          <w:lang w:val="en-GB" w:eastAsia="es-MX"/>
        </w:rPr>
        <w:tab/>
        <w:t>Kaywoodie Rubio</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lastRenderedPageBreak/>
        <w:t>338017</w:t>
      </w:r>
      <w:r w:rsidRPr="00957B34">
        <w:rPr>
          <w:rFonts w:ascii="Verdana" w:eastAsia="Times New Roman" w:hAnsi="Verdana" w:cs="Times New Roman"/>
          <w:sz w:val="20"/>
          <w:szCs w:val="20"/>
          <w:lang w:val="en-GB" w:eastAsia="es-MX"/>
        </w:rPr>
        <w:tab/>
        <w:t>Kaywoodie Uva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338018</w:t>
      </w:r>
      <w:r w:rsidRPr="00957B34">
        <w:rPr>
          <w:rFonts w:ascii="Verdana" w:eastAsia="Times New Roman" w:hAnsi="Verdana" w:cs="Times New Roman"/>
          <w:sz w:val="20"/>
          <w:szCs w:val="20"/>
          <w:lang w:val="en-GB" w:eastAsia="es-MX"/>
        </w:rPr>
        <w:tab/>
        <w:t>Kaywoodie Fresa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338019</w:t>
      </w:r>
      <w:r w:rsidRPr="00957B34">
        <w:rPr>
          <w:rFonts w:ascii="Verdana" w:eastAsia="Times New Roman" w:hAnsi="Verdana" w:cs="Times New Roman"/>
          <w:sz w:val="20"/>
          <w:szCs w:val="20"/>
          <w:lang w:val="en-GB" w:eastAsia="es-MX"/>
        </w:rPr>
        <w:tab/>
        <w:t>Kaywoodie Chocolate</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338020</w:t>
      </w:r>
      <w:r w:rsidRPr="00957B34">
        <w:rPr>
          <w:rFonts w:ascii="Verdana" w:eastAsia="Times New Roman" w:hAnsi="Verdana" w:cs="Times New Roman"/>
          <w:sz w:val="20"/>
          <w:szCs w:val="20"/>
          <w:lang w:val="es-ES" w:eastAsia="es-MX"/>
        </w:rPr>
        <w:tab/>
        <w:t>Kaywoodie Mora</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338021</w:t>
      </w:r>
      <w:r w:rsidRPr="00957B34">
        <w:rPr>
          <w:rFonts w:ascii="Verdana" w:eastAsia="Times New Roman" w:hAnsi="Verdana" w:cs="Times New Roman"/>
          <w:sz w:val="20"/>
          <w:szCs w:val="20"/>
          <w:lang w:val="es-ES" w:eastAsia="es-MX"/>
        </w:rPr>
        <w:tab/>
        <w:t>Kaywoodie Vainilla</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39.</w:t>
            </w:r>
            <w:r w:rsidRPr="00957B34">
              <w:rPr>
                <w:rFonts w:ascii="Verdana" w:eastAsia="Times New Roman" w:hAnsi="Verdana" w:cs="Arial"/>
                <w:b/>
                <w:sz w:val="20"/>
                <w:szCs w:val="20"/>
                <w:lang w:val="es-ES" w:eastAsia="es-MX"/>
              </w:rPr>
              <w:tab/>
              <w:t>CAVA MAGNA, S.A. DE C.V.</w:t>
            </w:r>
            <w:r w:rsidRPr="00957B34">
              <w:rPr>
                <w:rFonts w:ascii="Verdana" w:eastAsia="Times New Roman" w:hAnsi="Verdana" w:cs="Arial"/>
                <w:b/>
                <w:sz w:val="20"/>
                <w:szCs w:val="20"/>
                <w:lang w:val="es-ES" w:eastAsia="es-MX"/>
              </w:rPr>
              <w:tab/>
              <w:t>R.F.C. CMA070226UK8</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039001 </w:t>
      </w:r>
      <w:r w:rsidRPr="00957B34">
        <w:rPr>
          <w:rFonts w:ascii="Verdana" w:eastAsia="Times New Roman" w:hAnsi="Verdana" w:cs="Times New Roman"/>
          <w:sz w:val="20"/>
          <w:szCs w:val="20"/>
          <w:lang w:val="es-ES" w:eastAsia="es-MX"/>
        </w:rPr>
        <w:tab/>
        <w:t>Seneca Rojo, 20’s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039002 </w:t>
      </w:r>
      <w:r w:rsidRPr="00957B34">
        <w:rPr>
          <w:rFonts w:ascii="Verdana" w:eastAsia="Times New Roman" w:hAnsi="Verdana" w:cs="Times New Roman"/>
          <w:sz w:val="20"/>
          <w:szCs w:val="20"/>
          <w:lang w:val="es-ES" w:eastAsia="es-MX"/>
        </w:rPr>
        <w:tab/>
        <w:t>Seneca Azul, 20’s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039003 </w:t>
      </w:r>
      <w:r w:rsidRPr="00957B34">
        <w:rPr>
          <w:rFonts w:ascii="Verdana" w:eastAsia="Times New Roman" w:hAnsi="Verdana" w:cs="Times New Roman"/>
          <w:sz w:val="20"/>
          <w:szCs w:val="20"/>
          <w:lang w:val="es-ES" w:eastAsia="es-MX"/>
        </w:rPr>
        <w:tab/>
        <w:t>Seneca Verde, 20’s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039004 </w:t>
      </w:r>
      <w:r w:rsidRPr="00957B34">
        <w:rPr>
          <w:rFonts w:ascii="Verdana" w:eastAsia="Times New Roman" w:hAnsi="Verdana" w:cs="Times New Roman"/>
          <w:sz w:val="20"/>
          <w:szCs w:val="20"/>
          <w:lang w:val="es-ES" w:eastAsia="es-MX"/>
        </w:rPr>
        <w:tab/>
        <w:t>Seneca Rojo, 20’s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039005 </w:t>
      </w:r>
      <w:r w:rsidRPr="00957B34">
        <w:rPr>
          <w:rFonts w:ascii="Verdana" w:eastAsia="Times New Roman" w:hAnsi="Verdana" w:cs="Times New Roman"/>
          <w:sz w:val="20"/>
          <w:szCs w:val="20"/>
          <w:lang w:val="es-ES" w:eastAsia="es-MX"/>
        </w:rPr>
        <w:tab/>
        <w:t>Seneca Azul, 20’s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039006 </w:t>
      </w:r>
      <w:r w:rsidRPr="00957B34">
        <w:rPr>
          <w:rFonts w:ascii="Verdana" w:eastAsia="Times New Roman" w:hAnsi="Verdana" w:cs="Times New Roman"/>
          <w:sz w:val="20"/>
          <w:szCs w:val="20"/>
          <w:lang w:val="es-ES" w:eastAsia="es-MX"/>
        </w:rPr>
        <w:tab/>
        <w:t>Seneca Verde, 20’s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039007 </w:t>
      </w:r>
      <w:r w:rsidRPr="00957B34">
        <w:rPr>
          <w:rFonts w:ascii="Verdana" w:eastAsia="Times New Roman" w:hAnsi="Verdana" w:cs="Times New Roman"/>
          <w:sz w:val="20"/>
          <w:szCs w:val="20"/>
          <w:lang w:val="es-ES" w:eastAsia="es-MX"/>
        </w:rPr>
        <w:tab/>
        <w:t>Seneca Rojo, 17’s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039008 </w:t>
      </w:r>
      <w:r w:rsidRPr="00957B34">
        <w:rPr>
          <w:rFonts w:ascii="Verdana" w:eastAsia="Times New Roman" w:hAnsi="Verdana" w:cs="Times New Roman"/>
          <w:sz w:val="20"/>
          <w:szCs w:val="20"/>
          <w:lang w:val="es-ES" w:eastAsia="es-MX"/>
        </w:rPr>
        <w:tab/>
        <w:t>Seneca Azul, 17’s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039009 </w:t>
      </w:r>
      <w:r w:rsidRPr="00957B34">
        <w:rPr>
          <w:rFonts w:ascii="Verdana" w:eastAsia="Times New Roman" w:hAnsi="Verdana" w:cs="Times New Roman"/>
          <w:sz w:val="20"/>
          <w:szCs w:val="20"/>
          <w:lang w:val="es-ES" w:eastAsia="es-MX"/>
        </w:rPr>
        <w:tab/>
        <w:t>Seneca Verde, 17’s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039010 </w:t>
      </w:r>
      <w:r w:rsidRPr="00957B34">
        <w:rPr>
          <w:rFonts w:ascii="Verdana" w:eastAsia="Times New Roman" w:hAnsi="Verdana" w:cs="Times New Roman"/>
          <w:sz w:val="20"/>
          <w:szCs w:val="20"/>
          <w:lang w:val="es-ES" w:eastAsia="es-MX"/>
        </w:rPr>
        <w:tab/>
        <w:t>Seneca Rojo, 17’s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039011 </w:t>
      </w:r>
      <w:r w:rsidRPr="00957B34">
        <w:rPr>
          <w:rFonts w:ascii="Verdana" w:eastAsia="Times New Roman" w:hAnsi="Verdana" w:cs="Times New Roman"/>
          <w:sz w:val="20"/>
          <w:szCs w:val="20"/>
          <w:lang w:val="es-ES" w:eastAsia="es-MX"/>
        </w:rPr>
        <w:tab/>
        <w:t>Seneca Azul, 17’s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039012 </w:t>
      </w:r>
      <w:r w:rsidRPr="00957B34">
        <w:rPr>
          <w:rFonts w:ascii="Verdana" w:eastAsia="Times New Roman" w:hAnsi="Verdana" w:cs="Times New Roman"/>
          <w:sz w:val="20"/>
          <w:szCs w:val="20"/>
          <w:lang w:val="es-ES" w:eastAsia="es-MX"/>
        </w:rPr>
        <w:tab/>
        <w:t>Seneca Verde, 17’s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039013 </w:t>
      </w:r>
      <w:r w:rsidRPr="00957B34">
        <w:rPr>
          <w:rFonts w:ascii="Verdana" w:eastAsia="Times New Roman" w:hAnsi="Verdana" w:cs="Times New Roman"/>
          <w:sz w:val="20"/>
          <w:szCs w:val="20"/>
          <w:lang w:val="es-ES" w:eastAsia="es-MX"/>
        </w:rPr>
        <w:tab/>
        <w:t>Seneca Rojo, 14’s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039014 </w:t>
      </w:r>
      <w:r w:rsidRPr="00957B34">
        <w:rPr>
          <w:rFonts w:ascii="Verdana" w:eastAsia="Times New Roman" w:hAnsi="Verdana" w:cs="Times New Roman"/>
          <w:sz w:val="20"/>
          <w:szCs w:val="20"/>
          <w:lang w:val="es-ES" w:eastAsia="es-MX"/>
        </w:rPr>
        <w:tab/>
        <w:t>Seneca Azul, 14’s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039015 </w:t>
      </w:r>
      <w:r w:rsidRPr="00957B34">
        <w:rPr>
          <w:rFonts w:ascii="Verdana" w:eastAsia="Times New Roman" w:hAnsi="Verdana" w:cs="Times New Roman"/>
          <w:sz w:val="20"/>
          <w:szCs w:val="20"/>
          <w:lang w:val="es-ES" w:eastAsia="es-MX"/>
        </w:rPr>
        <w:tab/>
        <w:t>Seneca Verde, 14’s C.D.</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039016 </w:t>
      </w:r>
      <w:r w:rsidRPr="00957B34">
        <w:rPr>
          <w:rFonts w:ascii="Verdana" w:eastAsia="Times New Roman" w:hAnsi="Verdana" w:cs="Times New Roman"/>
          <w:sz w:val="20"/>
          <w:szCs w:val="20"/>
          <w:lang w:val="es-ES" w:eastAsia="es-MX"/>
        </w:rPr>
        <w:tab/>
        <w:t>Seneca Rojo, 14’s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xml:space="preserve">039017 </w:t>
      </w:r>
      <w:r w:rsidRPr="00957B34">
        <w:rPr>
          <w:rFonts w:ascii="Verdana" w:eastAsia="Times New Roman" w:hAnsi="Verdana" w:cs="Times New Roman"/>
          <w:sz w:val="20"/>
          <w:szCs w:val="20"/>
          <w:lang w:val="es-ES" w:eastAsia="es-MX"/>
        </w:rPr>
        <w:tab/>
        <w:t>Seneca Azul, 14’s C.S.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 xml:space="preserve">039018 </w:t>
      </w:r>
      <w:r w:rsidRPr="00957B34">
        <w:rPr>
          <w:rFonts w:ascii="Verdana" w:eastAsia="Times New Roman" w:hAnsi="Verdana" w:cs="Times New Roman"/>
          <w:sz w:val="20"/>
          <w:szCs w:val="20"/>
          <w:lang w:val="es-ES" w:eastAsia="es-MX"/>
        </w:rPr>
        <w:tab/>
        <w:t>Seneca Verde, 14’s C.S.</w:t>
      </w:r>
    </w:p>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5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40.</w:t>
            </w:r>
            <w:r w:rsidRPr="00957B34">
              <w:rPr>
                <w:rFonts w:ascii="Verdana" w:eastAsia="Times New Roman" w:hAnsi="Verdana" w:cs="Arial"/>
                <w:b/>
                <w:sz w:val="20"/>
                <w:szCs w:val="20"/>
                <w:lang w:val="es-ES" w:eastAsia="es-MX"/>
              </w:rPr>
              <w:tab/>
              <w:t>CECOREX, S.A. DE C.V.</w:t>
            </w:r>
            <w:r w:rsidRPr="00957B34">
              <w:rPr>
                <w:rFonts w:ascii="Verdana" w:eastAsia="Times New Roman" w:hAnsi="Verdana" w:cs="Arial"/>
                <w:b/>
                <w:sz w:val="20"/>
                <w:szCs w:val="20"/>
                <w:lang w:val="es-ES" w:eastAsia="es-MX"/>
              </w:rPr>
              <w:tab/>
              <w:t>R.F.C. CEC101213DI4</w:t>
            </w:r>
          </w:p>
        </w:tc>
      </w:tr>
    </w:tbl>
    <w:p w:rsidR="00957B34" w:rsidRPr="00957B34" w:rsidRDefault="00957B34" w:rsidP="00957B34">
      <w:pPr>
        <w:spacing w:before="100" w:beforeAutospacing="1" w:after="100" w:afterAutospacing="1" w:line="21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440001</w:t>
      </w:r>
      <w:r w:rsidRPr="00957B34">
        <w:rPr>
          <w:rFonts w:ascii="Verdana" w:eastAsia="Times New Roman" w:hAnsi="Verdana" w:cs="Times New Roman"/>
          <w:sz w:val="20"/>
          <w:szCs w:val="20"/>
          <w:lang w:val="es-ES" w:eastAsia="es-MX"/>
        </w:rPr>
        <w:tab/>
        <w:t>Buena Vista Reserva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440002</w:t>
      </w:r>
      <w:r w:rsidRPr="00957B34">
        <w:rPr>
          <w:rFonts w:ascii="Verdana" w:eastAsia="Times New Roman" w:hAnsi="Verdana" w:cs="Times New Roman"/>
          <w:sz w:val="20"/>
          <w:szCs w:val="20"/>
          <w:lang w:val="es-ES" w:eastAsia="es-MX"/>
        </w:rPr>
        <w:tab/>
        <w:t>Buena Vista Reserva Robusto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440003</w:t>
      </w:r>
      <w:r w:rsidRPr="00957B34">
        <w:rPr>
          <w:rFonts w:ascii="Verdana" w:eastAsia="Times New Roman" w:hAnsi="Verdana" w:cs="Times New Roman"/>
          <w:sz w:val="20"/>
          <w:szCs w:val="20"/>
          <w:lang w:val="es-ES" w:eastAsia="es-MX"/>
        </w:rPr>
        <w:tab/>
        <w:t>Buena Vista Reserva Corona Larga</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440004</w:t>
      </w:r>
      <w:r w:rsidRPr="00957B34">
        <w:rPr>
          <w:rFonts w:ascii="Verdana" w:eastAsia="Times New Roman" w:hAnsi="Verdana" w:cs="Times New Roman"/>
          <w:sz w:val="20"/>
          <w:szCs w:val="20"/>
          <w:lang w:val="es-ES" w:eastAsia="es-MX"/>
        </w:rPr>
        <w:tab/>
        <w:t>Buena Vista Reserva Doble Robusto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440005</w:t>
      </w:r>
      <w:r w:rsidRPr="00957B34">
        <w:rPr>
          <w:rFonts w:ascii="Verdana" w:eastAsia="Times New Roman" w:hAnsi="Verdana" w:cs="Times New Roman"/>
          <w:sz w:val="20"/>
          <w:szCs w:val="20"/>
          <w:lang w:val="es-ES" w:eastAsia="es-MX"/>
        </w:rPr>
        <w:tab/>
        <w:t>Buena Vista Reserva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950"/>
        </w:tabs>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440006</w:t>
      </w:r>
      <w:r w:rsidRPr="00957B34">
        <w:rPr>
          <w:rFonts w:ascii="Verdana" w:eastAsia="Times New Roman" w:hAnsi="Verdana" w:cs="Times New Roman"/>
          <w:sz w:val="20"/>
          <w:szCs w:val="20"/>
          <w:lang w:val="es-ES" w:eastAsia="es-MX"/>
        </w:rPr>
        <w:tab/>
        <w:t>Buena Vista Reserva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440007</w:t>
      </w:r>
      <w:r w:rsidRPr="00957B34">
        <w:rPr>
          <w:rFonts w:ascii="Verdana" w:eastAsia="Times New Roman" w:hAnsi="Verdana" w:cs="Times New Roman"/>
          <w:sz w:val="20"/>
          <w:szCs w:val="20"/>
          <w:lang w:val="es-ES" w:eastAsia="es-MX"/>
        </w:rPr>
        <w:tab/>
        <w:t>Buena Vista Reserva Short Churchill</w:t>
      </w:r>
      <w:r w:rsidRPr="00957B34">
        <w:rPr>
          <w:rFonts w:ascii="Verdana" w:eastAsia="Times New Roman" w:hAnsi="Verdana" w:cs="Times New Roman"/>
          <w:sz w:val="20"/>
          <w:szCs w:val="20"/>
          <w:lang w:val="es-ES" w:eastAsia="es-MX"/>
        </w:rPr>
        <w:tab/>
        <w:t>54 x 110</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440008</w:t>
      </w:r>
      <w:r w:rsidRPr="00957B34">
        <w:rPr>
          <w:rFonts w:ascii="Verdana" w:eastAsia="Times New Roman" w:hAnsi="Verdana" w:cs="Times New Roman"/>
          <w:sz w:val="20"/>
          <w:szCs w:val="20"/>
          <w:lang w:val="es-ES" w:eastAsia="es-MX"/>
        </w:rPr>
        <w:tab/>
        <w:t>Buena Vista Reserva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spacing w:before="100" w:beforeAutospacing="1" w:after="100" w:afterAutospacing="1" w:line="21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440009</w:t>
      </w:r>
      <w:r w:rsidRPr="00957B34">
        <w:rPr>
          <w:rFonts w:ascii="Verdana" w:eastAsia="Times New Roman" w:hAnsi="Verdana" w:cs="Times New Roman"/>
          <w:sz w:val="20"/>
          <w:szCs w:val="20"/>
          <w:lang w:val="es-ES" w:eastAsia="es-MX"/>
        </w:rPr>
        <w:tab/>
        <w:t>Buena Vista Reserva Piramides</w:t>
      </w:r>
      <w:r w:rsidRPr="00957B34">
        <w:rPr>
          <w:rFonts w:ascii="Verdana" w:eastAsia="Times New Roman" w:hAnsi="Verdana" w:cs="Times New Roman"/>
          <w:sz w:val="20"/>
          <w:szCs w:val="20"/>
          <w:lang w:val="es-ES" w:eastAsia="es-MX"/>
        </w:rPr>
        <w:tab/>
        <w:t>52 x 160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440010</w:t>
      </w:r>
      <w:r w:rsidRPr="00957B34">
        <w:rPr>
          <w:rFonts w:ascii="Verdana" w:eastAsia="Times New Roman" w:hAnsi="Verdana" w:cs="Times New Roman"/>
          <w:sz w:val="20"/>
          <w:szCs w:val="20"/>
          <w:lang w:val="es-ES" w:eastAsia="es-MX"/>
        </w:rPr>
        <w:tab/>
        <w:t>Buena Vista Limitada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440011</w:t>
      </w:r>
      <w:r w:rsidRPr="00957B34">
        <w:rPr>
          <w:rFonts w:ascii="Verdana" w:eastAsia="Times New Roman" w:hAnsi="Verdana" w:cs="Times New Roman"/>
          <w:sz w:val="20"/>
          <w:szCs w:val="20"/>
          <w:lang w:val="es-ES" w:eastAsia="es-MX"/>
        </w:rPr>
        <w:tab/>
        <w:t>Buena Vista Limitada Robusto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440012</w:t>
      </w:r>
      <w:r w:rsidRPr="00957B34">
        <w:rPr>
          <w:rFonts w:ascii="Verdana" w:eastAsia="Times New Roman" w:hAnsi="Verdana" w:cs="Times New Roman"/>
          <w:sz w:val="20"/>
          <w:szCs w:val="20"/>
          <w:lang w:val="es-ES" w:eastAsia="es-MX"/>
        </w:rPr>
        <w:tab/>
        <w:t>Buena Vista Limitada Corona Larga</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440013</w:t>
      </w:r>
      <w:r w:rsidRPr="00957B34">
        <w:rPr>
          <w:rFonts w:ascii="Verdana" w:eastAsia="Times New Roman" w:hAnsi="Verdana" w:cs="Times New Roman"/>
          <w:sz w:val="20"/>
          <w:szCs w:val="20"/>
          <w:lang w:val="es-ES" w:eastAsia="es-MX"/>
        </w:rPr>
        <w:tab/>
        <w:t>Buena Vista Limitada Doble Robusto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440014</w:t>
      </w:r>
      <w:r w:rsidRPr="00957B34">
        <w:rPr>
          <w:rFonts w:ascii="Verdana" w:eastAsia="Times New Roman" w:hAnsi="Verdana" w:cs="Times New Roman"/>
          <w:sz w:val="20"/>
          <w:szCs w:val="20"/>
          <w:lang w:val="es-ES" w:eastAsia="es-MX"/>
        </w:rPr>
        <w:tab/>
        <w:t>Buena Vista Limitada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95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440015</w:t>
      </w:r>
      <w:r w:rsidRPr="00957B34">
        <w:rPr>
          <w:rFonts w:ascii="Verdana" w:eastAsia="Times New Roman" w:hAnsi="Verdana" w:cs="Times New Roman"/>
          <w:sz w:val="20"/>
          <w:szCs w:val="20"/>
          <w:lang w:val="es-ES" w:eastAsia="es-MX"/>
        </w:rPr>
        <w:tab/>
        <w:t>Buena Vista Limitada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440016</w:t>
      </w:r>
      <w:r w:rsidRPr="00957B34">
        <w:rPr>
          <w:rFonts w:ascii="Verdana" w:eastAsia="Times New Roman" w:hAnsi="Verdana" w:cs="Times New Roman"/>
          <w:sz w:val="20"/>
          <w:szCs w:val="20"/>
          <w:lang w:val="es-ES" w:eastAsia="es-MX"/>
        </w:rPr>
        <w:tab/>
        <w:t>Buena Vista Limitada Short Churchill</w:t>
      </w:r>
      <w:r w:rsidRPr="00957B34">
        <w:rPr>
          <w:rFonts w:ascii="Verdana" w:eastAsia="Times New Roman" w:hAnsi="Verdana" w:cs="Times New Roman"/>
          <w:sz w:val="20"/>
          <w:szCs w:val="20"/>
          <w:lang w:val="es-ES" w:eastAsia="es-MX"/>
        </w:rPr>
        <w:tab/>
        <w:t>54 x 110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440017</w:t>
      </w:r>
      <w:r w:rsidRPr="00957B34">
        <w:rPr>
          <w:rFonts w:ascii="Verdana" w:eastAsia="Times New Roman" w:hAnsi="Verdana" w:cs="Times New Roman"/>
          <w:sz w:val="20"/>
          <w:szCs w:val="20"/>
          <w:lang w:val="es-ES" w:eastAsia="es-MX"/>
        </w:rPr>
        <w:tab/>
        <w:t>Buena Vista Limitada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tabs>
          <w:tab w:val="left" w:pos="495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440018</w:t>
      </w:r>
      <w:r w:rsidRPr="00957B34">
        <w:rPr>
          <w:rFonts w:ascii="Verdana" w:eastAsia="Times New Roman" w:hAnsi="Verdana" w:cs="Times New Roman"/>
          <w:sz w:val="20"/>
          <w:szCs w:val="20"/>
          <w:lang w:val="es-ES" w:eastAsia="es-MX"/>
        </w:rPr>
        <w:tab/>
        <w:t>Buena Vista Limitada Piramides</w:t>
      </w:r>
      <w:r w:rsidRPr="00957B34">
        <w:rPr>
          <w:rFonts w:ascii="Verdana" w:eastAsia="Times New Roman" w:hAnsi="Verdana" w:cs="Times New Roman"/>
          <w:sz w:val="20"/>
          <w:szCs w:val="20"/>
          <w:lang w:val="es-ES" w:eastAsia="es-MX"/>
        </w:rPr>
        <w:tab/>
        <w:t>52 x 160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440019</w:t>
      </w:r>
      <w:r w:rsidRPr="00957B34">
        <w:rPr>
          <w:rFonts w:ascii="Verdana" w:eastAsia="Times New Roman" w:hAnsi="Verdana" w:cs="Times New Roman"/>
          <w:sz w:val="20"/>
          <w:szCs w:val="20"/>
          <w:lang w:val="es-ES" w:eastAsia="es-MX"/>
        </w:rPr>
        <w:tab/>
        <w:t>Btf Reserva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440020</w:t>
      </w:r>
      <w:r w:rsidRPr="00957B34">
        <w:rPr>
          <w:rFonts w:ascii="Verdana" w:eastAsia="Times New Roman" w:hAnsi="Verdana" w:cs="Times New Roman"/>
          <w:sz w:val="20"/>
          <w:szCs w:val="20"/>
          <w:lang w:val="es-ES" w:eastAsia="es-MX"/>
        </w:rPr>
        <w:tab/>
        <w:t>Btf Reserva Robusto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440021</w:t>
      </w:r>
      <w:r w:rsidRPr="00957B34">
        <w:rPr>
          <w:rFonts w:ascii="Verdana" w:eastAsia="Times New Roman" w:hAnsi="Verdana" w:cs="Times New Roman"/>
          <w:sz w:val="20"/>
          <w:szCs w:val="20"/>
          <w:lang w:val="es-ES" w:eastAsia="es-MX"/>
        </w:rPr>
        <w:tab/>
        <w:t>Btf Reserva Corona Larga</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440022</w:t>
      </w:r>
      <w:r w:rsidRPr="00957B34">
        <w:rPr>
          <w:rFonts w:ascii="Verdana" w:eastAsia="Times New Roman" w:hAnsi="Verdana" w:cs="Times New Roman"/>
          <w:sz w:val="20"/>
          <w:szCs w:val="20"/>
          <w:lang w:val="es-ES" w:eastAsia="es-MX"/>
        </w:rPr>
        <w:tab/>
        <w:t>Btf Reserva Doble Robusto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440023</w:t>
      </w:r>
      <w:r w:rsidRPr="00957B34">
        <w:rPr>
          <w:rFonts w:ascii="Verdana" w:eastAsia="Times New Roman" w:hAnsi="Verdana" w:cs="Times New Roman"/>
          <w:sz w:val="20"/>
          <w:szCs w:val="20"/>
          <w:lang w:val="es-ES" w:eastAsia="es-MX"/>
        </w:rPr>
        <w:tab/>
        <w:t>Btf Reserva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23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440024</w:t>
      </w:r>
      <w:r w:rsidRPr="00957B34">
        <w:rPr>
          <w:rFonts w:ascii="Verdana" w:eastAsia="Times New Roman" w:hAnsi="Verdana" w:cs="Times New Roman"/>
          <w:sz w:val="20"/>
          <w:szCs w:val="20"/>
          <w:lang w:val="es-ES" w:eastAsia="es-MX"/>
        </w:rPr>
        <w:tab/>
        <w:t>Btf Reserva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440025</w:t>
      </w:r>
      <w:r w:rsidRPr="00957B34">
        <w:rPr>
          <w:rFonts w:ascii="Verdana" w:eastAsia="Times New Roman" w:hAnsi="Verdana" w:cs="Times New Roman"/>
          <w:sz w:val="20"/>
          <w:szCs w:val="20"/>
          <w:lang w:val="en-GB" w:eastAsia="es-MX"/>
        </w:rPr>
        <w:tab/>
        <w:t>Btf Reserva Short Churchill</w:t>
      </w:r>
      <w:r w:rsidRPr="00957B34">
        <w:rPr>
          <w:rFonts w:ascii="Verdana" w:eastAsia="Times New Roman" w:hAnsi="Verdana" w:cs="Times New Roman"/>
          <w:sz w:val="20"/>
          <w:szCs w:val="20"/>
          <w:lang w:val="en-GB" w:eastAsia="es-MX"/>
        </w:rPr>
        <w:tab/>
        <w:t>54 x 110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440026</w:t>
      </w:r>
      <w:r w:rsidRPr="00957B34">
        <w:rPr>
          <w:rFonts w:ascii="Verdana" w:eastAsia="Times New Roman" w:hAnsi="Verdana" w:cs="Times New Roman"/>
          <w:sz w:val="20"/>
          <w:szCs w:val="20"/>
          <w:lang w:val="es-ES" w:eastAsia="es-MX"/>
        </w:rPr>
        <w:tab/>
        <w:t>Btf Reserva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440027</w:t>
      </w:r>
      <w:r w:rsidRPr="00957B34">
        <w:rPr>
          <w:rFonts w:ascii="Verdana" w:eastAsia="Times New Roman" w:hAnsi="Verdana" w:cs="Times New Roman"/>
          <w:sz w:val="20"/>
          <w:szCs w:val="20"/>
          <w:lang w:val="es-ES" w:eastAsia="es-MX"/>
        </w:rPr>
        <w:tab/>
        <w:t>Btf Reserva Piramides</w:t>
      </w:r>
      <w:r w:rsidRPr="00957B34">
        <w:rPr>
          <w:rFonts w:ascii="Verdana" w:eastAsia="Times New Roman" w:hAnsi="Verdana" w:cs="Times New Roman"/>
          <w:sz w:val="20"/>
          <w:szCs w:val="20"/>
          <w:lang w:val="es-ES" w:eastAsia="es-MX"/>
        </w:rPr>
        <w:tab/>
      </w:r>
      <w:r w:rsidRPr="00957B34">
        <w:rPr>
          <w:rFonts w:ascii="Verdana" w:eastAsia="Times New Roman" w:hAnsi="Verdana" w:cs="Times New Roman"/>
          <w:sz w:val="20"/>
          <w:szCs w:val="20"/>
          <w:lang w:val="es-ES" w:eastAsia="es-MX"/>
        </w:rPr>
        <w:tab/>
        <w:t>52 x 160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440028</w:t>
      </w:r>
      <w:r w:rsidRPr="00957B34">
        <w:rPr>
          <w:rFonts w:ascii="Verdana" w:eastAsia="Times New Roman" w:hAnsi="Verdana" w:cs="Times New Roman"/>
          <w:sz w:val="20"/>
          <w:szCs w:val="20"/>
          <w:lang w:val="es-ES" w:eastAsia="es-MX"/>
        </w:rPr>
        <w:tab/>
        <w:t>Btf Limitada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440029</w:t>
      </w:r>
      <w:r w:rsidRPr="00957B34">
        <w:rPr>
          <w:rFonts w:ascii="Verdana" w:eastAsia="Times New Roman" w:hAnsi="Verdana" w:cs="Times New Roman"/>
          <w:sz w:val="20"/>
          <w:szCs w:val="20"/>
          <w:lang w:val="es-ES" w:eastAsia="es-MX"/>
        </w:rPr>
        <w:tab/>
        <w:t>Btf Limitada Robusto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440030</w:t>
      </w:r>
      <w:r w:rsidRPr="00957B34">
        <w:rPr>
          <w:rFonts w:ascii="Verdana" w:eastAsia="Times New Roman" w:hAnsi="Verdana" w:cs="Times New Roman"/>
          <w:sz w:val="20"/>
          <w:szCs w:val="20"/>
          <w:lang w:val="es-ES" w:eastAsia="es-MX"/>
        </w:rPr>
        <w:tab/>
        <w:t>Btf Limitada Corona Larga</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440031</w:t>
      </w:r>
      <w:r w:rsidRPr="00957B34">
        <w:rPr>
          <w:rFonts w:ascii="Verdana" w:eastAsia="Times New Roman" w:hAnsi="Verdana" w:cs="Times New Roman"/>
          <w:sz w:val="20"/>
          <w:szCs w:val="20"/>
          <w:lang w:val="es-ES" w:eastAsia="es-MX"/>
        </w:rPr>
        <w:tab/>
        <w:t>Btf Limitada Doble Robusto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440032</w:t>
      </w:r>
      <w:r w:rsidRPr="00957B34">
        <w:rPr>
          <w:rFonts w:ascii="Verdana" w:eastAsia="Times New Roman" w:hAnsi="Verdana" w:cs="Times New Roman"/>
          <w:sz w:val="20"/>
          <w:szCs w:val="20"/>
          <w:lang w:val="es-ES" w:eastAsia="es-MX"/>
        </w:rPr>
        <w:tab/>
        <w:t>Btf Limitada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23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440033</w:t>
      </w:r>
      <w:r w:rsidRPr="00957B34">
        <w:rPr>
          <w:rFonts w:ascii="Verdana" w:eastAsia="Times New Roman" w:hAnsi="Verdana" w:cs="Times New Roman"/>
          <w:sz w:val="20"/>
          <w:szCs w:val="20"/>
          <w:lang w:val="es-ES" w:eastAsia="es-MX"/>
        </w:rPr>
        <w:tab/>
        <w:t>Btf Limitada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440034</w:t>
      </w:r>
      <w:r w:rsidRPr="00957B34">
        <w:rPr>
          <w:rFonts w:ascii="Verdana" w:eastAsia="Times New Roman" w:hAnsi="Verdana" w:cs="Times New Roman"/>
          <w:sz w:val="20"/>
          <w:szCs w:val="20"/>
          <w:lang w:val="en-GB" w:eastAsia="es-MX"/>
        </w:rPr>
        <w:tab/>
        <w:t>Btf Limitada Short Churchill</w:t>
      </w:r>
      <w:r w:rsidRPr="00957B34">
        <w:rPr>
          <w:rFonts w:ascii="Verdana" w:eastAsia="Times New Roman" w:hAnsi="Verdana" w:cs="Times New Roman"/>
          <w:sz w:val="20"/>
          <w:szCs w:val="20"/>
          <w:lang w:val="en-GB" w:eastAsia="es-MX"/>
        </w:rPr>
        <w:tab/>
        <w:t>54 x 110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440035</w:t>
      </w:r>
      <w:r w:rsidRPr="00957B34">
        <w:rPr>
          <w:rFonts w:ascii="Verdana" w:eastAsia="Times New Roman" w:hAnsi="Verdana" w:cs="Times New Roman"/>
          <w:sz w:val="20"/>
          <w:szCs w:val="20"/>
          <w:lang w:val="es-ES" w:eastAsia="es-MX"/>
        </w:rPr>
        <w:tab/>
        <w:t>Btf Limitada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440036</w:t>
      </w:r>
      <w:r w:rsidRPr="00957B34">
        <w:rPr>
          <w:rFonts w:ascii="Verdana" w:eastAsia="Times New Roman" w:hAnsi="Verdana" w:cs="Times New Roman"/>
          <w:sz w:val="20"/>
          <w:szCs w:val="20"/>
          <w:lang w:val="es-ES" w:eastAsia="es-MX"/>
        </w:rPr>
        <w:tab/>
        <w:t>Batey Mareva</w:t>
      </w:r>
      <w:r w:rsidRPr="00957B34">
        <w:rPr>
          <w:rFonts w:ascii="Verdana" w:eastAsia="Times New Roman" w:hAnsi="Verdana" w:cs="Times New Roman"/>
          <w:sz w:val="20"/>
          <w:szCs w:val="20"/>
          <w:lang w:val="es-ES" w:eastAsia="es-MX"/>
        </w:rPr>
        <w:tab/>
        <w:t>42 x 132</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440037</w:t>
      </w:r>
      <w:r w:rsidRPr="00957B34">
        <w:rPr>
          <w:rFonts w:ascii="Verdana" w:eastAsia="Times New Roman" w:hAnsi="Verdana" w:cs="Times New Roman"/>
          <w:sz w:val="20"/>
          <w:szCs w:val="20"/>
          <w:lang w:val="es-ES" w:eastAsia="es-MX"/>
        </w:rPr>
        <w:tab/>
        <w:t>Batey Corona</w:t>
      </w:r>
      <w:r w:rsidRPr="00957B34">
        <w:rPr>
          <w:rFonts w:ascii="Verdana" w:eastAsia="Times New Roman" w:hAnsi="Verdana" w:cs="Times New Roman"/>
          <w:sz w:val="20"/>
          <w:szCs w:val="20"/>
          <w:lang w:val="es-ES" w:eastAsia="es-MX"/>
        </w:rPr>
        <w:tab/>
        <w:t>46 x 130</w:t>
      </w:r>
    </w:p>
    <w:p w:rsidR="00957B34" w:rsidRPr="00957B34" w:rsidRDefault="00957B34" w:rsidP="00957B34">
      <w:pPr>
        <w:tabs>
          <w:tab w:val="left" w:pos="351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440038</w:t>
      </w:r>
      <w:r w:rsidRPr="00957B34">
        <w:rPr>
          <w:rFonts w:ascii="Verdana" w:eastAsia="Times New Roman" w:hAnsi="Verdana" w:cs="Times New Roman"/>
          <w:sz w:val="20"/>
          <w:szCs w:val="20"/>
          <w:lang w:val="en-GB" w:eastAsia="es-MX"/>
        </w:rPr>
        <w:tab/>
        <w:t>Batey Robusto</w:t>
      </w:r>
      <w:r w:rsidRPr="00957B34">
        <w:rPr>
          <w:rFonts w:ascii="Verdana" w:eastAsia="Times New Roman" w:hAnsi="Verdana" w:cs="Times New Roman"/>
          <w:sz w:val="20"/>
          <w:szCs w:val="20"/>
          <w:lang w:val="en-GB" w:eastAsia="es-MX"/>
        </w:rPr>
        <w:tab/>
        <w:t>50 x 124</w:t>
      </w:r>
    </w:p>
    <w:p w:rsidR="00957B34" w:rsidRPr="00957B34" w:rsidRDefault="00957B34" w:rsidP="00957B34">
      <w:pPr>
        <w:tabs>
          <w:tab w:val="left" w:pos="351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440039</w:t>
      </w:r>
      <w:r w:rsidRPr="00957B34">
        <w:rPr>
          <w:rFonts w:ascii="Verdana" w:eastAsia="Times New Roman" w:hAnsi="Verdana" w:cs="Times New Roman"/>
          <w:sz w:val="20"/>
          <w:szCs w:val="20"/>
          <w:lang w:val="en-GB" w:eastAsia="es-MX"/>
        </w:rPr>
        <w:tab/>
        <w:t>Batey Hermoso</w:t>
      </w:r>
      <w:r w:rsidRPr="00957B34">
        <w:rPr>
          <w:rFonts w:ascii="Verdana" w:eastAsia="Times New Roman" w:hAnsi="Verdana" w:cs="Times New Roman"/>
          <w:sz w:val="20"/>
          <w:szCs w:val="20"/>
          <w:lang w:val="en-GB" w:eastAsia="es-MX"/>
        </w:rPr>
        <w:tab/>
        <w:t>54 x 135</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440040</w:t>
      </w:r>
      <w:r w:rsidRPr="00957B34">
        <w:rPr>
          <w:rFonts w:ascii="Verdana" w:eastAsia="Times New Roman" w:hAnsi="Verdana" w:cs="Times New Roman"/>
          <w:sz w:val="20"/>
          <w:szCs w:val="20"/>
          <w:lang w:val="en-GB" w:eastAsia="es-MX"/>
        </w:rPr>
        <w:tab/>
        <w:t>Batey Prominente</w:t>
      </w:r>
      <w:r w:rsidRPr="00957B34">
        <w:rPr>
          <w:rFonts w:ascii="Verdana" w:eastAsia="Times New Roman" w:hAnsi="Verdana" w:cs="Times New Roman"/>
          <w:sz w:val="20"/>
          <w:szCs w:val="20"/>
          <w:lang w:val="en-GB" w:eastAsia="es-MX"/>
        </w:rPr>
        <w:tab/>
        <w:t>49 x 180</w:t>
      </w:r>
    </w:p>
    <w:p w:rsidR="00957B34" w:rsidRPr="00957B34" w:rsidRDefault="00957B34" w:rsidP="00957B34">
      <w:pPr>
        <w:tabs>
          <w:tab w:val="left" w:pos="351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440041</w:t>
      </w:r>
      <w:r w:rsidRPr="00957B34">
        <w:rPr>
          <w:rFonts w:ascii="Verdana" w:eastAsia="Times New Roman" w:hAnsi="Verdana" w:cs="Times New Roman"/>
          <w:sz w:val="20"/>
          <w:szCs w:val="20"/>
          <w:lang w:val="en-GB" w:eastAsia="es-MX"/>
        </w:rPr>
        <w:tab/>
        <w:t>Batey Sublime</w:t>
      </w:r>
      <w:r w:rsidRPr="00957B34">
        <w:rPr>
          <w:rFonts w:ascii="Verdana" w:eastAsia="Times New Roman" w:hAnsi="Verdana" w:cs="Times New Roman"/>
          <w:sz w:val="20"/>
          <w:szCs w:val="20"/>
          <w:lang w:val="en-GB" w:eastAsia="es-MX"/>
        </w:rPr>
        <w:tab/>
        <w:t>54 x 164</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440042</w:t>
      </w:r>
      <w:r w:rsidRPr="00957B34">
        <w:rPr>
          <w:rFonts w:ascii="Verdana" w:eastAsia="Times New Roman" w:hAnsi="Verdana" w:cs="Times New Roman"/>
          <w:sz w:val="20"/>
          <w:szCs w:val="20"/>
          <w:lang w:val="en-GB" w:eastAsia="es-MX"/>
        </w:rPr>
        <w:tab/>
        <w:t>Batey Short Churchill</w:t>
      </w:r>
      <w:r w:rsidRPr="00957B34">
        <w:rPr>
          <w:rFonts w:ascii="Verdana" w:eastAsia="Times New Roman" w:hAnsi="Verdana" w:cs="Times New Roman"/>
          <w:sz w:val="20"/>
          <w:szCs w:val="20"/>
          <w:lang w:val="en-GB" w:eastAsia="es-MX"/>
        </w:rPr>
        <w:tab/>
        <w:t>54 x 110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440043</w:t>
      </w:r>
      <w:r w:rsidRPr="00957B34">
        <w:rPr>
          <w:rFonts w:ascii="Verdana" w:eastAsia="Times New Roman" w:hAnsi="Verdana" w:cs="Times New Roman"/>
          <w:sz w:val="20"/>
          <w:szCs w:val="20"/>
          <w:lang w:eastAsia="es-MX"/>
        </w:rPr>
        <w:tab/>
        <w:t>Batey Petit Piramide</w:t>
      </w:r>
      <w:r w:rsidRPr="00957B34">
        <w:rPr>
          <w:rFonts w:ascii="Verdana" w:eastAsia="Times New Roman" w:hAnsi="Verdana" w:cs="Times New Roman"/>
          <w:sz w:val="20"/>
          <w:szCs w:val="20"/>
          <w:lang w:eastAsia="es-MX"/>
        </w:rPr>
        <w:tab/>
        <w:t>52 x 125</w:t>
      </w:r>
    </w:p>
    <w:p w:rsidR="00957B34" w:rsidRPr="00957B34" w:rsidRDefault="00957B34" w:rsidP="00957B34">
      <w:pPr>
        <w:tabs>
          <w:tab w:val="left" w:pos="351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440044</w:t>
      </w:r>
      <w:r w:rsidRPr="00957B34">
        <w:rPr>
          <w:rFonts w:ascii="Verdana" w:eastAsia="Times New Roman" w:hAnsi="Verdana" w:cs="Times New Roman"/>
          <w:sz w:val="20"/>
          <w:szCs w:val="20"/>
          <w:lang w:val="es-ES" w:eastAsia="es-MX"/>
        </w:rPr>
        <w:tab/>
        <w:t>Batey Piramide</w:t>
      </w:r>
      <w:r w:rsidRPr="00957B34">
        <w:rPr>
          <w:rFonts w:ascii="Verdana" w:eastAsia="Times New Roman" w:hAnsi="Verdana" w:cs="Times New Roman"/>
          <w:sz w:val="20"/>
          <w:szCs w:val="20"/>
          <w:lang w:val="es-ES" w:eastAsia="es-MX"/>
        </w:rPr>
        <w:tab/>
        <w:t>52 x 160</w:t>
      </w:r>
    </w:p>
    <w:p w:rsidR="00957B34" w:rsidRPr="00957B34" w:rsidRDefault="00957B34" w:rsidP="00957B34">
      <w:pPr>
        <w:tabs>
          <w:tab w:val="left" w:pos="351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440045</w:t>
      </w:r>
      <w:r w:rsidRPr="00957B34">
        <w:rPr>
          <w:rFonts w:ascii="Verdana" w:eastAsia="Times New Roman" w:hAnsi="Verdana" w:cs="Times New Roman"/>
          <w:sz w:val="20"/>
          <w:szCs w:val="20"/>
          <w:lang w:val="es-ES" w:eastAsia="es-MX"/>
        </w:rPr>
        <w:tab/>
        <w:t>Batey Canonazo</w:t>
      </w:r>
      <w:r w:rsidRPr="00957B34">
        <w:rPr>
          <w:rFonts w:ascii="Verdana" w:eastAsia="Times New Roman" w:hAnsi="Verdana" w:cs="Times New Roman"/>
          <w:sz w:val="20"/>
          <w:szCs w:val="20"/>
          <w:lang w:val="es-ES" w:eastAsia="es-MX"/>
        </w:rPr>
        <w:tab/>
        <w:t>52 x 144</w:t>
      </w:r>
    </w:p>
    <w:p w:rsidR="00957B34" w:rsidRPr="00957B34" w:rsidRDefault="00957B34" w:rsidP="00957B34">
      <w:pPr>
        <w:tabs>
          <w:tab w:val="left" w:pos="351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440046</w:t>
      </w:r>
      <w:r w:rsidRPr="00957B34">
        <w:rPr>
          <w:rFonts w:ascii="Verdana" w:eastAsia="Times New Roman" w:hAnsi="Verdana" w:cs="Times New Roman"/>
          <w:sz w:val="20"/>
          <w:szCs w:val="20"/>
          <w:lang w:val="es-ES" w:eastAsia="es-MX"/>
        </w:rPr>
        <w:tab/>
        <w:t>Maravilla Mareva</w:t>
      </w:r>
      <w:r w:rsidRPr="00957B34">
        <w:rPr>
          <w:rFonts w:ascii="Verdana" w:eastAsia="Times New Roman" w:hAnsi="Verdana" w:cs="Times New Roman"/>
          <w:sz w:val="20"/>
          <w:szCs w:val="20"/>
          <w:lang w:val="es-ES" w:eastAsia="es-MX"/>
        </w:rPr>
        <w:tab/>
        <w:t>42 x 132</w:t>
      </w:r>
    </w:p>
    <w:p w:rsidR="00957B34" w:rsidRPr="00957B34" w:rsidRDefault="00957B34" w:rsidP="00957B34">
      <w:pPr>
        <w:tabs>
          <w:tab w:val="left" w:pos="3510"/>
        </w:tabs>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440047</w:t>
      </w:r>
      <w:r w:rsidRPr="00957B34">
        <w:rPr>
          <w:rFonts w:ascii="Verdana" w:eastAsia="Times New Roman" w:hAnsi="Verdana" w:cs="Times New Roman"/>
          <w:sz w:val="20"/>
          <w:szCs w:val="20"/>
          <w:lang w:val="es-ES" w:eastAsia="es-MX"/>
        </w:rPr>
        <w:tab/>
        <w:t>Maravilla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440048</w:t>
      </w:r>
      <w:r w:rsidRPr="00957B34">
        <w:rPr>
          <w:rFonts w:ascii="Verdana" w:eastAsia="Times New Roman" w:hAnsi="Verdana" w:cs="Times New Roman"/>
          <w:sz w:val="20"/>
          <w:szCs w:val="20"/>
          <w:lang w:val="es-ES" w:eastAsia="es-MX"/>
        </w:rPr>
        <w:tab/>
        <w:t>Maravilla Robusto</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440049</w:t>
      </w:r>
      <w:r w:rsidRPr="00957B34">
        <w:rPr>
          <w:rFonts w:ascii="Verdana" w:eastAsia="Times New Roman" w:hAnsi="Verdana" w:cs="Times New Roman"/>
          <w:sz w:val="20"/>
          <w:szCs w:val="20"/>
          <w:lang w:val="es-ES" w:eastAsia="es-MX"/>
        </w:rPr>
        <w:tab/>
        <w:t>Maravilla Hermoso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2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440050</w:t>
      </w:r>
      <w:r w:rsidRPr="00957B34">
        <w:rPr>
          <w:rFonts w:ascii="Verdana" w:eastAsia="Times New Roman" w:hAnsi="Verdana" w:cs="Times New Roman"/>
          <w:sz w:val="20"/>
          <w:szCs w:val="20"/>
          <w:lang w:val="es-ES" w:eastAsia="es-MX"/>
        </w:rPr>
        <w:tab/>
        <w:t>Maravilla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440051</w:t>
      </w:r>
      <w:r w:rsidRPr="00957B34">
        <w:rPr>
          <w:rFonts w:ascii="Verdana" w:eastAsia="Times New Roman" w:hAnsi="Verdana" w:cs="Times New Roman"/>
          <w:sz w:val="20"/>
          <w:szCs w:val="20"/>
          <w:lang w:val="es-ES" w:eastAsia="es-MX"/>
        </w:rPr>
        <w:tab/>
        <w:t>Maravilla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23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440052</w:t>
      </w:r>
      <w:r w:rsidRPr="00957B34">
        <w:rPr>
          <w:rFonts w:ascii="Verdana" w:eastAsia="Times New Roman" w:hAnsi="Verdana" w:cs="Times New Roman"/>
          <w:sz w:val="20"/>
          <w:szCs w:val="20"/>
          <w:lang w:val="es-ES" w:eastAsia="es-MX"/>
        </w:rPr>
        <w:tab/>
        <w:t>Maravilla Short Churchill</w:t>
      </w:r>
      <w:r w:rsidRPr="00957B34">
        <w:rPr>
          <w:rFonts w:ascii="Verdana" w:eastAsia="Times New Roman" w:hAnsi="Verdana" w:cs="Times New Roman"/>
          <w:sz w:val="20"/>
          <w:szCs w:val="20"/>
          <w:lang w:val="es-ES" w:eastAsia="es-MX"/>
        </w:rPr>
        <w:tab/>
        <w:t>54 x 110</w:t>
      </w:r>
    </w:p>
    <w:p w:rsidR="00957B34" w:rsidRPr="00957B34" w:rsidRDefault="00957B34" w:rsidP="00957B34">
      <w:pPr>
        <w:tabs>
          <w:tab w:val="left" w:pos="423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440053</w:t>
      </w:r>
      <w:r w:rsidRPr="00957B34">
        <w:rPr>
          <w:rFonts w:ascii="Verdana" w:eastAsia="Times New Roman" w:hAnsi="Verdana" w:cs="Times New Roman"/>
          <w:sz w:val="20"/>
          <w:szCs w:val="20"/>
          <w:lang w:val="es-ES" w:eastAsia="es-MX"/>
        </w:rPr>
        <w:tab/>
        <w:t>Maravilla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440054</w:t>
      </w:r>
      <w:r w:rsidRPr="00957B34">
        <w:rPr>
          <w:rFonts w:ascii="Verdana" w:eastAsia="Times New Roman" w:hAnsi="Verdana" w:cs="Times New Roman"/>
          <w:sz w:val="20"/>
          <w:szCs w:val="20"/>
          <w:lang w:val="es-ES" w:eastAsia="es-MX"/>
        </w:rPr>
        <w:tab/>
        <w:t>Maravilla Piramide</w:t>
      </w:r>
      <w:r w:rsidRPr="00957B34">
        <w:rPr>
          <w:rFonts w:ascii="Verdana" w:eastAsia="Times New Roman" w:hAnsi="Verdana" w:cs="Times New Roman"/>
          <w:sz w:val="20"/>
          <w:szCs w:val="20"/>
          <w:lang w:val="es-ES" w:eastAsia="es-MX"/>
        </w:rPr>
        <w:tab/>
        <w:t>52 x 160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440055</w:t>
      </w:r>
      <w:r w:rsidRPr="00957B34">
        <w:rPr>
          <w:rFonts w:ascii="Verdana" w:eastAsia="Times New Roman" w:hAnsi="Verdana" w:cs="Times New Roman"/>
          <w:sz w:val="20"/>
          <w:szCs w:val="20"/>
          <w:lang w:val="es-ES" w:eastAsia="es-MX"/>
        </w:rPr>
        <w:tab/>
        <w:t>Maravilla Canonazo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41.</w:t>
            </w:r>
            <w:r w:rsidRPr="00957B34">
              <w:rPr>
                <w:rFonts w:ascii="Verdana" w:eastAsia="Times New Roman" w:hAnsi="Verdana" w:cs="Arial"/>
                <w:b/>
                <w:sz w:val="20"/>
                <w:szCs w:val="20"/>
                <w:lang w:val="es-ES" w:eastAsia="es-MX"/>
              </w:rPr>
              <w:tab/>
              <w:t>BUENA VISTA TOBACCO FACTORY, S.A DE C.V.,</w:t>
            </w:r>
            <w:r w:rsidRPr="00957B34">
              <w:rPr>
                <w:rFonts w:ascii="Verdana" w:eastAsia="Times New Roman" w:hAnsi="Verdana" w:cs="Arial"/>
                <w:b/>
                <w:sz w:val="20"/>
                <w:szCs w:val="20"/>
                <w:lang w:val="es-ES" w:eastAsia="es-MX"/>
              </w:rPr>
              <w:tab/>
              <w:t>R.F.C. BVT100326V16</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441001</w:t>
      </w:r>
      <w:r w:rsidRPr="00957B34">
        <w:rPr>
          <w:rFonts w:ascii="Verdana" w:eastAsia="Times New Roman" w:hAnsi="Verdana" w:cs="Times New Roman"/>
          <w:sz w:val="20"/>
          <w:szCs w:val="20"/>
          <w:lang w:val="es-ES" w:eastAsia="es-MX"/>
        </w:rPr>
        <w:tab/>
        <w:t>Buena Vista Reserva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441002</w:t>
      </w:r>
      <w:r w:rsidRPr="00957B34">
        <w:rPr>
          <w:rFonts w:ascii="Verdana" w:eastAsia="Times New Roman" w:hAnsi="Verdana" w:cs="Times New Roman"/>
          <w:sz w:val="20"/>
          <w:szCs w:val="20"/>
          <w:lang w:val="es-ES" w:eastAsia="es-MX"/>
        </w:rPr>
        <w:tab/>
        <w:t>Buena Vista Reserva Robusto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441003</w:t>
      </w:r>
      <w:r w:rsidRPr="00957B34">
        <w:rPr>
          <w:rFonts w:ascii="Verdana" w:eastAsia="Times New Roman" w:hAnsi="Verdana" w:cs="Times New Roman"/>
          <w:sz w:val="20"/>
          <w:szCs w:val="20"/>
          <w:lang w:val="es-ES" w:eastAsia="es-MX"/>
        </w:rPr>
        <w:tab/>
        <w:t>Buena Vista Reserva Corona Larga</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441004</w:t>
      </w:r>
      <w:r w:rsidRPr="00957B34">
        <w:rPr>
          <w:rFonts w:ascii="Verdana" w:eastAsia="Times New Roman" w:hAnsi="Verdana" w:cs="Times New Roman"/>
          <w:sz w:val="20"/>
          <w:szCs w:val="20"/>
          <w:lang w:val="es-ES" w:eastAsia="es-MX"/>
        </w:rPr>
        <w:tab/>
        <w:t>Buena Vista Reserva Doble Robusto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441005</w:t>
      </w:r>
      <w:r w:rsidRPr="00957B34">
        <w:rPr>
          <w:rFonts w:ascii="Verdana" w:eastAsia="Times New Roman" w:hAnsi="Verdana" w:cs="Times New Roman"/>
          <w:sz w:val="20"/>
          <w:szCs w:val="20"/>
          <w:lang w:val="es-ES" w:eastAsia="es-MX"/>
        </w:rPr>
        <w:tab/>
        <w:t>Buena Vista Reserva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95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441006</w:t>
      </w:r>
      <w:r w:rsidRPr="00957B34">
        <w:rPr>
          <w:rFonts w:ascii="Verdana" w:eastAsia="Times New Roman" w:hAnsi="Verdana" w:cs="Times New Roman"/>
          <w:sz w:val="20"/>
          <w:szCs w:val="20"/>
          <w:lang w:val="es-ES" w:eastAsia="es-MX"/>
        </w:rPr>
        <w:tab/>
        <w:t>Buena Vista Reserva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441007</w:t>
      </w:r>
      <w:r w:rsidRPr="00957B34">
        <w:rPr>
          <w:rFonts w:ascii="Verdana" w:eastAsia="Times New Roman" w:hAnsi="Verdana" w:cs="Times New Roman"/>
          <w:sz w:val="20"/>
          <w:szCs w:val="20"/>
          <w:lang w:val="es-ES" w:eastAsia="es-MX"/>
        </w:rPr>
        <w:tab/>
        <w:t>Buena Vista Reserva Short Churchill</w:t>
      </w:r>
      <w:r w:rsidRPr="00957B34">
        <w:rPr>
          <w:rFonts w:ascii="Verdana" w:eastAsia="Times New Roman" w:hAnsi="Verdana" w:cs="Times New Roman"/>
          <w:sz w:val="20"/>
          <w:szCs w:val="20"/>
          <w:lang w:val="es-ES" w:eastAsia="es-MX"/>
        </w:rPr>
        <w:tab/>
        <w:t>54 x 110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441008</w:t>
      </w:r>
      <w:r w:rsidRPr="00957B34">
        <w:rPr>
          <w:rFonts w:ascii="Verdana" w:eastAsia="Times New Roman" w:hAnsi="Verdana" w:cs="Times New Roman"/>
          <w:sz w:val="20"/>
          <w:szCs w:val="20"/>
          <w:lang w:val="es-ES" w:eastAsia="es-MX"/>
        </w:rPr>
        <w:tab/>
        <w:t>Buena Vista Reserva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441009</w:t>
      </w:r>
      <w:r w:rsidRPr="00957B34">
        <w:rPr>
          <w:rFonts w:ascii="Verdana" w:eastAsia="Times New Roman" w:hAnsi="Verdana" w:cs="Times New Roman"/>
          <w:sz w:val="20"/>
          <w:szCs w:val="20"/>
          <w:lang w:val="es-ES" w:eastAsia="es-MX"/>
        </w:rPr>
        <w:tab/>
        <w:t>Buena Vista Reserva Piramides</w:t>
      </w:r>
      <w:r w:rsidRPr="00957B34">
        <w:rPr>
          <w:rFonts w:ascii="Verdana" w:eastAsia="Times New Roman" w:hAnsi="Verdana" w:cs="Times New Roman"/>
          <w:sz w:val="20"/>
          <w:szCs w:val="20"/>
          <w:lang w:val="es-ES" w:eastAsia="es-MX"/>
        </w:rPr>
        <w:tab/>
        <w:t>52 x 160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441010</w:t>
      </w:r>
      <w:r w:rsidRPr="00957B34">
        <w:rPr>
          <w:rFonts w:ascii="Verdana" w:eastAsia="Times New Roman" w:hAnsi="Verdana" w:cs="Times New Roman"/>
          <w:sz w:val="20"/>
          <w:szCs w:val="20"/>
          <w:lang w:val="es-ES" w:eastAsia="es-MX"/>
        </w:rPr>
        <w:tab/>
        <w:t>Buena Vista Limitada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441011</w:t>
      </w:r>
      <w:r w:rsidRPr="00957B34">
        <w:rPr>
          <w:rFonts w:ascii="Verdana" w:eastAsia="Times New Roman" w:hAnsi="Verdana" w:cs="Times New Roman"/>
          <w:sz w:val="20"/>
          <w:szCs w:val="20"/>
          <w:lang w:val="es-ES" w:eastAsia="es-MX"/>
        </w:rPr>
        <w:tab/>
        <w:t>Buena Vista Limitada Robusto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441012</w:t>
      </w:r>
      <w:r w:rsidRPr="00957B34">
        <w:rPr>
          <w:rFonts w:ascii="Verdana" w:eastAsia="Times New Roman" w:hAnsi="Verdana" w:cs="Times New Roman"/>
          <w:sz w:val="20"/>
          <w:szCs w:val="20"/>
          <w:lang w:val="es-ES" w:eastAsia="es-MX"/>
        </w:rPr>
        <w:tab/>
        <w:t>Buena Vista Limitada Corona Larga</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441013</w:t>
      </w:r>
      <w:r w:rsidRPr="00957B34">
        <w:rPr>
          <w:rFonts w:ascii="Verdana" w:eastAsia="Times New Roman" w:hAnsi="Verdana" w:cs="Times New Roman"/>
          <w:sz w:val="20"/>
          <w:szCs w:val="20"/>
          <w:lang w:val="es-ES" w:eastAsia="es-MX"/>
        </w:rPr>
        <w:tab/>
        <w:t>Buena Vista Limitada Doble Robusto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441014</w:t>
      </w:r>
      <w:r w:rsidRPr="00957B34">
        <w:rPr>
          <w:rFonts w:ascii="Verdana" w:eastAsia="Times New Roman" w:hAnsi="Verdana" w:cs="Times New Roman"/>
          <w:sz w:val="20"/>
          <w:szCs w:val="20"/>
          <w:lang w:val="es-ES" w:eastAsia="es-MX"/>
        </w:rPr>
        <w:tab/>
        <w:t>Buena Vista Limitada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95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441015</w:t>
      </w:r>
      <w:r w:rsidRPr="00957B34">
        <w:rPr>
          <w:rFonts w:ascii="Verdana" w:eastAsia="Times New Roman" w:hAnsi="Verdana" w:cs="Times New Roman"/>
          <w:sz w:val="20"/>
          <w:szCs w:val="20"/>
          <w:lang w:val="es-ES" w:eastAsia="es-MX"/>
        </w:rPr>
        <w:tab/>
        <w:t>Buena Vista Limitada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441016</w:t>
      </w:r>
      <w:r w:rsidRPr="00957B34">
        <w:rPr>
          <w:rFonts w:ascii="Verdana" w:eastAsia="Times New Roman" w:hAnsi="Verdana" w:cs="Times New Roman"/>
          <w:sz w:val="20"/>
          <w:szCs w:val="20"/>
          <w:lang w:val="es-ES" w:eastAsia="es-MX"/>
        </w:rPr>
        <w:tab/>
        <w:t>Buena Vista Limitada Short Churchill</w:t>
      </w:r>
      <w:r w:rsidRPr="00957B34">
        <w:rPr>
          <w:rFonts w:ascii="Verdana" w:eastAsia="Times New Roman" w:hAnsi="Verdana" w:cs="Times New Roman"/>
          <w:sz w:val="20"/>
          <w:szCs w:val="20"/>
          <w:lang w:val="es-ES" w:eastAsia="es-MX"/>
        </w:rPr>
        <w:tab/>
        <w:t>54 x 110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441017</w:t>
      </w:r>
      <w:r w:rsidRPr="00957B34">
        <w:rPr>
          <w:rFonts w:ascii="Verdana" w:eastAsia="Times New Roman" w:hAnsi="Verdana" w:cs="Times New Roman"/>
          <w:sz w:val="20"/>
          <w:szCs w:val="20"/>
          <w:lang w:val="es-ES" w:eastAsia="es-MX"/>
        </w:rPr>
        <w:tab/>
        <w:t>Buena Vista Limitada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tabs>
          <w:tab w:val="left" w:pos="495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441018</w:t>
      </w:r>
      <w:r w:rsidRPr="00957B34">
        <w:rPr>
          <w:rFonts w:ascii="Verdana" w:eastAsia="Times New Roman" w:hAnsi="Verdana" w:cs="Times New Roman"/>
          <w:sz w:val="20"/>
          <w:szCs w:val="20"/>
          <w:lang w:val="es-ES" w:eastAsia="es-MX"/>
        </w:rPr>
        <w:tab/>
        <w:t>Buena Vista Limitada Piramides</w:t>
      </w:r>
      <w:r w:rsidRPr="00957B34">
        <w:rPr>
          <w:rFonts w:ascii="Verdana" w:eastAsia="Times New Roman" w:hAnsi="Verdana" w:cs="Times New Roman"/>
          <w:sz w:val="20"/>
          <w:szCs w:val="20"/>
          <w:lang w:val="es-ES" w:eastAsia="es-MX"/>
        </w:rPr>
        <w:tab/>
        <w:t>52 x 160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441019</w:t>
      </w:r>
      <w:r w:rsidRPr="00957B34">
        <w:rPr>
          <w:rFonts w:ascii="Verdana" w:eastAsia="Times New Roman" w:hAnsi="Verdana" w:cs="Times New Roman"/>
          <w:sz w:val="20"/>
          <w:szCs w:val="20"/>
          <w:lang w:val="es-ES" w:eastAsia="es-MX"/>
        </w:rPr>
        <w:tab/>
        <w:t>Btf Reserva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441020</w:t>
      </w:r>
      <w:r w:rsidRPr="00957B34">
        <w:rPr>
          <w:rFonts w:ascii="Verdana" w:eastAsia="Times New Roman" w:hAnsi="Verdana" w:cs="Times New Roman"/>
          <w:sz w:val="20"/>
          <w:szCs w:val="20"/>
          <w:lang w:val="es-ES" w:eastAsia="es-MX"/>
        </w:rPr>
        <w:tab/>
        <w:t>Btf Reserva Robusto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441021</w:t>
      </w:r>
      <w:r w:rsidRPr="00957B34">
        <w:rPr>
          <w:rFonts w:ascii="Verdana" w:eastAsia="Times New Roman" w:hAnsi="Verdana" w:cs="Times New Roman"/>
          <w:sz w:val="20"/>
          <w:szCs w:val="20"/>
          <w:lang w:val="es-ES" w:eastAsia="es-MX"/>
        </w:rPr>
        <w:tab/>
        <w:t>Btf Reserva Corona Larga</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441022</w:t>
      </w:r>
      <w:r w:rsidRPr="00957B34">
        <w:rPr>
          <w:rFonts w:ascii="Verdana" w:eastAsia="Times New Roman" w:hAnsi="Verdana" w:cs="Times New Roman"/>
          <w:sz w:val="20"/>
          <w:szCs w:val="20"/>
          <w:lang w:val="es-ES" w:eastAsia="es-MX"/>
        </w:rPr>
        <w:tab/>
        <w:t>Btf Reserva Doble Robusto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441023</w:t>
      </w:r>
      <w:r w:rsidRPr="00957B34">
        <w:rPr>
          <w:rFonts w:ascii="Verdana" w:eastAsia="Times New Roman" w:hAnsi="Verdana" w:cs="Times New Roman"/>
          <w:sz w:val="20"/>
          <w:szCs w:val="20"/>
          <w:lang w:val="es-ES" w:eastAsia="es-MX"/>
        </w:rPr>
        <w:tab/>
        <w:t>Btf Reserva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23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441024</w:t>
      </w:r>
      <w:r w:rsidRPr="00957B34">
        <w:rPr>
          <w:rFonts w:ascii="Verdana" w:eastAsia="Times New Roman" w:hAnsi="Verdana" w:cs="Times New Roman"/>
          <w:sz w:val="20"/>
          <w:szCs w:val="20"/>
          <w:lang w:val="es-ES" w:eastAsia="es-MX"/>
        </w:rPr>
        <w:tab/>
        <w:t>Btf Reserva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441025</w:t>
      </w:r>
      <w:r w:rsidRPr="00957B34">
        <w:rPr>
          <w:rFonts w:ascii="Verdana" w:eastAsia="Times New Roman" w:hAnsi="Verdana" w:cs="Times New Roman"/>
          <w:sz w:val="20"/>
          <w:szCs w:val="20"/>
          <w:lang w:val="en-GB" w:eastAsia="es-MX"/>
        </w:rPr>
        <w:tab/>
        <w:t>Btf Reserva Short Churchill</w:t>
      </w:r>
      <w:r w:rsidRPr="00957B34">
        <w:rPr>
          <w:rFonts w:ascii="Verdana" w:eastAsia="Times New Roman" w:hAnsi="Verdana" w:cs="Times New Roman"/>
          <w:sz w:val="20"/>
          <w:szCs w:val="20"/>
          <w:lang w:val="en-GB" w:eastAsia="es-MX"/>
        </w:rPr>
        <w:tab/>
        <w:t>54 x 110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441026</w:t>
      </w:r>
      <w:r w:rsidRPr="00957B34">
        <w:rPr>
          <w:rFonts w:ascii="Verdana" w:eastAsia="Times New Roman" w:hAnsi="Verdana" w:cs="Times New Roman"/>
          <w:sz w:val="20"/>
          <w:szCs w:val="20"/>
          <w:lang w:val="es-ES" w:eastAsia="es-MX"/>
        </w:rPr>
        <w:tab/>
        <w:t>Btf Reserva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441027</w:t>
      </w:r>
      <w:r w:rsidRPr="00957B34">
        <w:rPr>
          <w:rFonts w:ascii="Verdana" w:eastAsia="Times New Roman" w:hAnsi="Verdana" w:cs="Times New Roman"/>
          <w:sz w:val="20"/>
          <w:szCs w:val="20"/>
          <w:lang w:val="es-ES" w:eastAsia="es-MX"/>
        </w:rPr>
        <w:tab/>
        <w:t xml:space="preserve">Btf Reserva Piramides </w:t>
      </w:r>
      <w:r w:rsidRPr="00957B34">
        <w:rPr>
          <w:rFonts w:ascii="Verdana" w:eastAsia="Times New Roman" w:hAnsi="Verdana" w:cs="Times New Roman"/>
          <w:sz w:val="20"/>
          <w:szCs w:val="20"/>
          <w:lang w:val="es-ES" w:eastAsia="es-MX"/>
        </w:rPr>
        <w:tab/>
        <w:t>52 x 160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441028</w:t>
      </w:r>
      <w:r w:rsidRPr="00957B34">
        <w:rPr>
          <w:rFonts w:ascii="Verdana" w:eastAsia="Times New Roman" w:hAnsi="Verdana" w:cs="Times New Roman"/>
          <w:sz w:val="20"/>
          <w:szCs w:val="20"/>
          <w:lang w:val="es-ES" w:eastAsia="es-MX"/>
        </w:rPr>
        <w:tab/>
        <w:t>Btf Limitada Corona</w:t>
      </w:r>
      <w:r w:rsidRPr="00957B34">
        <w:rPr>
          <w:rFonts w:ascii="Verdana" w:eastAsia="Times New Roman" w:hAnsi="Verdana" w:cs="Times New Roman"/>
          <w:sz w:val="20"/>
          <w:szCs w:val="20"/>
          <w:lang w:val="es-ES" w:eastAsia="es-MX"/>
        </w:rPr>
        <w:tab/>
        <w:t>46 x 130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441029</w:t>
      </w:r>
      <w:r w:rsidRPr="00957B34">
        <w:rPr>
          <w:rFonts w:ascii="Verdana" w:eastAsia="Times New Roman" w:hAnsi="Verdana" w:cs="Times New Roman"/>
          <w:sz w:val="20"/>
          <w:szCs w:val="20"/>
          <w:lang w:val="es-ES" w:eastAsia="es-MX"/>
        </w:rPr>
        <w:tab/>
        <w:t>Btf Limitada Robusto</w:t>
      </w:r>
      <w:r w:rsidRPr="00957B34">
        <w:rPr>
          <w:rFonts w:ascii="Verdana" w:eastAsia="Times New Roman" w:hAnsi="Verdana" w:cs="Times New Roman"/>
          <w:sz w:val="20"/>
          <w:szCs w:val="20"/>
          <w:lang w:val="es-ES" w:eastAsia="es-MX"/>
        </w:rPr>
        <w:tab/>
        <w:t>54 x 135</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441030</w:t>
      </w:r>
      <w:r w:rsidRPr="00957B34">
        <w:rPr>
          <w:rFonts w:ascii="Verdana" w:eastAsia="Times New Roman" w:hAnsi="Verdana" w:cs="Times New Roman"/>
          <w:sz w:val="20"/>
          <w:szCs w:val="20"/>
          <w:lang w:val="es-ES" w:eastAsia="es-MX"/>
        </w:rPr>
        <w:tab/>
        <w:t>Btf Limitada Corona Larga</w:t>
      </w:r>
      <w:r w:rsidRPr="00957B34">
        <w:rPr>
          <w:rFonts w:ascii="Verdana" w:eastAsia="Times New Roman" w:hAnsi="Verdana" w:cs="Times New Roman"/>
          <w:sz w:val="20"/>
          <w:szCs w:val="20"/>
          <w:lang w:val="es-ES" w:eastAsia="es-MX"/>
        </w:rPr>
        <w:tab/>
        <w:t>50 x 124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441031</w:t>
      </w:r>
      <w:r w:rsidRPr="00957B34">
        <w:rPr>
          <w:rFonts w:ascii="Verdana" w:eastAsia="Times New Roman" w:hAnsi="Verdana" w:cs="Times New Roman"/>
          <w:sz w:val="20"/>
          <w:szCs w:val="20"/>
          <w:lang w:val="es-ES" w:eastAsia="es-MX"/>
        </w:rPr>
        <w:tab/>
        <w:t>Btf Limitada Doble Robusto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441032</w:t>
      </w:r>
      <w:r w:rsidRPr="00957B34">
        <w:rPr>
          <w:rFonts w:ascii="Verdana" w:eastAsia="Times New Roman" w:hAnsi="Verdana" w:cs="Times New Roman"/>
          <w:sz w:val="20"/>
          <w:szCs w:val="20"/>
          <w:lang w:val="es-ES" w:eastAsia="es-MX"/>
        </w:rPr>
        <w:tab/>
        <w:t>Btf Limitada Sublime</w:t>
      </w:r>
      <w:r w:rsidRPr="00957B34">
        <w:rPr>
          <w:rFonts w:ascii="Verdana" w:eastAsia="Times New Roman" w:hAnsi="Verdana" w:cs="Times New Roman"/>
          <w:sz w:val="20"/>
          <w:szCs w:val="20"/>
          <w:lang w:val="es-ES" w:eastAsia="es-MX"/>
        </w:rPr>
        <w:tab/>
        <w:t>54 x 164</w:t>
      </w:r>
    </w:p>
    <w:p w:rsidR="00957B34" w:rsidRPr="00957B34" w:rsidRDefault="00957B34" w:rsidP="00957B34">
      <w:pPr>
        <w:tabs>
          <w:tab w:val="left" w:pos="423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441033</w:t>
      </w:r>
      <w:r w:rsidRPr="00957B34">
        <w:rPr>
          <w:rFonts w:ascii="Verdana" w:eastAsia="Times New Roman" w:hAnsi="Verdana" w:cs="Times New Roman"/>
          <w:sz w:val="20"/>
          <w:szCs w:val="20"/>
          <w:lang w:val="es-ES" w:eastAsia="es-MX"/>
        </w:rPr>
        <w:tab/>
        <w:t>Btf Limitada Prominente</w:t>
      </w:r>
      <w:r w:rsidRPr="00957B34">
        <w:rPr>
          <w:rFonts w:ascii="Verdana" w:eastAsia="Times New Roman" w:hAnsi="Verdana" w:cs="Times New Roman"/>
          <w:sz w:val="20"/>
          <w:szCs w:val="20"/>
          <w:lang w:val="es-ES" w:eastAsia="es-MX"/>
        </w:rPr>
        <w:tab/>
        <w:t>49 x 180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441034</w:t>
      </w:r>
      <w:r w:rsidRPr="00957B34">
        <w:rPr>
          <w:rFonts w:ascii="Verdana" w:eastAsia="Times New Roman" w:hAnsi="Verdana" w:cs="Times New Roman"/>
          <w:sz w:val="20"/>
          <w:szCs w:val="20"/>
          <w:lang w:val="en-GB" w:eastAsia="es-MX"/>
        </w:rPr>
        <w:tab/>
        <w:t>Btf Limitada Short Churchill</w:t>
      </w:r>
      <w:r w:rsidRPr="00957B34">
        <w:rPr>
          <w:rFonts w:ascii="Verdana" w:eastAsia="Times New Roman" w:hAnsi="Verdana" w:cs="Times New Roman"/>
          <w:sz w:val="20"/>
          <w:szCs w:val="20"/>
          <w:lang w:val="en-GB" w:eastAsia="es-MX"/>
        </w:rPr>
        <w:tab/>
        <w:t>54 x 110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441035</w:t>
      </w:r>
      <w:r w:rsidRPr="00957B34">
        <w:rPr>
          <w:rFonts w:ascii="Verdana" w:eastAsia="Times New Roman" w:hAnsi="Verdana" w:cs="Times New Roman"/>
          <w:sz w:val="20"/>
          <w:szCs w:val="20"/>
          <w:lang w:val="es-ES" w:eastAsia="es-MX"/>
        </w:rPr>
        <w:tab/>
        <w:t>Btf Limitada Petit Piramide</w:t>
      </w:r>
      <w:r w:rsidRPr="00957B34">
        <w:rPr>
          <w:rFonts w:ascii="Verdana" w:eastAsia="Times New Roman" w:hAnsi="Verdana" w:cs="Times New Roman"/>
          <w:sz w:val="20"/>
          <w:szCs w:val="20"/>
          <w:lang w:val="es-ES" w:eastAsia="es-MX"/>
        </w:rPr>
        <w:tab/>
        <w:t>52 x 125</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441036</w:t>
      </w:r>
      <w:r w:rsidRPr="00957B34">
        <w:rPr>
          <w:rFonts w:ascii="Verdana" w:eastAsia="Times New Roman" w:hAnsi="Verdana" w:cs="Times New Roman"/>
          <w:sz w:val="20"/>
          <w:szCs w:val="20"/>
          <w:lang w:val="es-ES" w:eastAsia="es-MX"/>
        </w:rPr>
        <w:tab/>
        <w:t>Batey Mareva</w:t>
      </w:r>
      <w:r w:rsidRPr="00957B34">
        <w:rPr>
          <w:rFonts w:ascii="Verdana" w:eastAsia="Times New Roman" w:hAnsi="Verdana" w:cs="Times New Roman"/>
          <w:sz w:val="20"/>
          <w:szCs w:val="20"/>
          <w:lang w:val="es-ES" w:eastAsia="es-MX"/>
        </w:rPr>
        <w:tab/>
        <w:t>42 x 132</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441037</w:t>
      </w:r>
      <w:r w:rsidRPr="00957B34">
        <w:rPr>
          <w:rFonts w:ascii="Verdana" w:eastAsia="Times New Roman" w:hAnsi="Verdana" w:cs="Times New Roman"/>
          <w:sz w:val="20"/>
          <w:szCs w:val="20"/>
          <w:lang w:val="es-ES" w:eastAsia="es-MX"/>
        </w:rPr>
        <w:tab/>
        <w:t>Batey Corona</w:t>
      </w:r>
      <w:r w:rsidRPr="00957B34">
        <w:rPr>
          <w:rFonts w:ascii="Verdana" w:eastAsia="Times New Roman" w:hAnsi="Verdana" w:cs="Times New Roman"/>
          <w:sz w:val="20"/>
          <w:szCs w:val="20"/>
          <w:lang w:val="es-ES" w:eastAsia="es-MX"/>
        </w:rPr>
        <w:tab/>
        <w:t>46 x 130</w:t>
      </w:r>
    </w:p>
    <w:p w:rsidR="00957B34" w:rsidRPr="00957B34" w:rsidRDefault="00957B34" w:rsidP="00957B34">
      <w:pPr>
        <w:tabs>
          <w:tab w:val="left" w:pos="351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441038</w:t>
      </w:r>
      <w:r w:rsidRPr="00957B34">
        <w:rPr>
          <w:rFonts w:ascii="Verdana" w:eastAsia="Times New Roman" w:hAnsi="Verdana" w:cs="Times New Roman"/>
          <w:sz w:val="20"/>
          <w:szCs w:val="20"/>
          <w:lang w:val="en-GB" w:eastAsia="es-MX"/>
        </w:rPr>
        <w:tab/>
        <w:t>Batey Robusto</w:t>
      </w:r>
      <w:r w:rsidRPr="00957B34">
        <w:rPr>
          <w:rFonts w:ascii="Verdana" w:eastAsia="Times New Roman" w:hAnsi="Verdana" w:cs="Times New Roman"/>
          <w:sz w:val="20"/>
          <w:szCs w:val="20"/>
          <w:lang w:val="en-GB" w:eastAsia="es-MX"/>
        </w:rPr>
        <w:tab/>
        <w:t>50 x 124</w:t>
      </w:r>
    </w:p>
    <w:p w:rsidR="00957B34" w:rsidRPr="00957B34" w:rsidRDefault="00957B34" w:rsidP="00957B34">
      <w:pPr>
        <w:tabs>
          <w:tab w:val="left" w:pos="351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lastRenderedPageBreak/>
        <w:t>441039</w:t>
      </w:r>
      <w:r w:rsidRPr="00957B34">
        <w:rPr>
          <w:rFonts w:ascii="Verdana" w:eastAsia="Times New Roman" w:hAnsi="Verdana" w:cs="Times New Roman"/>
          <w:sz w:val="20"/>
          <w:szCs w:val="20"/>
          <w:lang w:val="en-GB" w:eastAsia="es-MX"/>
        </w:rPr>
        <w:tab/>
        <w:t>Batey Hermoso</w:t>
      </w:r>
      <w:r w:rsidRPr="00957B34">
        <w:rPr>
          <w:rFonts w:ascii="Verdana" w:eastAsia="Times New Roman" w:hAnsi="Verdana" w:cs="Times New Roman"/>
          <w:sz w:val="20"/>
          <w:szCs w:val="20"/>
          <w:lang w:val="en-GB" w:eastAsia="es-MX"/>
        </w:rPr>
        <w:tab/>
        <w:t>54 x 135</w:t>
      </w:r>
    </w:p>
    <w:p w:rsidR="00957B34" w:rsidRPr="00957B34" w:rsidRDefault="00957B34" w:rsidP="00957B34">
      <w:pPr>
        <w:tabs>
          <w:tab w:val="left" w:pos="351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441040</w:t>
      </w:r>
      <w:r w:rsidRPr="00957B34">
        <w:rPr>
          <w:rFonts w:ascii="Verdana" w:eastAsia="Times New Roman" w:hAnsi="Verdana" w:cs="Times New Roman"/>
          <w:sz w:val="20"/>
          <w:szCs w:val="20"/>
          <w:lang w:val="en-GB" w:eastAsia="es-MX"/>
        </w:rPr>
        <w:tab/>
        <w:t>Batey Prominente</w:t>
      </w:r>
      <w:r w:rsidRPr="00957B34">
        <w:rPr>
          <w:rFonts w:ascii="Verdana" w:eastAsia="Times New Roman" w:hAnsi="Verdana" w:cs="Times New Roman"/>
          <w:sz w:val="20"/>
          <w:szCs w:val="20"/>
          <w:lang w:val="en-GB" w:eastAsia="es-MX"/>
        </w:rPr>
        <w:tab/>
        <w:t>49 x 180</w:t>
      </w:r>
    </w:p>
    <w:p w:rsidR="00957B34" w:rsidRPr="00957B34" w:rsidRDefault="00957B34" w:rsidP="00957B34">
      <w:pPr>
        <w:tabs>
          <w:tab w:val="left" w:pos="351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441041</w:t>
      </w:r>
      <w:r w:rsidRPr="00957B34">
        <w:rPr>
          <w:rFonts w:ascii="Verdana" w:eastAsia="Times New Roman" w:hAnsi="Verdana" w:cs="Times New Roman"/>
          <w:sz w:val="20"/>
          <w:szCs w:val="20"/>
          <w:lang w:val="en-GB" w:eastAsia="es-MX"/>
        </w:rPr>
        <w:tab/>
        <w:t>Batey Sublime</w:t>
      </w:r>
      <w:r w:rsidRPr="00957B34">
        <w:rPr>
          <w:rFonts w:ascii="Verdana" w:eastAsia="Times New Roman" w:hAnsi="Verdana" w:cs="Times New Roman"/>
          <w:sz w:val="20"/>
          <w:szCs w:val="20"/>
          <w:lang w:val="en-GB" w:eastAsia="es-MX"/>
        </w:rPr>
        <w:tab/>
        <w:t>54 x 164</w:t>
      </w:r>
    </w:p>
    <w:p w:rsidR="00957B34" w:rsidRPr="00957B34" w:rsidRDefault="00957B34" w:rsidP="00957B34">
      <w:pPr>
        <w:tabs>
          <w:tab w:val="left" w:pos="351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441042</w:t>
      </w:r>
      <w:r w:rsidRPr="00957B34">
        <w:rPr>
          <w:rFonts w:ascii="Verdana" w:eastAsia="Times New Roman" w:hAnsi="Verdana" w:cs="Times New Roman"/>
          <w:sz w:val="20"/>
          <w:szCs w:val="20"/>
          <w:lang w:val="en-GB" w:eastAsia="es-MX"/>
        </w:rPr>
        <w:tab/>
        <w:t>Batey Short Churchill</w:t>
      </w:r>
      <w:r w:rsidRPr="00957B34">
        <w:rPr>
          <w:rFonts w:ascii="Verdana" w:eastAsia="Times New Roman" w:hAnsi="Verdana" w:cs="Times New Roman"/>
          <w:sz w:val="20"/>
          <w:szCs w:val="20"/>
          <w:lang w:val="en-GB" w:eastAsia="es-MX"/>
        </w:rPr>
        <w:tab/>
        <w:t>54 x 110</w:t>
      </w:r>
    </w:p>
    <w:p w:rsidR="00957B34" w:rsidRPr="00957B34" w:rsidRDefault="00957B34" w:rsidP="00957B34">
      <w:pPr>
        <w:tabs>
          <w:tab w:val="left" w:pos="351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441043</w:t>
      </w:r>
      <w:r w:rsidRPr="00957B34">
        <w:rPr>
          <w:rFonts w:ascii="Verdana" w:eastAsia="Times New Roman" w:hAnsi="Verdana" w:cs="Times New Roman"/>
          <w:sz w:val="20"/>
          <w:szCs w:val="20"/>
          <w:lang w:val="en-US" w:eastAsia="es-MX"/>
        </w:rPr>
        <w:tab/>
        <w:t>Batey Petit Piramide</w:t>
      </w:r>
      <w:r w:rsidRPr="00957B34">
        <w:rPr>
          <w:rFonts w:ascii="Verdana" w:eastAsia="Times New Roman" w:hAnsi="Verdana" w:cs="Times New Roman"/>
          <w:sz w:val="20"/>
          <w:szCs w:val="20"/>
          <w:lang w:val="en-US" w:eastAsia="es-MX"/>
        </w:rPr>
        <w:tab/>
        <w:t>52 x 125</w:t>
      </w:r>
    </w:p>
    <w:p w:rsidR="00957B34" w:rsidRPr="00957B34" w:rsidRDefault="00957B34" w:rsidP="00957B34">
      <w:pPr>
        <w:tabs>
          <w:tab w:val="left" w:pos="351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441044</w:t>
      </w:r>
      <w:r w:rsidRPr="00957B34">
        <w:rPr>
          <w:rFonts w:ascii="Verdana" w:eastAsia="Times New Roman" w:hAnsi="Verdana" w:cs="Times New Roman"/>
          <w:sz w:val="20"/>
          <w:szCs w:val="20"/>
          <w:lang w:val="es-ES" w:eastAsia="es-MX"/>
        </w:rPr>
        <w:tab/>
        <w:t>Batey Piramide</w:t>
      </w:r>
      <w:r w:rsidRPr="00957B34">
        <w:rPr>
          <w:rFonts w:ascii="Verdana" w:eastAsia="Times New Roman" w:hAnsi="Verdana" w:cs="Times New Roman"/>
          <w:sz w:val="20"/>
          <w:szCs w:val="20"/>
          <w:lang w:val="es-ES" w:eastAsia="es-MX"/>
        </w:rPr>
        <w:tab/>
        <w:t>52 x 160</w:t>
      </w:r>
    </w:p>
    <w:p w:rsidR="00957B34" w:rsidRPr="00957B34" w:rsidRDefault="00957B34" w:rsidP="00957B34">
      <w:pPr>
        <w:tabs>
          <w:tab w:val="left" w:pos="3510"/>
        </w:tabs>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441045</w:t>
      </w:r>
      <w:r w:rsidRPr="00957B34">
        <w:rPr>
          <w:rFonts w:ascii="Verdana" w:eastAsia="Times New Roman" w:hAnsi="Verdana" w:cs="Times New Roman"/>
          <w:sz w:val="20"/>
          <w:szCs w:val="20"/>
          <w:lang w:val="es-ES" w:eastAsia="es-MX"/>
        </w:rPr>
        <w:tab/>
        <w:t>Batey Canonazo</w:t>
      </w:r>
      <w:r w:rsidRPr="00957B34">
        <w:rPr>
          <w:rFonts w:ascii="Verdana" w:eastAsia="Times New Roman" w:hAnsi="Verdana" w:cs="Times New Roman"/>
          <w:sz w:val="20"/>
          <w:szCs w:val="20"/>
          <w:lang w:val="es-ES" w:eastAsia="es-MX"/>
        </w:rPr>
        <w:tab/>
        <w:t>52 x 144</w:t>
      </w:r>
    </w:p>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42.</w:t>
            </w:r>
            <w:r w:rsidRPr="00957B34">
              <w:rPr>
                <w:rFonts w:ascii="Verdana" w:eastAsia="Times New Roman" w:hAnsi="Verdana" w:cs="Arial"/>
                <w:b/>
                <w:sz w:val="20"/>
                <w:szCs w:val="20"/>
                <w:lang w:val="es-ES" w:eastAsia="es-MX"/>
              </w:rPr>
              <w:tab/>
              <w:t xml:space="preserve">TABACOS MAGNOS, S.A DE C.V., </w:t>
            </w:r>
            <w:r w:rsidRPr="00957B34">
              <w:rPr>
                <w:rFonts w:ascii="Verdana" w:eastAsia="Times New Roman" w:hAnsi="Verdana" w:cs="Arial"/>
                <w:b/>
                <w:sz w:val="20"/>
                <w:szCs w:val="20"/>
                <w:lang w:val="es-ES" w:eastAsia="es-MX"/>
              </w:rPr>
              <w:tab/>
              <w:t>R.F.C. TMA090904PN3</w:t>
            </w:r>
          </w:p>
        </w:tc>
      </w:tr>
    </w:tbl>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 </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042001</w:t>
      </w:r>
      <w:r w:rsidRPr="00957B34">
        <w:rPr>
          <w:rFonts w:ascii="Verdana" w:eastAsia="Times New Roman" w:hAnsi="Verdana" w:cs="Times New Roman"/>
          <w:sz w:val="20"/>
          <w:szCs w:val="20"/>
          <w:lang w:val="es-ES" w:eastAsia="es-MX"/>
        </w:rPr>
        <w:tab/>
        <w:t>Scenic 101 Café, CD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042002</w:t>
      </w:r>
      <w:r w:rsidRPr="00957B34">
        <w:rPr>
          <w:rFonts w:ascii="Verdana" w:eastAsia="Times New Roman" w:hAnsi="Verdana" w:cs="Times New Roman"/>
          <w:sz w:val="20"/>
          <w:szCs w:val="20"/>
          <w:lang w:val="en-GB" w:eastAsia="es-MX"/>
        </w:rPr>
        <w:tab/>
        <w:t>Scenic 101 Azul, CD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042003</w:t>
      </w:r>
      <w:r w:rsidRPr="00957B34">
        <w:rPr>
          <w:rFonts w:ascii="Verdana" w:eastAsia="Times New Roman" w:hAnsi="Verdana" w:cs="Times New Roman"/>
          <w:sz w:val="20"/>
          <w:szCs w:val="20"/>
          <w:lang w:val="en-GB" w:eastAsia="es-MX"/>
        </w:rPr>
        <w:tab/>
        <w:t>Scenic 101 Verde, CD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042004</w:t>
      </w:r>
      <w:r w:rsidRPr="00957B34">
        <w:rPr>
          <w:rFonts w:ascii="Verdana" w:eastAsia="Times New Roman" w:hAnsi="Verdana" w:cs="Times New Roman"/>
          <w:sz w:val="20"/>
          <w:szCs w:val="20"/>
          <w:lang w:val="en-GB" w:eastAsia="es-MX"/>
        </w:rPr>
        <w:tab/>
        <w:t>Scenic 101 Café, CS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042005</w:t>
      </w:r>
      <w:r w:rsidRPr="00957B34">
        <w:rPr>
          <w:rFonts w:ascii="Verdana" w:eastAsia="Times New Roman" w:hAnsi="Verdana" w:cs="Times New Roman"/>
          <w:sz w:val="20"/>
          <w:szCs w:val="20"/>
          <w:lang w:val="en-GB" w:eastAsia="es-MX"/>
        </w:rPr>
        <w:tab/>
        <w:t>Scenic 101 Azul, CS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042006</w:t>
      </w:r>
      <w:r w:rsidRPr="00957B34">
        <w:rPr>
          <w:rFonts w:ascii="Verdana" w:eastAsia="Times New Roman" w:hAnsi="Verdana" w:cs="Times New Roman"/>
          <w:sz w:val="20"/>
          <w:szCs w:val="20"/>
          <w:lang w:val="en-GB" w:eastAsia="es-MX"/>
        </w:rPr>
        <w:tab/>
        <w:t>Scenic 101 Verde, CS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042013</w:t>
      </w:r>
      <w:r w:rsidRPr="00957B34">
        <w:rPr>
          <w:rFonts w:ascii="Verdana" w:eastAsia="Times New Roman" w:hAnsi="Verdana" w:cs="Times New Roman"/>
          <w:sz w:val="20"/>
          <w:szCs w:val="20"/>
          <w:lang w:val="en-GB" w:eastAsia="es-MX"/>
        </w:rPr>
        <w:tab/>
        <w:t>Scenic Café, CD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042014</w:t>
      </w:r>
      <w:r w:rsidRPr="00957B34">
        <w:rPr>
          <w:rFonts w:ascii="Verdana" w:eastAsia="Times New Roman" w:hAnsi="Verdana" w:cs="Times New Roman"/>
          <w:sz w:val="20"/>
          <w:szCs w:val="20"/>
          <w:lang w:val="en-GB" w:eastAsia="es-MX"/>
        </w:rPr>
        <w:tab/>
        <w:t>Scenic Azul, CD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042015</w:t>
      </w:r>
      <w:r w:rsidRPr="00957B34">
        <w:rPr>
          <w:rFonts w:ascii="Verdana" w:eastAsia="Times New Roman" w:hAnsi="Verdana" w:cs="Times New Roman"/>
          <w:sz w:val="20"/>
          <w:szCs w:val="20"/>
          <w:lang w:val="en-GB" w:eastAsia="es-MX"/>
        </w:rPr>
        <w:tab/>
        <w:t>Scenic Verde, CD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042016</w:t>
      </w:r>
      <w:r w:rsidRPr="00957B34">
        <w:rPr>
          <w:rFonts w:ascii="Verdana" w:eastAsia="Times New Roman" w:hAnsi="Verdana" w:cs="Times New Roman"/>
          <w:sz w:val="20"/>
          <w:szCs w:val="20"/>
          <w:lang w:val="en-GB" w:eastAsia="es-MX"/>
        </w:rPr>
        <w:tab/>
        <w:t>Scenic Café, CS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042017</w:t>
      </w:r>
      <w:r w:rsidRPr="00957B34">
        <w:rPr>
          <w:rFonts w:ascii="Verdana" w:eastAsia="Times New Roman" w:hAnsi="Verdana" w:cs="Times New Roman"/>
          <w:sz w:val="20"/>
          <w:szCs w:val="20"/>
          <w:lang w:val="en-GB" w:eastAsia="es-MX"/>
        </w:rPr>
        <w:tab/>
        <w:t>Scenic Azul, CS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042018</w:t>
      </w:r>
      <w:r w:rsidRPr="00957B34">
        <w:rPr>
          <w:rFonts w:ascii="Verdana" w:eastAsia="Times New Roman" w:hAnsi="Verdana" w:cs="Times New Roman"/>
          <w:sz w:val="20"/>
          <w:szCs w:val="20"/>
          <w:lang w:val="es-ES" w:eastAsia="es-MX"/>
        </w:rPr>
        <w:tab/>
        <w:t>Scenic Verde, CS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042031</w:t>
      </w:r>
      <w:r w:rsidRPr="00957B34">
        <w:rPr>
          <w:rFonts w:ascii="Verdana" w:eastAsia="Times New Roman" w:hAnsi="Verdana" w:cs="Times New Roman"/>
          <w:sz w:val="20"/>
          <w:szCs w:val="20"/>
          <w:lang w:val="es-ES" w:eastAsia="es-MX"/>
        </w:rPr>
        <w:tab/>
        <w:t>Seneca Rojo, CD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042032</w:t>
      </w:r>
      <w:r w:rsidRPr="00957B34">
        <w:rPr>
          <w:rFonts w:ascii="Verdana" w:eastAsia="Times New Roman" w:hAnsi="Verdana" w:cs="Times New Roman"/>
          <w:sz w:val="20"/>
          <w:szCs w:val="20"/>
          <w:lang w:val="es-ES" w:eastAsia="es-MX"/>
        </w:rPr>
        <w:tab/>
        <w:t>Seneca Azul, CD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042033</w:t>
      </w:r>
      <w:r w:rsidRPr="00957B34">
        <w:rPr>
          <w:rFonts w:ascii="Verdana" w:eastAsia="Times New Roman" w:hAnsi="Verdana" w:cs="Times New Roman"/>
          <w:sz w:val="20"/>
          <w:szCs w:val="20"/>
          <w:lang w:val="es-ES" w:eastAsia="es-MX"/>
        </w:rPr>
        <w:tab/>
        <w:t>Seneca Verde, CD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042034</w:t>
      </w:r>
      <w:r w:rsidRPr="00957B34">
        <w:rPr>
          <w:rFonts w:ascii="Verdana" w:eastAsia="Times New Roman" w:hAnsi="Verdana" w:cs="Times New Roman"/>
          <w:sz w:val="20"/>
          <w:szCs w:val="20"/>
          <w:lang w:val="es-ES" w:eastAsia="es-MX"/>
        </w:rPr>
        <w:tab/>
        <w:t>Seneca Rojo, CS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042035</w:t>
      </w:r>
      <w:r w:rsidRPr="00957B34">
        <w:rPr>
          <w:rFonts w:ascii="Verdana" w:eastAsia="Times New Roman" w:hAnsi="Verdana" w:cs="Times New Roman"/>
          <w:sz w:val="20"/>
          <w:szCs w:val="20"/>
          <w:lang w:val="es-ES" w:eastAsia="es-MX"/>
        </w:rPr>
        <w:tab/>
        <w:t>Seneca Azul, CS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042036</w:t>
      </w:r>
      <w:r w:rsidRPr="00957B34">
        <w:rPr>
          <w:rFonts w:ascii="Verdana" w:eastAsia="Times New Roman" w:hAnsi="Verdana" w:cs="Times New Roman"/>
          <w:sz w:val="20"/>
          <w:szCs w:val="20"/>
          <w:lang w:val="es-ES" w:eastAsia="es-MX"/>
        </w:rPr>
        <w:tab/>
        <w:t>Seneca Verde, CS 20’s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042037</w:t>
      </w:r>
      <w:r w:rsidRPr="00957B34">
        <w:rPr>
          <w:rFonts w:ascii="Verdana" w:eastAsia="Times New Roman" w:hAnsi="Verdana" w:cs="Times New Roman"/>
          <w:sz w:val="20"/>
          <w:szCs w:val="20"/>
          <w:lang w:val="es-ES" w:eastAsia="es-MX"/>
        </w:rPr>
        <w:tab/>
        <w:t>Seneca Rojo, CD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042038</w:t>
      </w:r>
      <w:r w:rsidRPr="00957B34">
        <w:rPr>
          <w:rFonts w:ascii="Verdana" w:eastAsia="Times New Roman" w:hAnsi="Verdana" w:cs="Times New Roman"/>
          <w:sz w:val="20"/>
          <w:szCs w:val="20"/>
          <w:lang w:val="es-ES" w:eastAsia="es-MX"/>
        </w:rPr>
        <w:tab/>
        <w:t>Seneca Azul, CD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042039</w:t>
      </w:r>
      <w:r w:rsidRPr="00957B34">
        <w:rPr>
          <w:rFonts w:ascii="Verdana" w:eastAsia="Times New Roman" w:hAnsi="Verdana" w:cs="Times New Roman"/>
          <w:sz w:val="20"/>
          <w:szCs w:val="20"/>
          <w:lang w:val="es-ES" w:eastAsia="es-MX"/>
        </w:rPr>
        <w:tab/>
        <w:t>Seneca Verde, CD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042040</w:t>
      </w:r>
      <w:r w:rsidRPr="00957B34">
        <w:rPr>
          <w:rFonts w:ascii="Verdana" w:eastAsia="Times New Roman" w:hAnsi="Verdana" w:cs="Times New Roman"/>
          <w:sz w:val="20"/>
          <w:szCs w:val="20"/>
          <w:lang w:val="es-ES" w:eastAsia="es-MX"/>
        </w:rPr>
        <w:tab/>
        <w:t>Seneca Rojo, CS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042041</w:t>
      </w:r>
      <w:r w:rsidRPr="00957B34">
        <w:rPr>
          <w:rFonts w:ascii="Verdana" w:eastAsia="Times New Roman" w:hAnsi="Verdana" w:cs="Times New Roman"/>
          <w:sz w:val="20"/>
          <w:szCs w:val="20"/>
          <w:lang w:val="es-ES" w:eastAsia="es-MX"/>
        </w:rPr>
        <w:tab/>
        <w:t>Seneca Azul, CS 14’s</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042042</w:t>
      </w:r>
      <w:r w:rsidRPr="00957B34">
        <w:rPr>
          <w:rFonts w:ascii="Verdana" w:eastAsia="Times New Roman" w:hAnsi="Verdana" w:cs="Times New Roman"/>
          <w:sz w:val="20"/>
          <w:szCs w:val="20"/>
          <w:lang w:val="es-ES" w:eastAsia="es-MX"/>
        </w:rPr>
        <w:tab/>
        <w:t>Seneca Verde, CS 14’s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042043</w:t>
      </w:r>
      <w:r w:rsidRPr="00957B34">
        <w:rPr>
          <w:rFonts w:ascii="Verdana" w:eastAsia="Times New Roman" w:hAnsi="Verdana" w:cs="Times New Roman"/>
          <w:sz w:val="20"/>
          <w:szCs w:val="20"/>
          <w:lang w:val="en-GB" w:eastAsia="es-MX"/>
        </w:rPr>
        <w:tab/>
        <w:t>Scenic 101 Rojo, CD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042044</w:t>
      </w:r>
      <w:r w:rsidRPr="00957B34">
        <w:rPr>
          <w:rFonts w:ascii="Verdana" w:eastAsia="Times New Roman" w:hAnsi="Verdana" w:cs="Times New Roman"/>
          <w:sz w:val="20"/>
          <w:szCs w:val="20"/>
          <w:lang w:val="en-GB" w:eastAsia="es-MX"/>
        </w:rPr>
        <w:tab/>
        <w:t>Scenic 101 Rojo, CS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042045</w:t>
      </w:r>
      <w:r w:rsidRPr="00957B34">
        <w:rPr>
          <w:rFonts w:ascii="Verdana" w:eastAsia="Times New Roman" w:hAnsi="Verdana" w:cs="Times New Roman"/>
          <w:sz w:val="20"/>
          <w:szCs w:val="20"/>
          <w:lang w:val="en-GB" w:eastAsia="es-MX"/>
        </w:rPr>
        <w:tab/>
        <w:t>Scenic 101 Rojo, CD 14´s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042046</w:t>
      </w:r>
      <w:r w:rsidRPr="00957B34">
        <w:rPr>
          <w:rFonts w:ascii="Verdana" w:eastAsia="Times New Roman" w:hAnsi="Verdana" w:cs="Times New Roman"/>
          <w:sz w:val="20"/>
          <w:szCs w:val="20"/>
          <w:lang w:val="en-US" w:eastAsia="es-MX"/>
        </w:rPr>
        <w:tab/>
        <w:t>Catalina Rojo, CD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042047 </w:t>
      </w:r>
      <w:r w:rsidRPr="00957B34">
        <w:rPr>
          <w:rFonts w:ascii="Verdana" w:eastAsia="Times New Roman" w:hAnsi="Verdana" w:cs="Times New Roman"/>
          <w:sz w:val="20"/>
          <w:szCs w:val="20"/>
          <w:lang w:val="en-US" w:eastAsia="es-MX"/>
        </w:rPr>
        <w:tab/>
      </w:r>
      <w:r w:rsidRPr="00957B34">
        <w:rPr>
          <w:rFonts w:ascii="Verdana" w:eastAsia="Times New Roman" w:hAnsi="Verdana" w:cs="Times New Roman"/>
          <w:sz w:val="20"/>
          <w:szCs w:val="20"/>
          <w:lang w:val="en-GB" w:eastAsia="es-MX"/>
        </w:rPr>
        <w:t>Catalina Azul CD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042048 </w:t>
      </w:r>
      <w:r w:rsidRPr="00957B34">
        <w:rPr>
          <w:rFonts w:ascii="Verdana" w:eastAsia="Times New Roman" w:hAnsi="Verdana" w:cs="Times New Roman"/>
          <w:sz w:val="20"/>
          <w:szCs w:val="20"/>
          <w:lang w:val="en-US" w:eastAsia="es-MX"/>
        </w:rPr>
        <w:tab/>
      </w:r>
      <w:r w:rsidRPr="00957B34">
        <w:rPr>
          <w:rFonts w:ascii="Verdana" w:eastAsia="Times New Roman" w:hAnsi="Verdana" w:cs="Times New Roman"/>
          <w:sz w:val="20"/>
          <w:szCs w:val="20"/>
          <w:lang w:val="en-GB" w:eastAsia="es-MX"/>
        </w:rPr>
        <w:t>Catalina Rojo, CS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042049 </w:t>
      </w:r>
      <w:r w:rsidRPr="00957B34">
        <w:rPr>
          <w:rFonts w:ascii="Verdana" w:eastAsia="Times New Roman" w:hAnsi="Verdana" w:cs="Times New Roman"/>
          <w:sz w:val="20"/>
          <w:szCs w:val="20"/>
          <w:lang w:val="en-US" w:eastAsia="es-MX"/>
        </w:rPr>
        <w:tab/>
      </w:r>
      <w:r w:rsidRPr="00957B34">
        <w:rPr>
          <w:rFonts w:ascii="Verdana" w:eastAsia="Times New Roman" w:hAnsi="Verdana" w:cs="Times New Roman"/>
          <w:sz w:val="20"/>
          <w:szCs w:val="20"/>
          <w:lang w:val="en-GB" w:eastAsia="es-MX"/>
        </w:rPr>
        <w:t>Catalina Azul CS 20´s</w:t>
      </w:r>
    </w:p>
    <w:p w:rsidR="00957B34" w:rsidRPr="00957B34" w:rsidRDefault="00957B34" w:rsidP="00957B34">
      <w:pPr>
        <w:spacing w:before="100" w:beforeAutospacing="1" w:after="100" w:afterAutospacing="1" w:line="242"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n-GB"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9131"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43.</w:t>
            </w:r>
            <w:r w:rsidRPr="00957B34">
              <w:rPr>
                <w:rFonts w:ascii="Verdana" w:eastAsia="Times New Roman" w:hAnsi="Verdana" w:cs="Arial"/>
                <w:b/>
                <w:noProof/>
                <w:sz w:val="20"/>
                <w:szCs w:val="20"/>
                <w:lang w:val="es-ES" w:eastAsia="es-MX"/>
              </w:rPr>
              <w:tab/>
              <w:t xml:space="preserve">JAPAN TOBACCO INTERNATIONAL </w:t>
            </w:r>
            <w:r w:rsidRPr="00957B34">
              <w:rPr>
                <w:rFonts w:ascii="Verdana" w:eastAsia="Times New Roman" w:hAnsi="Verdana" w:cs="Arial"/>
                <w:b/>
                <w:sz w:val="20"/>
                <w:szCs w:val="20"/>
                <w:lang w:val="es-ES" w:eastAsia="es-MX"/>
              </w:rPr>
              <w:t>MEXICO</w:t>
            </w:r>
            <w:r w:rsidRPr="00957B34">
              <w:rPr>
                <w:rFonts w:ascii="Verdana" w:eastAsia="Times New Roman" w:hAnsi="Verdana" w:cs="Arial"/>
                <w:b/>
                <w:noProof/>
                <w:sz w:val="20"/>
                <w:szCs w:val="20"/>
                <w:lang w:val="es-ES" w:eastAsia="es-MX"/>
              </w:rPr>
              <w:t>, S. DE R.L. DE C.V.</w:t>
            </w:r>
            <w:r w:rsidRPr="00957B34">
              <w:rPr>
                <w:rFonts w:ascii="Verdana" w:eastAsia="Times New Roman" w:hAnsi="Verdana" w:cs="Arial"/>
                <w:b/>
                <w:noProof/>
                <w:sz w:val="20"/>
                <w:szCs w:val="20"/>
                <w:lang w:val="es-ES" w:eastAsia="es-MX"/>
              </w:rPr>
              <w:tab/>
              <w:t>R.F.C. JTI0711305X0</w:t>
            </w:r>
          </w:p>
        </w:tc>
      </w:tr>
    </w:tbl>
    <w:p w:rsidR="00957B34" w:rsidRPr="00957B34" w:rsidRDefault="00957B34" w:rsidP="00957B34">
      <w:pPr>
        <w:spacing w:before="100" w:beforeAutospacing="1" w:after="100" w:afterAutospacing="1" w:line="242"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t>CLAVES</w:t>
      </w:r>
      <w:r w:rsidRPr="00957B34">
        <w:rPr>
          <w:rFonts w:ascii="Verdana" w:eastAsia="Times New Roman" w:hAnsi="Verdana" w:cs="Times New Roman"/>
          <w:b/>
          <w:sz w:val="20"/>
          <w:szCs w:val="20"/>
          <w:lang w:val="en-US" w:eastAsia="es-MX"/>
        </w:rPr>
        <w:tab/>
      </w:r>
      <w:r w:rsidRPr="00957B34">
        <w:rPr>
          <w:rFonts w:ascii="Verdana" w:eastAsia="Times New Roman" w:hAnsi="Verdana" w:cs="Times New Roman"/>
          <w:b/>
          <w:sz w:val="20"/>
          <w:szCs w:val="20"/>
          <w:lang w:val="en-GB" w:eastAsia="es-MX"/>
        </w:rPr>
        <w:t>MARCAS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043001</w:t>
      </w:r>
      <w:r w:rsidRPr="00957B34">
        <w:rPr>
          <w:rFonts w:ascii="Verdana" w:eastAsia="Times New Roman" w:hAnsi="Verdana" w:cs="Times New Roman"/>
          <w:sz w:val="20"/>
          <w:szCs w:val="20"/>
          <w:lang w:val="en-GB" w:eastAsia="es-MX"/>
        </w:rPr>
        <w:tab/>
        <w:t>Winston Blue 14s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043002</w:t>
      </w:r>
      <w:r w:rsidRPr="00957B34">
        <w:rPr>
          <w:rFonts w:ascii="Verdana" w:eastAsia="Times New Roman" w:hAnsi="Verdana" w:cs="Times New Roman"/>
          <w:sz w:val="20"/>
          <w:szCs w:val="20"/>
          <w:lang w:val="en-GB" w:eastAsia="es-MX"/>
        </w:rPr>
        <w:tab/>
        <w:t>Winston Classic 14s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043003</w:t>
      </w:r>
      <w:r w:rsidRPr="00957B34">
        <w:rPr>
          <w:rFonts w:ascii="Verdana" w:eastAsia="Times New Roman" w:hAnsi="Verdana" w:cs="Times New Roman"/>
          <w:sz w:val="20"/>
          <w:szCs w:val="20"/>
          <w:lang w:val="en-GB" w:eastAsia="es-MX"/>
        </w:rPr>
        <w:tab/>
        <w:t>Winston Blue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043004</w:t>
      </w:r>
      <w:r w:rsidRPr="00957B34">
        <w:rPr>
          <w:rFonts w:ascii="Verdana" w:eastAsia="Times New Roman" w:hAnsi="Verdana" w:cs="Times New Roman"/>
          <w:sz w:val="20"/>
          <w:szCs w:val="20"/>
          <w:lang w:val="en-GB" w:eastAsia="es-MX"/>
        </w:rPr>
        <w:tab/>
        <w:t>Winston Classic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lastRenderedPageBreak/>
        <w:t>043005</w:t>
      </w:r>
      <w:r w:rsidRPr="00957B34">
        <w:rPr>
          <w:rFonts w:ascii="Verdana" w:eastAsia="Times New Roman" w:hAnsi="Verdana" w:cs="Times New Roman"/>
          <w:sz w:val="20"/>
          <w:szCs w:val="20"/>
          <w:lang w:val="en-GB" w:eastAsia="es-MX"/>
        </w:rPr>
        <w:tab/>
        <w:t>Winston Expand Wild Mint</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043006</w:t>
      </w:r>
      <w:r w:rsidRPr="00957B34">
        <w:rPr>
          <w:rFonts w:ascii="Verdana" w:eastAsia="Times New Roman" w:hAnsi="Verdana" w:cs="Times New Roman"/>
          <w:sz w:val="20"/>
          <w:szCs w:val="20"/>
          <w:lang w:val="en-GB" w:eastAsia="es-MX"/>
        </w:rPr>
        <w:tab/>
        <w:t>Winston Expand Purple Mint</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noProof/>
          <w:sz w:val="20"/>
          <w:szCs w:val="20"/>
          <w:lang w:val="en-US" w:eastAsia="es-MX"/>
        </w:rPr>
        <w:t xml:space="preserve">043007 </w:t>
      </w:r>
      <w:r w:rsidRPr="00957B34">
        <w:rPr>
          <w:rFonts w:ascii="Verdana" w:eastAsia="Times New Roman" w:hAnsi="Verdana" w:cs="Times New Roman"/>
          <w:noProof/>
          <w:sz w:val="20"/>
          <w:szCs w:val="20"/>
          <w:lang w:val="en-US" w:eastAsia="es-MX"/>
        </w:rPr>
        <w:tab/>
      </w:r>
      <w:r w:rsidRPr="00957B34">
        <w:rPr>
          <w:rFonts w:ascii="Verdana" w:eastAsia="Times New Roman" w:hAnsi="Verdana" w:cs="Times New Roman"/>
          <w:sz w:val="20"/>
          <w:szCs w:val="20"/>
          <w:lang w:val="en-US" w:eastAsia="es-MX"/>
        </w:rPr>
        <w:t>Winston Classic 24s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043008</w:t>
      </w:r>
      <w:r w:rsidRPr="00957B34">
        <w:rPr>
          <w:rFonts w:ascii="Verdana" w:eastAsia="Times New Roman" w:hAnsi="Verdana" w:cs="Times New Roman"/>
          <w:sz w:val="20"/>
          <w:szCs w:val="20"/>
          <w:lang w:val="en-US" w:eastAsia="es-MX"/>
        </w:rPr>
        <w:tab/>
        <w:t>Camel Filters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043009</w:t>
      </w:r>
      <w:r w:rsidRPr="00957B34">
        <w:rPr>
          <w:rFonts w:ascii="Verdana" w:eastAsia="Times New Roman" w:hAnsi="Verdana" w:cs="Times New Roman"/>
          <w:sz w:val="20"/>
          <w:szCs w:val="20"/>
          <w:lang w:val="en-US" w:eastAsia="es-MX"/>
        </w:rPr>
        <w:tab/>
        <w:t>Camel Filters 14´s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043010</w:t>
      </w:r>
      <w:r w:rsidRPr="00957B34">
        <w:rPr>
          <w:rFonts w:ascii="Verdana" w:eastAsia="Times New Roman" w:hAnsi="Verdana" w:cs="Times New Roman"/>
          <w:sz w:val="20"/>
          <w:szCs w:val="20"/>
          <w:lang w:val="en-US" w:eastAsia="es-MX"/>
        </w:rPr>
        <w:tab/>
        <w:t>Camel Filters 100´s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043011</w:t>
      </w:r>
      <w:r w:rsidRPr="00957B34">
        <w:rPr>
          <w:rFonts w:ascii="Verdana" w:eastAsia="Times New Roman" w:hAnsi="Verdana" w:cs="Times New Roman"/>
          <w:sz w:val="20"/>
          <w:szCs w:val="20"/>
          <w:lang w:val="en-US" w:eastAsia="es-MX"/>
        </w:rPr>
        <w:tab/>
        <w:t>Camel White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043012</w:t>
      </w:r>
      <w:r w:rsidRPr="00957B34">
        <w:rPr>
          <w:rFonts w:ascii="Verdana" w:eastAsia="Times New Roman" w:hAnsi="Verdana" w:cs="Times New Roman"/>
          <w:sz w:val="20"/>
          <w:szCs w:val="20"/>
          <w:lang w:val="en-US" w:eastAsia="es-MX"/>
        </w:rPr>
        <w:tab/>
        <w:t>Camel Activa FF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043013</w:t>
      </w:r>
      <w:r w:rsidRPr="00957B34">
        <w:rPr>
          <w:rFonts w:ascii="Verdana" w:eastAsia="Times New Roman" w:hAnsi="Verdana" w:cs="Times New Roman"/>
          <w:sz w:val="20"/>
          <w:szCs w:val="20"/>
          <w:lang w:val="en-US" w:eastAsia="es-MX"/>
        </w:rPr>
        <w:tab/>
        <w:t>Camel Activa White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 043014 </w:t>
      </w:r>
      <w:r w:rsidRPr="00957B34">
        <w:rPr>
          <w:rFonts w:ascii="Verdana" w:eastAsia="Times New Roman" w:hAnsi="Verdana" w:cs="Times New Roman"/>
          <w:sz w:val="20"/>
          <w:szCs w:val="20"/>
          <w:lang w:val="en-US" w:eastAsia="es-MX"/>
        </w:rPr>
        <w:tab/>
        <w:t>Salem 20´s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043015</w:t>
      </w:r>
      <w:r w:rsidRPr="00957B34">
        <w:rPr>
          <w:rFonts w:ascii="Verdana" w:eastAsia="Times New Roman" w:hAnsi="Verdana" w:cs="Times New Roman"/>
          <w:sz w:val="20"/>
          <w:szCs w:val="20"/>
          <w:lang w:val="en-US" w:eastAsia="es-MX"/>
        </w:rPr>
        <w:tab/>
        <w:t>Camel Blue 20</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043016</w:t>
      </w:r>
      <w:r w:rsidRPr="00957B34">
        <w:rPr>
          <w:rFonts w:ascii="Verdana" w:eastAsia="Times New Roman" w:hAnsi="Verdana" w:cs="Times New Roman"/>
          <w:sz w:val="20"/>
          <w:szCs w:val="20"/>
          <w:lang w:val="en-US" w:eastAsia="es-MX"/>
        </w:rPr>
        <w:tab/>
        <w:t>Camel Activa FF 100 20</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043017</w:t>
      </w:r>
      <w:r w:rsidRPr="00957B34">
        <w:rPr>
          <w:rFonts w:ascii="Verdana" w:eastAsia="Times New Roman" w:hAnsi="Verdana" w:cs="Times New Roman"/>
          <w:sz w:val="20"/>
          <w:szCs w:val="20"/>
          <w:lang w:val="en-US" w:eastAsia="es-MX"/>
        </w:rPr>
        <w:tab/>
        <w:t>Camel Double Mint &amp; Purple 100 20</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043018</w:t>
      </w:r>
      <w:r w:rsidRPr="00957B34">
        <w:rPr>
          <w:rFonts w:ascii="Verdana" w:eastAsia="Times New Roman" w:hAnsi="Verdana" w:cs="Times New Roman"/>
          <w:sz w:val="20"/>
          <w:szCs w:val="20"/>
          <w:lang w:val="en-US" w:eastAsia="es-MX"/>
        </w:rPr>
        <w:tab/>
        <w:t>LD Red 14</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043019</w:t>
      </w:r>
      <w:r w:rsidRPr="00957B34">
        <w:rPr>
          <w:rFonts w:ascii="Verdana" w:eastAsia="Times New Roman" w:hAnsi="Verdana" w:cs="Times New Roman"/>
          <w:sz w:val="20"/>
          <w:szCs w:val="20"/>
          <w:lang w:val="en-US" w:eastAsia="es-MX"/>
        </w:rPr>
        <w:tab/>
        <w:t>Camel NF 20</w:t>
      </w:r>
    </w:p>
    <w:p w:rsidR="00957B34" w:rsidRPr="00957B34" w:rsidRDefault="00957B34" w:rsidP="00957B34">
      <w:pPr>
        <w:spacing w:before="100" w:beforeAutospacing="1" w:after="100" w:afterAutospacing="1" w:line="24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5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44.</w:t>
            </w:r>
            <w:r w:rsidRPr="00957B34">
              <w:rPr>
                <w:rFonts w:ascii="Verdana" w:eastAsia="Times New Roman" w:hAnsi="Verdana" w:cs="Arial"/>
                <w:b/>
                <w:noProof/>
                <w:sz w:val="20"/>
                <w:szCs w:val="20"/>
                <w:lang w:val="es-ES" w:eastAsia="es-MX"/>
              </w:rPr>
              <w:tab/>
              <w:t>MONTEPAZ MEXICO, S.A. DE C.V.,</w:t>
            </w:r>
            <w:r w:rsidRPr="00957B34">
              <w:rPr>
                <w:rFonts w:ascii="Verdana" w:eastAsia="Times New Roman" w:hAnsi="Verdana" w:cs="Arial"/>
                <w:b/>
                <w:noProof/>
                <w:sz w:val="20"/>
                <w:szCs w:val="20"/>
                <w:lang w:val="es-ES" w:eastAsia="es-MX"/>
              </w:rPr>
              <w:tab/>
              <w:t>R.F.C. MME090512TS7</w:t>
            </w:r>
          </w:p>
        </w:tc>
      </w:tr>
    </w:tbl>
    <w:p w:rsidR="00957B34" w:rsidRPr="00957B34" w:rsidRDefault="00957B34" w:rsidP="00957B34">
      <w:pPr>
        <w:spacing w:before="100" w:beforeAutospacing="1" w:after="100" w:afterAutospacing="1" w:line="242"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t>CLAVES</w:t>
      </w:r>
      <w:r w:rsidRPr="00957B34">
        <w:rPr>
          <w:rFonts w:ascii="Verdana" w:eastAsia="Times New Roman" w:hAnsi="Verdana" w:cs="Times New Roman"/>
          <w:b/>
          <w:sz w:val="20"/>
          <w:szCs w:val="20"/>
          <w:lang w:val="en-US" w:eastAsia="es-MX"/>
        </w:rPr>
        <w:tab/>
      </w:r>
      <w:r w:rsidRPr="00957B34">
        <w:rPr>
          <w:rFonts w:ascii="Verdana" w:eastAsia="Times New Roman" w:hAnsi="Verdana" w:cs="Times New Roman"/>
          <w:b/>
          <w:sz w:val="20"/>
          <w:szCs w:val="20"/>
          <w:lang w:val="en-GB" w:eastAsia="es-MX"/>
        </w:rPr>
        <w:t>MARCAS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044001</w:t>
      </w:r>
      <w:r w:rsidRPr="00957B34">
        <w:rPr>
          <w:rFonts w:ascii="Verdana" w:eastAsia="Times New Roman" w:hAnsi="Verdana" w:cs="Times New Roman"/>
          <w:sz w:val="20"/>
          <w:szCs w:val="20"/>
          <w:lang w:val="en-GB" w:eastAsia="es-MX"/>
        </w:rPr>
        <w:tab/>
        <w:t>Madison Classic</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044002</w:t>
      </w:r>
      <w:r w:rsidRPr="00957B34">
        <w:rPr>
          <w:rFonts w:ascii="Verdana" w:eastAsia="Times New Roman" w:hAnsi="Verdana" w:cs="Times New Roman"/>
          <w:sz w:val="20"/>
          <w:szCs w:val="20"/>
          <w:lang w:val="en-GB" w:eastAsia="es-MX"/>
        </w:rPr>
        <w:tab/>
        <w:t>Madison Special</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044003</w:t>
      </w:r>
      <w:r w:rsidRPr="00957B34">
        <w:rPr>
          <w:rFonts w:ascii="Verdana" w:eastAsia="Times New Roman" w:hAnsi="Verdana" w:cs="Times New Roman"/>
          <w:sz w:val="20"/>
          <w:szCs w:val="20"/>
          <w:lang w:val="en-US" w:eastAsia="es-MX"/>
        </w:rPr>
        <w:tab/>
        <w:t>Madison Menthol</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044004</w:t>
      </w:r>
      <w:r w:rsidRPr="00957B34">
        <w:rPr>
          <w:rFonts w:ascii="Verdana" w:eastAsia="Times New Roman" w:hAnsi="Verdana" w:cs="Times New Roman"/>
          <w:sz w:val="20"/>
          <w:szCs w:val="20"/>
          <w:lang w:val="en-GB" w:eastAsia="es-MX"/>
        </w:rPr>
        <w:tab/>
        <w:t>Madison Fresh</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044005</w:t>
      </w:r>
      <w:r w:rsidRPr="00957B34">
        <w:rPr>
          <w:rFonts w:ascii="Verdana" w:eastAsia="Times New Roman" w:hAnsi="Verdana" w:cs="Times New Roman"/>
          <w:sz w:val="20"/>
          <w:szCs w:val="20"/>
          <w:lang w:val="en-GB" w:eastAsia="es-MX"/>
        </w:rPr>
        <w:tab/>
        <w:t>Norton Full Flavor</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lastRenderedPageBreak/>
              <w:t>45.</w:t>
            </w:r>
            <w:r w:rsidRPr="00957B34">
              <w:rPr>
                <w:rFonts w:ascii="Verdana" w:eastAsia="Times New Roman" w:hAnsi="Verdana" w:cs="Arial"/>
                <w:b/>
                <w:noProof/>
                <w:sz w:val="20"/>
                <w:szCs w:val="20"/>
                <w:lang w:val="es-ES" w:eastAsia="es-MX"/>
              </w:rPr>
              <w:tab/>
              <w:t xml:space="preserve">BURLEY &amp; VIRGINIA TABACO COMPANY, S.A DE C.V., </w:t>
            </w:r>
            <w:r w:rsidRPr="00957B34">
              <w:rPr>
                <w:rFonts w:ascii="Verdana" w:eastAsia="Times New Roman" w:hAnsi="Verdana" w:cs="Arial"/>
                <w:b/>
                <w:noProof/>
                <w:sz w:val="20"/>
                <w:szCs w:val="20"/>
                <w:lang w:val="es-ES" w:eastAsia="es-MX"/>
              </w:rPr>
              <w:tab/>
              <w:t>R.F.C. BAVO90610GR5</w:t>
            </w:r>
          </w:p>
        </w:tc>
      </w:tr>
    </w:tbl>
    <w:p w:rsidR="00957B34" w:rsidRPr="00957B34" w:rsidRDefault="00957B34" w:rsidP="00957B34">
      <w:pPr>
        <w:spacing w:before="100" w:beforeAutospacing="1" w:after="100" w:afterAutospacing="1" w:line="235"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045001</w:t>
      </w:r>
      <w:r w:rsidRPr="00957B34">
        <w:rPr>
          <w:rFonts w:ascii="Verdana" w:eastAsia="Times New Roman" w:hAnsi="Verdana" w:cs="Times New Roman"/>
          <w:sz w:val="20"/>
          <w:szCs w:val="20"/>
          <w:lang w:val="es-ES" w:eastAsia="es-MX"/>
        </w:rPr>
        <w:tab/>
        <w:t>Garañon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045002</w:t>
      </w:r>
      <w:r w:rsidRPr="00957B34">
        <w:rPr>
          <w:rFonts w:ascii="Verdana" w:eastAsia="Times New Roman" w:hAnsi="Verdana" w:cs="Times New Roman"/>
          <w:sz w:val="20"/>
          <w:szCs w:val="20"/>
          <w:lang w:val="es-ES" w:eastAsia="es-MX"/>
        </w:rPr>
        <w:tab/>
        <w:t>Garañon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045003</w:t>
      </w:r>
      <w:r w:rsidRPr="00957B34">
        <w:rPr>
          <w:rFonts w:ascii="Verdana" w:eastAsia="Times New Roman" w:hAnsi="Verdana" w:cs="Times New Roman"/>
          <w:sz w:val="20"/>
          <w:szCs w:val="20"/>
          <w:lang w:val="es-ES" w:eastAsia="es-MX"/>
        </w:rPr>
        <w:tab/>
        <w:t>Garañon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045004</w:t>
      </w:r>
      <w:r w:rsidRPr="00957B34">
        <w:rPr>
          <w:rFonts w:ascii="Verdana" w:eastAsia="Times New Roman" w:hAnsi="Verdana" w:cs="Times New Roman"/>
          <w:sz w:val="20"/>
          <w:szCs w:val="20"/>
          <w:lang w:val="es-ES" w:eastAsia="es-MX"/>
        </w:rPr>
        <w:tab/>
        <w:t>Garañon Natural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045005</w:t>
      </w:r>
      <w:r w:rsidRPr="00957B34">
        <w:rPr>
          <w:rFonts w:ascii="Verdana" w:eastAsia="Times New Roman" w:hAnsi="Verdana" w:cs="Times New Roman"/>
          <w:sz w:val="20"/>
          <w:szCs w:val="20"/>
          <w:lang w:val="es-ES" w:eastAsia="es-MX"/>
        </w:rPr>
        <w:tab/>
        <w:t>Garañon Verde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045006</w:t>
      </w:r>
      <w:r w:rsidRPr="00957B34">
        <w:rPr>
          <w:rFonts w:ascii="Verdana" w:eastAsia="Times New Roman" w:hAnsi="Verdana" w:cs="Times New Roman"/>
          <w:sz w:val="20"/>
          <w:szCs w:val="20"/>
          <w:lang w:val="es-ES" w:eastAsia="es-MX"/>
        </w:rPr>
        <w:tab/>
        <w:t>Soberano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045007</w:t>
      </w:r>
      <w:r w:rsidRPr="00957B34">
        <w:rPr>
          <w:rFonts w:ascii="Verdana" w:eastAsia="Times New Roman" w:hAnsi="Verdana" w:cs="Times New Roman"/>
          <w:sz w:val="20"/>
          <w:szCs w:val="20"/>
          <w:lang w:val="es-ES" w:eastAsia="es-MX"/>
        </w:rPr>
        <w:tab/>
        <w:t>Soberano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045008</w:t>
      </w:r>
      <w:r w:rsidRPr="00957B34">
        <w:rPr>
          <w:rFonts w:ascii="Verdana" w:eastAsia="Times New Roman" w:hAnsi="Verdana" w:cs="Times New Roman"/>
          <w:sz w:val="20"/>
          <w:szCs w:val="20"/>
          <w:lang w:val="es-ES" w:eastAsia="es-MX"/>
        </w:rPr>
        <w:tab/>
        <w:t>Soberano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045009</w:t>
      </w:r>
      <w:r w:rsidRPr="00957B34">
        <w:rPr>
          <w:rFonts w:ascii="Verdana" w:eastAsia="Times New Roman" w:hAnsi="Verdana" w:cs="Times New Roman"/>
          <w:sz w:val="20"/>
          <w:szCs w:val="20"/>
          <w:lang w:val="es-ES" w:eastAsia="es-MX"/>
        </w:rPr>
        <w:tab/>
        <w:t>Soberano Natural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045010</w:t>
      </w:r>
      <w:r w:rsidRPr="00957B34">
        <w:rPr>
          <w:rFonts w:ascii="Verdana" w:eastAsia="Times New Roman" w:hAnsi="Verdana" w:cs="Times New Roman"/>
          <w:sz w:val="20"/>
          <w:szCs w:val="20"/>
          <w:lang w:val="es-ES" w:eastAsia="es-MX"/>
        </w:rPr>
        <w:tab/>
        <w:t>Soberano Verde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045011</w:t>
      </w:r>
      <w:r w:rsidRPr="00957B34">
        <w:rPr>
          <w:rFonts w:ascii="Verdana" w:eastAsia="Times New Roman" w:hAnsi="Verdana" w:cs="Times New Roman"/>
          <w:sz w:val="20"/>
          <w:szCs w:val="20"/>
          <w:lang w:val="es-ES" w:eastAsia="es-MX"/>
        </w:rPr>
        <w:tab/>
        <w:t>Santorini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045012</w:t>
      </w:r>
      <w:r w:rsidRPr="00957B34">
        <w:rPr>
          <w:rFonts w:ascii="Verdana" w:eastAsia="Times New Roman" w:hAnsi="Verdana" w:cs="Times New Roman"/>
          <w:sz w:val="20"/>
          <w:szCs w:val="20"/>
          <w:lang w:val="en-US" w:eastAsia="es-MX"/>
        </w:rPr>
        <w:tab/>
        <w:t>Link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045013</w:t>
      </w:r>
      <w:r w:rsidRPr="00957B34">
        <w:rPr>
          <w:rFonts w:ascii="Verdana" w:eastAsia="Times New Roman" w:hAnsi="Verdana" w:cs="Times New Roman"/>
          <w:sz w:val="20"/>
          <w:szCs w:val="20"/>
          <w:lang w:val="en-US" w:eastAsia="es-MX"/>
        </w:rPr>
        <w:tab/>
        <w:t>Apaluza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045014</w:t>
      </w:r>
      <w:r w:rsidRPr="00957B34">
        <w:rPr>
          <w:rFonts w:ascii="Verdana" w:eastAsia="Times New Roman" w:hAnsi="Verdana" w:cs="Times New Roman"/>
          <w:sz w:val="20"/>
          <w:szCs w:val="20"/>
          <w:lang w:val="es-ES" w:eastAsia="es-MX"/>
        </w:rPr>
        <w:tab/>
        <w:t>Apaluza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045015</w:t>
      </w:r>
      <w:r w:rsidRPr="00957B34">
        <w:rPr>
          <w:rFonts w:ascii="Verdana" w:eastAsia="Times New Roman" w:hAnsi="Verdana" w:cs="Times New Roman"/>
          <w:sz w:val="20"/>
          <w:szCs w:val="20"/>
          <w:lang w:val="es-ES" w:eastAsia="es-MX"/>
        </w:rPr>
        <w:tab/>
        <w:t>Apaluza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045016</w:t>
      </w:r>
      <w:r w:rsidRPr="00957B34">
        <w:rPr>
          <w:rFonts w:ascii="Verdana" w:eastAsia="Times New Roman" w:hAnsi="Verdana" w:cs="Times New Roman"/>
          <w:sz w:val="20"/>
          <w:szCs w:val="20"/>
          <w:lang w:val="es-ES" w:eastAsia="es-MX"/>
        </w:rPr>
        <w:tab/>
        <w:t>Andaluz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045017</w:t>
      </w:r>
      <w:r w:rsidRPr="00957B34">
        <w:rPr>
          <w:rFonts w:ascii="Verdana" w:eastAsia="Times New Roman" w:hAnsi="Verdana" w:cs="Times New Roman"/>
          <w:sz w:val="20"/>
          <w:szCs w:val="20"/>
          <w:lang w:val="es-ES" w:eastAsia="es-MX"/>
        </w:rPr>
        <w:tab/>
        <w:t>Andaluz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045018</w:t>
      </w:r>
      <w:r w:rsidRPr="00957B34">
        <w:rPr>
          <w:rFonts w:ascii="Verdana" w:eastAsia="Times New Roman" w:hAnsi="Verdana" w:cs="Times New Roman"/>
          <w:sz w:val="20"/>
          <w:szCs w:val="20"/>
          <w:lang w:val="es-ES" w:eastAsia="es-MX"/>
        </w:rPr>
        <w:tab/>
        <w:t>Andaluz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045019</w:t>
      </w:r>
      <w:r w:rsidRPr="00957B34">
        <w:rPr>
          <w:rFonts w:ascii="Verdana" w:eastAsia="Times New Roman" w:hAnsi="Verdana" w:cs="Times New Roman"/>
          <w:sz w:val="20"/>
          <w:szCs w:val="20"/>
          <w:lang w:val="es-ES" w:eastAsia="es-MX"/>
        </w:rPr>
        <w:tab/>
        <w:t>Indy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045020</w:t>
      </w:r>
      <w:r w:rsidRPr="00957B34">
        <w:rPr>
          <w:rFonts w:ascii="Verdana" w:eastAsia="Times New Roman" w:hAnsi="Verdana" w:cs="Times New Roman"/>
          <w:sz w:val="20"/>
          <w:szCs w:val="20"/>
          <w:lang w:val="es-ES" w:eastAsia="es-MX"/>
        </w:rPr>
        <w:tab/>
        <w:t>Indy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045021</w:t>
      </w:r>
      <w:r w:rsidRPr="00957B34">
        <w:rPr>
          <w:rFonts w:ascii="Verdana" w:eastAsia="Times New Roman" w:hAnsi="Verdana" w:cs="Times New Roman"/>
          <w:sz w:val="20"/>
          <w:szCs w:val="20"/>
          <w:lang w:val="es-ES" w:eastAsia="es-MX"/>
        </w:rPr>
        <w:tab/>
        <w:t>Indy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045022</w:t>
      </w:r>
      <w:r w:rsidRPr="00957B34">
        <w:rPr>
          <w:rFonts w:ascii="Verdana" w:eastAsia="Times New Roman" w:hAnsi="Verdana" w:cs="Times New Roman"/>
          <w:sz w:val="20"/>
          <w:szCs w:val="20"/>
          <w:lang w:val="en-GB" w:eastAsia="es-MX"/>
        </w:rPr>
        <w:tab/>
        <w:t>Maverick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lastRenderedPageBreak/>
        <w:t>045023</w:t>
      </w:r>
      <w:r w:rsidRPr="00957B34">
        <w:rPr>
          <w:rFonts w:ascii="Verdana" w:eastAsia="Times New Roman" w:hAnsi="Verdana" w:cs="Times New Roman"/>
          <w:sz w:val="20"/>
          <w:szCs w:val="20"/>
          <w:lang w:val="en-GB" w:eastAsia="es-MX"/>
        </w:rPr>
        <w:tab/>
        <w:t>Maverick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045024</w:t>
      </w:r>
      <w:r w:rsidRPr="00957B34">
        <w:rPr>
          <w:rFonts w:ascii="Verdana" w:eastAsia="Times New Roman" w:hAnsi="Verdana" w:cs="Times New Roman"/>
          <w:sz w:val="20"/>
          <w:szCs w:val="20"/>
          <w:lang w:eastAsia="es-MX"/>
        </w:rPr>
        <w:tab/>
        <w:t>Maverick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045025</w:t>
      </w:r>
      <w:r w:rsidRPr="00957B34">
        <w:rPr>
          <w:rFonts w:ascii="Verdana" w:eastAsia="Times New Roman" w:hAnsi="Verdana" w:cs="Times New Roman"/>
          <w:sz w:val="20"/>
          <w:szCs w:val="20"/>
          <w:lang w:val="es-ES" w:eastAsia="es-MX"/>
        </w:rPr>
        <w:tab/>
        <w:t>Palenque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045026</w:t>
      </w:r>
      <w:r w:rsidRPr="00957B34">
        <w:rPr>
          <w:rFonts w:ascii="Verdana" w:eastAsia="Times New Roman" w:hAnsi="Verdana" w:cs="Times New Roman"/>
          <w:sz w:val="20"/>
          <w:szCs w:val="20"/>
          <w:lang w:val="es-ES" w:eastAsia="es-MX"/>
        </w:rPr>
        <w:tab/>
        <w:t>Palenque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045027</w:t>
      </w:r>
      <w:r w:rsidRPr="00957B34">
        <w:rPr>
          <w:rFonts w:ascii="Verdana" w:eastAsia="Times New Roman" w:hAnsi="Verdana" w:cs="Times New Roman"/>
          <w:sz w:val="20"/>
          <w:szCs w:val="20"/>
          <w:lang w:val="es-ES" w:eastAsia="es-MX"/>
        </w:rPr>
        <w:tab/>
        <w:t>Palenque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045028</w:t>
      </w:r>
      <w:r w:rsidRPr="00957B34">
        <w:rPr>
          <w:rFonts w:ascii="Verdana" w:eastAsia="Times New Roman" w:hAnsi="Verdana" w:cs="Times New Roman"/>
          <w:sz w:val="20"/>
          <w:szCs w:val="20"/>
          <w:lang w:val="es-ES" w:eastAsia="es-MX"/>
        </w:rPr>
        <w:tab/>
        <w:t>Palenque Dorado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045029</w:t>
      </w:r>
      <w:r w:rsidRPr="00957B34">
        <w:rPr>
          <w:rFonts w:ascii="Verdana" w:eastAsia="Times New Roman" w:hAnsi="Verdana" w:cs="Times New Roman"/>
          <w:sz w:val="20"/>
          <w:szCs w:val="20"/>
          <w:lang w:val="es-ES" w:eastAsia="es-MX"/>
        </w:rPr>
        <w:tab/>
        <w:t>Roma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045030</w:t>
      </w:r>
      <w:r w:rsidRPr="00957B34">
        <w:rPr>
          <w:rFonts w:ascii="Verdana" w:eastAsia="Times New Roman" w:hAnsi="Verdana" w:cs="Times New Roman"/>
          <w:sz w:val="20"/>
          <w:szCs w:val="20"/>
          <w:lang w:val="es-ES" w:eastAsia="es-MX"/>
        </w:rPr>
        <w:tab/>
        <w:t>Roma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045031</w:t>
      </w:r>
      <w:r w:rsidRPr="00957B34">
        <w:rPr>
          <w:rFonts w:ascii="Verdana" w:eastAsia="Times New Roman" w:hAnsi="Verdana" w:cs="Times New Roman"/>
          <w:sz w:val="20"/>
          <w:szCs w:val="20"/>
          <w:lang w:val="es-ES" w:eastAsia="es-MX"/>
        </w:rPr>
        <w:tab/>
        <w:t>Roma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045032</w:t>
      </w:r>
      <w:r w:rsidRPr="00957B34">
        <w:rPr>
          <w:rFonts w:ascii="Verdana" w:eastAsia="Times New Roman" w:hAnsi="Verdana" w:cs="Times New Roman"/>
          <w:sz w:val="20"/>
          <w:szCs w:val="20"/>
          <w:lang w:val="es-ES" w:eastAsia="es-MX"/>
        </w:rPr>
        <w:tab/>
        <w:t>Bahrein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045033</w:t>
      </w:r>
      <w:r w:rsidRPr="00957B34">
        <w:rPr>
          <w:rFonts w:ascii="Verdana" w:eastAsia="Times New Roman" w:hAnsi="Verdana" w:cs="Times New Roman"/>
          <w:sz w:val="20"/>
          <w:szCs w:val="20"/>
          <w:lang w:val="es-ES" w:eastAsia="es-MX"/>
        </w:rPr>
        <w:tab/>
        <w:t>Bahrein Azul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045034</w:t>
      </w:r>
      <w:r w:rsidRPr="00957B34">
        <w:rPr>
          <w:rFonts w:ascii="Verdana" w:eastAsia="Times New Roman" w:hAnsi="Verdana" w:cs="Times New Roman"/>
          <w:sz w:val="20"/>
          <w:szCs w:val="20"/>
          <w:lang w:val="es-ES" w:eastAsia="es-MX"/>
        </w:rPr>
        <w:tab/>
        <w:t>Bahrein Blanco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045035</w:t>
      </w:r>
      <w:r w:rsidRPr="00957B34">
        <w:rPr>
          <w:rFonts w:ascii="Verdana" w:eastAsia="Times New Roman" w:hAnsi="Verdana" w:cs="Times New Roman"/>
          <w:sz w:val="20"/>
          <w:szCs w:val="20"/>
          <w:lang w:val="es-ES" w:eastAsia="es-MX"/>
        </w:rPr>
        <w:tab/>
        <w:t>Bahrein Dorado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045036</w:t>
      </w:r>
      <w:r w:rsidRPr="00957B34">
        <w:rPr>
          <w:rFonts w:ascii="Verdana" w:eastAsia="Times New Roman" w:hAnsi="Verdana" w:cs="Times New Roman"/>
          <w:sz w:val="20"/>
          <w:szCs w:val="20"/>
          <w:lang w:val="es-ES" w:eastAsia="es-MX"/>
        </w:rPr>
        <w:tab/>
        <w:t>Lusitano Rojo KS Box 20</w:t>
      </w:r>
    </w:p>
    <w:p w:rsidR="00957B34" w:rsidRPr="00957B34" w:rsidRDefault="00957B34" w:rsidP="00957B34">
      <w:pPr>
        <w:spacing w:before="100" w:beforeAutospacing="1" w:after="100" w:afterAutospacing="1" w:line="235"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045037</w:t>
      </w:r>
      <w:r w:rsidRPr="00957B34">
        <w:rPr>
          <w:rFonts w:ascii="Verdana" w:eastAsia="Times New Roman" w:hAnsi="Verdana" w:cs="Times New Roman"/>
          <w:sz w:val="20"/>
          <w:szCs w:val="20"/>
          <w:lang w:val="es-ES" w:eastAsia="es-MX"/>
        </w:rPr>
        <w:tab/>
        <w:t>Lusitano Azul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045038</w:t>
      </w:r>
      <w:r w:rsidRPr="00957B34">
        <w:rPr>
          <w:rFonts w:ascii="Verdana" w:eastAsia="Times New Roman" w:hAnsi="Verdana" w:cs="Times New Roman"/>
          <w:sz w:val="20"/>
          <w:szCs w:val="20"/>
          <w:lang w:val="es-ES" w:eastAsia="es-MX"/>
        </w:rPr>
        <w:tab/>
        <w:t>Lusitano Blanco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045039</w:t>
      </w:r>
      <w:r w:rsidRPr="00957B34">
        <w:rPr>
          <w:rFonts w:ascii="Verdana" w:eastAsia="Times New Roman" w:hAnsi="Verdana" w:cs="Times New Roman"/>
          <w:sz w:val="20"/>
          <w:szCs w:val="20"/>
          <w:lang w:val="es-ES" w:eastAsia="es-MX"/>
        </w:rPr>
        <w:tab/>
        <w:t>Santorini Rojo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045040</w:t>
      </w:r>
      <w:r w:rsidRPr="00957B34">
        <w:rPr>
          <w:rFonts w:ascii="Verdana" w:eastAsia="Times New Roman" w:hAnsi="Verdana" w:cs="Times New Roman"/>
          <w:sz w:val="20"/>
          <w:szCs w:val="20"/>
          <w:lang w:val="es-ES" w:eastAsia="es-MX"/>
        </w:rPr>
        <w:tab/>
        <w:t>Santorini Blanco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045041</w:t>
      </w:r>
      <w:r w:rsidRPr="00957B34">
        <w:rPr>
          <w:rFonts w:ascii="Verdana" w:eastAsia="Times New Roman" w:hAnsi="Verdana" w:cs="Times New Roman"/>
          <w:sz w:val="20"/>
          <w:szCs w:val="20"/>
          <w:lang w:val="es-ES" w:eastAsia="es-MX"/>
        </w:rPr>
        <w:tab/>
        <w:t>Link Azul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045042</w:t>
      </w:r>
      <w:r w:rsidRPr="00957B34">
        <w:rPr>
          <w:rFonts w:ascii="Verdana" w:eastAsia="Times New Roman" w:hAnsi="Verdana" w:cs="Times New Roman"/>
          <w:sz w:val="20"/>
          <w:szCs w:val="20"/>
          <w:lang w:val="es-ES" w:eastAsia="es-MX"/>
        </w:rPr>
        <w:tab/>
        <w:t>Link Blanco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045043</w:t>
      </w:r>
      <w:r w:rsidRPr="00957B34">
        <w:rPr>
          <w:rFonts w:ascii="Verdana" w:eastAsia="Times New Roman" w:hAnsi="Verdana" w:cs="Times New Roman"/>
          <w:sz w:val="20"/>
          <w:szCs w:val="20"/>
          <w:lang w:val="es-ES" w:eastAsia="es-MX"/>
        </w:rPr>
        <w:tab/>
        <w:t>Link Negro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045044</w:t>
      </w:r>
      <w:r w:rsidRPr="00957B34">
        <w:rPr>
          <w:rFonts w:ascii="Verdana" w:eastAsia="Times New Roman" w:hAnsi="Verdana" w:cs="Times New Roman"/>
          <w:sz w:val="20"/>
          <w:szCs w:val="20"/>
          <w:lang w:val="es-ES" w:eastAsia="es-MX"/>
        </w:rPr>
        <w:tab/>
        <w:t>Cali Rojo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045045</w:t>
      </w:r>
      <w:r w:rsidRPr="00957B34">
        <w:rPr>
          <w:rFonts w:ascii="Verdana" w:eastAsia="Times New Roman" w:hAnsi="Verdana" w:cs="Times New Roman"/>
          <w:sz w:val="20"/>
          <w:szCs w:val="20"/>
          <w:lang w:val="es-ES" w:eastAsia="es-MX"/>
        </w:rPr>
        <w:tab/>
        <w:t>Cali Azul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045046</w:t>
      </w:r>
      <w:r w:rsidRPr="00957B34">
        <w:rPr>
          <w:rFonts w:ascii="Verdana" w:eastAsia="Times New Roman" w:hAnsi="Verdana" w:cs="Times New Roman"/>
          <w:sz w:val="20"/>
          <w:szCs w:val="20"/>
          <w:lang w:val="es-ES" w:eastAsia="es-MX"/>
        </w:rPr>
        <w:tab/>
        <w:t>Cali Blanco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045047</w:t>
      </w:r>
      <w:r w:rsidRPr="00957B34">
        <w:rPr>
          <w:rFonts w:ascii="Verdana" w:eastAsia="Times New Roman" w:hAnsi="Verdana" w:cs="Times New Roman"/>
          <w:sz w:val="20"/>
          <w:szCs w:val="20"/>
          <w:lang w:val="en-GB" w:eastAsia="es-MX"/>
        </w:rPr>
        <w:tab/>
        <w:t>Charlotte Rojo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lastRenderedPageBreak/>
        <w:t>045048</w:t>
      </w:r>
      <w:r w:rsidRPr="00957B34">
        <w:rPr>
          <w:rFonts w:ascii="Verdana" w:eastAsia="Times New Roman" w:hAnsi="Verdana" w:cs="Times New Roman"/>
          <w:sz w:val="20"/>
          <w:szCs w:val="20"/>
          <w:lang w:val="en-GB" w:eastAsia="es-MX"/>
        </w:rPr>
        <w:tab/>
        <w:t>Charlotte Rosa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045049</w:t>
      </w:r>
      <w:r w:rsidRPr="00957B34">
        <w:rPr>
          <w:rFonts w:ascii="Verdana" w:eastAsia="Times New Roman" w:hAnsi="Verdana" w:cs="Times New Roman"/>
          <w:sz w:val="20"/>
          <w:szCs w:val="20"/>
          <w:lang w:val="en-GB" w:eastAsia="es-MX"/>
        </w:rPr>
        <w:tab/>
        <w:t>Charlotte Azul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045050</w:t>
      </w:r>
      <w:r w:rsidRPr="00957B34">
        <w:rPr>
          <w:rFonts w:ascii="Verdana" w:eastAsia="Times New Roman" w:hAnsi="Verdana" w:cs="Times New Roman"/>
          <w:sz w:val="20"/>
          <w:szCs w:val="20"/>
          <w:lang w:val="en-GB" w:eastAsia="es-MX"/>
        </w:rPr>
        <w:tab/>
        <w:t>Charlotte Blanco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045051</w:t>
      </w:r>
      <w:r w:rsidRPr="00957B34">
        <w:rPr>
          <w:rFonts w:ascii="Verdana" w:eastAsia="Times New Roman" w:hAnsi="Verdana" w:cs="Times New Roman"/>
          <w:sz w:val="20"/>
          <w:szCs w:val="20"/>
          <w:lang w:val="es-ES" w:eastAsia="es-MX"/>
        </w:rPr>
        <w:tab/>
        <w:t>Almirante Rojo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045052</w:t>
      </w:r>
      <w:r w:rsidRPr="00957B34">
        <w:rPr>
          <w:rFonts w:ascii="Verdana" w:eastAsia="Times New Roman" w:hAnsi="Verdana" w:cs="Times New Roman"/>
          <w:sz w:val="20"/>
          <w:szCs w:val="20"/>
          <w:lang w:val="es-ES" w:eastAsia="es-MX"/>
        </w:rPr>
        <w:tab/>
        <w:t>Almirante Azul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045053</w:t>
      </w:r>
      <w:r w:rsidRPr="00957B34">
        <w:rPr>
          <w:rFonts w:ascii="Verdana" w:eastAsia="Times New Roman" w:hAnsi="Verdana" w:cs="Times New Roman"/>
          <w:sz w:val="20"/>
          <w:szCs w:val="20"/>
          <w:lang w:val="en-GB" w:eastAsia="es-MX"/>
        </w:rPr>
        <w:tab/>
        <w:t>Almirante Blanco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045054</w:t>
      </w:r>
      <w:r w:rsidRPr="00957B34">
        <w:rPr>
          <w:rFonts w:ascii="Verdana" w:eastAsia="Times New Roman" w:hAnsi="Verdana" w:cs="Times New Roman"/>
          <w:sz w:val="20"/>
          <w:szCs w:val="20"/>
          <w:lang w:val="en-GB" w:eastAsia="es-MX"/>
        </w:rPr>
        <w:tab/>
        <w:t>Cherokee Rojo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045055</w:t>
      </w:r>
      <w:r w:rsidRPr="00957B34">
        <w:rPr>
          <w:rFonts w:ascii="Verdana" w:eastAsia="Times New Roman" w:hAnsi="Verdana" w:cs="Times New Roman"/>
          <w:sz w:val="20"/>
          <w:szCs w:val="20"/>
          <w:lang w:val="en-GB" w:eastAsia="es-MX"/>
        </w:rPr>
        <w:tab/>
        <w:t>Cherokee Azul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045056</w:t>
      </w:r>
      <w:r w:rsidRPr="00957B34">
        <w:rPr>
          <w:rFonts w:ascii="Verdana" w:eastAsia="Times New Roman" w:hAnsi="Verdana" w:cs="Times New Roman"/>
          <w:sz w:val="20"/>
          <w:szCs w:val="20"/>
          <w:lang w:val="en-GB" w:eastAsia="es-MX"/>
        </w:rPr>
        <w:tab/>
        <w:t>Cherokee Blanco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GB" w:eastAsia="es-MX"/>
        </w:rPr>
        <w:t>045057</w:t>
      </w:r>
      <w:r w:rsidRPr="00957B34">
        <w:rPr>
          <w:rFonts w:ascii="Verdana" w:eastAsia="Times New Roman" w:hAnsi="Verdana" w:cs="Times New Roman"/>
          <w:sz w:val="20"/>
          <w:szCs w:val="20"/>
          <w:lang w:val="en-GB" w:eastAsia="es-MX"/>
        </w:rPr>
        <w:tab/>
        <w:t>Cherokee Negro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045058</w:t>
      </w:r>
      <w:r w:rsidRPr="00957B34">
        <w:rPr>
          <w:rFonts w:ascii="Verdana" w:eastAsia="Times New Roman" w:hAnsi="Verdana" w:cs="Times New Roman"/>
          <w:sz w:val="20"/>
          <w:szCs w:val="20"/>
          <w:lang w:val="es-ES" w:eastAsia="es-MX"/>
        </w:rPr>
        <w:tab/>
        <w:t>Malaga Rojo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045059</w:t>
      </w:r>
      <w:r w:rsidRPr="00957B34">
        <w:rPr>
          <w:rFonts w:ascii="Verdana" w:eastAsia="Times New Roman" w:hAnsi="Verdana" w:cs="Times New Roman"/>
          <w:sz w:val="20"/>
          <w:szCs w:val="20"/>
          <w:lang w:val="es-ES" w:eastAsia="es-MX"/>
        </w:rPr>
        <w:tab/>
        <w:t>Malaga Azul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045060</w:t>
      </w:r>
      <w:r w:rsidRPr="00957B34">
        <w:rPr>
          <w:rFonts w:ascii="Verdana" w:eastAsia="Times New Roman" w:hAnsi="Verdana" w:cs="Times New Roman"/>
          <w:sz w:val="20"/>
          <w:szCs w:val="20"/>
          <w:lang w:val="es-ES" w:eastAsia="es-MX"/>
        </w:rPr>
        <w:tab/>
        <w:t>Malaga Blanco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045061</w:t>
      </w:r>
      <w:r w:rsidRPr="00957B34">
        <w:rPr>
          <w:rFonts w:ascii="Verdana" w:eastAsia="Times New Roman" w:hAnsi="Verdana" w:cs="Times New Roman"/>
          <w:sz w:val="20"/>
          <w:szCs w:val="20"/>
          <w:lang w:val="es-ES" w:eastAsia="es-MX"/>
        </w:rPr>
        <w:tab/>
        <w:t>Aniversario Rojo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045062</w:t>
      </w:r>
      <w:r w:rsidRPr="00957B34">
        <w:rPr>
          <w:rFonts w:ascii="Verdana" w:eastAsia="Times New Roman" w:hAnsi="Verdana" w:cs="Times New Roman"/>
          <w:sz w:val="20"/>
          <w:szCs w:val="20"/>
          <w:lang w:val="es-ES" w:eastAsia="es-MX"/>
        </w:rPr>
        <w:tab/>
        <w:t>Aniversario Azul KS Box 20</w:t>
      </w:r>
    </w:p>
    <w:p w:rsidR="00957B34" w:rsidRPr="00957B34" w:rsidRDefault="00957B34" w:rsidP="00957B34">
      <w:pPr>
        <w:spacing w:before="100" w:beforeAutospacing="1" w:after="100" w:afterAutospacing="1" w:line="226"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045064</w:t>
      </w:r>
      <w:r w:rsidRPr="00957B34">
        <w:rPr>
          <w:rFonts w:ascii="Verdana" w:eastAsia="Times New Roman" w:hAnsi="Verdana" w:cs="Times New Roman"/>
          <w:sz w:val="20"/>
          <w:szCs w:val="20"/>
          <w:lang w:val="es-ES" w:eastAsia="es-MX"/>
        </w:rPr>
        <w:tab/>
        <w:t>Link Ice Fusion KS Box 20</w:t>
      </w:r>
    </w:p>
    <w:p w:rsidR="00957B34" w:rsidRPr="00957B34" w:rsidRDefault="00957B34" w:rsidP="00957B34">
      <w:pPr>
        <w:spacing w:before="100" w:beforeAutospacing="1" w:after="100" w:afterAutospacing="1" w:line="226"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46.</w:t>
            </w:r>
            <w:r w:rsidRPr="00957B34">
              <w:rPr>
                <w:rFonts w:ascii="Verdana" w:eastAsia="Times New Roman" w:hAnsi="Verdana" w:cs="Arial"/>
                <w:b/>
                <w:noProof/>
                <w:sz w:val="20"/>
                <w:szCs w:val="20"/>
                <w:lang w:val="es-ES" w:eastAsia="es-MX"/>
              </w:rPr>
              <w:tab/>
              <w:t>TABACOS DOMINICANOS, S.A DE C.V.,</w:t>
            </w:r>
            <w:r w:rsidRPr="00957B34">
              <w:rPr>
                <w:rFonts w:ascii="Verdana" w:eastAsia="Times New Roman" w:hAnsi="Verdana" w:cs="Arial"/>
                <w:b/>
                <w:noProof/>
                <w:sz w:val="20"/>
                <w:szCs w:val="20"/>
                <w:lang w:val="es-ES" w:eastAsia="es-MX"/>
              </w:rPr>
              <w:tab/>
              <w:t>R.F.C. TDO061020QJ1</w:t>
            </w:r>
          </w:p>
        </w:tc>
      </w:tr>
    </w:tbl>
    <w:p w:rsidR="00957B34" w:rsidRPr="00957B34" w:rsidRDefault="00957B34" w:rsidP="00957B34">
      <w:pPr>
        <w:spacing w:before="100" w:beforeAutospacing="1" w:after="100" w:afterAutospacing="1" w:line="228"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446001</w:t>
      </w:r>
      <w:r w:rsidRPr="00957B34">
        <w:rPr>
          <w:rFonts w:ascii="Verdana" w:eastAsia="Times New Roman" w:hAnsi="Verdana" w:cs="Times New Roman"/>
          <w:sz w:val="20"/>
          <w:szCs w:val="20"/>
          <w:lang w:val="es-ES" w:eastAsia="es-MX"/>
        </w:rPr>
        <w:tab/>
        <w:t>Yankoff Torpedos 52 x 6’’</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446002</w:t>
      </w:r>
      <w:r w:rsidRPr="00957B34">
        <w:rPr>
          <w:rFonts w:ascii="Verdana" w:eastAsia="Times New Roman" w:hAnsi="Verdana" w:cs="Times New Roman"/>
          <w:sz w:val="20"/>
          <w:szCs w:val="20"/>
          <w:lang w:val="en-US" w:eastAsia="es-MX"/>
        </w:rPr>
        <w:tab/>
        <w:t>Yankoff Churchills 48 x 7’’</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446003</w:t>
      </w:r>
      <w:r w:rsidRPr="00957B34">
        <w:rPr>
          <w:rFonts w:ascii="Verdana" w:eastAsia="Times New Roman" w:hAnsi="Verdana" w:cs="Times New Roman"/>
          <w:sz w:val="20"/>
          <w:szCs w:val="20"/>
          <w:lang w:val="en-US" w:eastAsia="es-MX"/>
        </w:rPr>
        <w:tab/>
        <w:t>Yankoff Robustos 50 x 5’’</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446004</w:t>
      </w:r>
      <w:r w:rsidRPr="00957B34">
        <w:rPr>
          <w:rFonts w:ascii="Verdana" w:eastAsia="Times New Roman" w:hAnsi="Verdana" w:cs="Times New Roman"/>
          <w:sz w:val="20"/>
          <w:szCs w:val="20"/>
          <w:lang w:val="en-US" w:eastAsia="es-MX"/>
        </w:rPr>
        <w:tab/>
        <w:t>Yankoff Coronas 43 x 6’’</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446005</w:t>
      </w:r>
      <w:r w:rsidRPr="00957B34">
        <w:rPr>
          <w:rFonts w:ascii="Verdana" w:eastAsia="Times New Roman" w:hAnsi="Verdana" w:cs="Times New Roman"/>
          <w:sz w:val="20"/>
          <w:szCs w:val="20"/>
          <w:lang w:val="en-US" w:eastAsia="es-MX"/>
        </w:rPr>
        <w:tab/>
        <w:t>Abam Torpedos 52 x 6’’</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446006</w:t>
      </w:r>
      <w:r w:rsidRPr="00957B34">
        <w:rPr>
          <w:rFonts w:ascii="Verdana" w:eastAsia="Times New Roman" w:hAnsi="Verdana" w:cs="Times New Roman"/>
          <w:sz w:val="20"/>
          <w:szCs w:val="20"/>
          <w:lang w:val="en-US" w:eastAsia="es-MX"/>
        </w:rPr>
        <w:tab/>
        <w:t>Abam Churchills 48 x 7’’</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446007</w:t>
      </w:r>
      <w:r w:rsidRPr="00957B34">
        <w:rPr>
          <w:rFonts w:ascii="Verdana" w:eastAsia="Times New Roman" w:hAnsi="Verdana" w:cs="Times New Roman"/>
          <w:sz w:val="20"/>
          <w:szCs w:val="20"/>
          <w:lang w:val="es-ES" w:eastAsia="es-MX"/>
        </w:rPr>
        <w:tab/>
        <w:t>Abam Robustos 50 x 5’’</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446008</w:t>
      </w:r>
      <w:r w:rsidRPr="00957B34">
        <w:rPr>
          <w:rFonts w:ascii="Verdana" w:eastAsia="Times New Roman" w:hAnsi="Verdana" w:cs="Times New Roman"/>
          <w:sz w:val="20"/>
          <w:szCs w:val="20"/>
          <w:lang w:val="es-ES" w:eastAsia="es-MX"/>
        </w:rPr>
        <w:tab/>
        <w:t>Abam Coronas 43 x 6’’</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446009</w:t>
      </w:r>
      <w:r w:rsidRPr="00957B34">
        <w:rPr>
          <w:rFonts w:ascii="Verdana" w:eastAsia="Times New Roman" w:hAnsi="Verdana" w:cs="Times New Roman"/>
          <w:sz w:val="20"/>
          <w:szCs w:val="20"/>
          <w:lang w:val="es-ES" w:eastAsia="es-MX"/>
        </w:rPr>
        <w:tab/>
        <w:t>Abam Doble Corona 50 x 8’’</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446010</w:t>
      </w:r>
      <w:r w:rsidRPr="00957B34">
        <w:rPr>
          <w:rFonts w:ascii="Verdana" w:eastAsia="Times New Roman" w:hAnsi="Verdana" w:cs="Times New Roman"/>
          <w:sz w:val="20"/>
          <w:szCs w:val="20"/>
          <w:lang w:val="es-ES" w:eastAsia="es-MX"/>
        </w:rPr>
        <w:tab/>
        <w:t>Abam Marevas 42 x 5’’</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446011</w:t>
      </w:r>
      <w:r w:rsidRPr="00957B34">
        <w:rPr>
          <w:rFonts w:ascii="Verdana" w:eastAsia="Times New Roman" w:hAnsi="Verdana" w:cs="Times New Roman"/>
          <w:sz w:val="20"/>
          <w:szCs w:val="20"/>
          <w:lang w:val="es-ES" w:eastAsia="es-MX"/>
        </w:rPr>
        <w:tab/>
        <w:t>Abam Gran Corona “A” 47 x 9 ¼’’</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446012</w:t>
      </w:r>
      <w:r w:rsidRPr="00957B34">
        <w:rPr>
          <w:rFonts w:ascii="Verdana" w:eastAsia="Times New Roman" w:hAnsi="Verdana" w:cs="Times New Roman"/>
          <w:sz w:val="20"/>
          <w:szCs w:val="20"/>
          <w:lang w:val="en-US" w:eastAsia="es-MX"/>
        </w:rPr>
        <w:tab/>
        <w:t>Abam Entreatos 43 x 4’’</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446013</w:t>
      </w:r>
      <w:r w:rsidRPr="00957B34">
        <w:rPr>
          <w:rFonts w:ascii="Verdana" w:eastAsia="Times New Roman" w:hAnsi="Verdana" w:cs="Times New Roman"/>
          <w:sz w:val="20"/>
          <w:szCs w:val="20"/>
          <w:lang w:val="en-US" w:eastAsia="es-MX"/>
        </w:rPr>
        <w:tab/>
        <w:t>Abam Short Robustos 50 x 4’’</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446014</w:t>
      </w:r>
      <w:r w:rsidRPr="00957B34">
        <w:rPr>
          <w:rFonts w:ascii="Verdana" w:eastAsia="Times New Roman" w:hAnsi="Verdana" w:cs="Times New Roman"/>
          <w:sz w:val="20"/>
          <w:szCs w:val="20"/>
          <w:lang w:val="en-US" w:eastAsia="es-MX"/>
        </w:rPr>
        <w:tab/>
        <w:t>Abam Short Perfect 54 x 5 ¼” Naturales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446015</w:t>
      </w:r>
      <w:r w:rsidRPr="00957B34">
        <w:rPr>
          <w:rFonts w:ascii="Verdana" w:eastAsia="Times New Roman" w:hAnsi="Verdana" w:cs="Times New Roman"/>
          <w:sz w:val="20"/>
          <w:szCs w:val="20"/>
          <w:lang w:val="es-ES" w:eastAsia="es-MX"/>
        </w:rPr>
        <w:tab/>
        <w:t>Abam Reserva Especial 50 x 6 ½”</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446016</w:t>
      </w:r>
      <w:r w:rsidRPr="00957B34">
        <w:rPr>
          <w:rFonts w:ascii="Verdana" w:eastAsia="Times New Roman" w:hAnsi="Verdana" w:cs="Times New Roman"/>
          <w:sz w:val="20"/>
          <w:szCs w:val="20"/>
          <w:lang w:val="es-ES" w:eastAsia="es-MX"/>
        </w:rPr>
        <w:tab/>
        <w:t>Abam Lanceros 38 x 7 ½”</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446017</w:t>
      </w:r>
      <w:r w:rsidRPr="00957B34">
        <w:rPr>
          <w:rFonts w:ascii="Verdana" w:eastAsia="Times New Roman" w:hAnsi="Verdana" w:cs="Times New Roman"/>
          <w:sz w:val="20"/>
          <w:szCs w:val="20"/>
          <w:lang w:val="es-ES" w:eastAsia="es-MX"/>
        </w:rPr>
        <w:tab/>
        <w:t>Abam Piccolinos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446018</w:t>
      </w:r>
      <w:r w:rsidRPr="00957B34">
        <w:rPr>
          <w:rFonts w:ascii="Verdana" w:eastAsia="Times New Roman" w:hAnsi="Verdana" w:cs="Times New Roman"/>
          <w:sz w:val="20"/>
          <w:szCs w:val="20"/>
          <w:lang w:val="es-ES" w:eastAsia="es-MX"/>
        </w:rPr>
        <w:tab/>
        <w:t>Abam Torpedos 52 x 6’’ Claros (25/1)</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446019</w:t>
      </w:r>
      <w:r w:rsidRPr="00957B34">
        <w:rPr>
          <w:rFonts w:ascii="Verdana" w:eastAsia="Times New Roman" w:hAnsi="Verdana" w:cs="Times New Roman"/>
          <w:sz w:val="20"/>
          <w:szCs w:val="20"/>
          <w:lang w:val="es-ES" w:eastAsia="es-MX"/>
        </w:rPr>
        <w:tab/>
        <w:t>Abam Torpedos 52 x 6’’ Maduros (25/1)</w:t>
      </w:r>
    </w:p>
    <w:p w:rsidR="00957B34" w:rsidRPr="00957B34" w:rsidRDefault="00957B34" w:rsidP="00957B34">
      <w:pPr>
        <w:spacing w:before="100" w:beforeAutospacing="1" w:after="100" w:afterAutospacing="1" w:line="242" w:lineRule="exact"/>
        <w:rPr>
          <w:rFonts w:ascii="Verdana" w:eastAsia="Times New Roman" w:hAnsi="Verdana" w:cs="Times New Roman"/>
          <w:sz w:val="20"/>
          <w:szCs w:val="20"/>
          <w:lang w:eastAsia="es-MX"/>
        </w:rPr>
      </w:pPr>
      <w:r w:rsidRPr="00957B34">
        <w:rPr>
          <w:rFonts w:ascii="Verdana" w:eastAsia="Times New Roman" w:hAnsi="Verdana" w:cs="Times New Roman"/>
          <w:b/>
          <w:noProof/>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47.</w:t>
            </w:r>
            <w:r w:rsidRPr="00957B34">
              <w:rPr>
                <w:rFonts w:ascii="Verdana" w:eastAsia="Times New Roman" w:hAnsi="Verdana" w:cs="Arial"/>
                <w:b/>
                <w:noProof/>
                <w:sz w:val="20"/>
                <w:szCs w:val="20"/>
                <w:lang w:val="es-ES" w:eastAsia="es-MX"/>
              </w:rPr>
              <w:tab/>
              <w:t>LWGN COMERCIO INTERNACIONAL, S.A DE C.V.,</w:t>
            </w:r>
            <w:r w:rsidRPr="00957B34">
              <w:rPr>
                <w:rFonts w:ascii="Verdana" w:eastAsia="Times New Roman" w:hAnsi="Verdana" w:cs="Arial"/>
                <w:b/>
                <w:noProof/>
                <w:sz w:val="20"/>
                <w:szCs w:val="20"/>
                <w:lang w:val="es-ES" w:eastAsia="es-MX"/>
              </w:rPr>
              <w:tab/>
              <w:t>R.F.C. LCI1206292E2</w:t>
            </w:r>
          </w:p>
        </w:tc>
      </w:tr>
    </w:tbl>
    <w:p w:rsidR="00957B34" w:rsidRPr="00957B34" w:rsidRDefault="00957B34" w:rsidP="00957B34">
      <w:pPr>
        <w:spacing w:before="100" w:beforeAutospacing="1" w:after="100" w:afterAutospacing="1" w:line="24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047001</w:t>
      </w:r>
      <w:r w:rsidRPr="00957B34">
        <w:rPr>
          <w:rFonts w:ascii="Verdana" w:eastAsia="Times New Roman" w:hAnsi="Verdana" w:cs="Times New Roman"/>
          <w:sz w:val="20"/>
          <w:szCs w:val="20"/>
          <w:lang w:val="es-ES" w:eastAsia="es-MX"/>
        </w:rPr>
        <w:tab/>
        <w:t>Seneca Largo Rojo 20’ 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047002</w:t>
      </w:r>
      <w:r w:rsidRPr="00957B34">
        <w:rPr>
          <w:rFonts w:ascii="Verdana" w:eastAsia="Times New Roman" w:hAnsi="Verdana" w:cs="Times New Roman"/>
          <w:sz w:val="20"/>
          <w:szCs w:val="20"/>
          <w:lang w:val="es-ES" w:eastAsia="es-MX"/>
        </w:rPr>
        <w:tab/>
        <w:t>Seneca Largo Azul 20’ 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047003</w:t>
      </w:r>
      <w:r w:rsidRPr="00957B34">
        <w:rPr>
          <w:rFonts w:ascii="Verdana" w:eastAsia="Times New Roman" w:hAnsi="Verdana" w:cs="Times New Roman"/>
          <w:sz w:val="20"/>
          <w:szCs w:val="20"/>
          <w:lang w:val="es-ES" w:eastAsia="es-MX"/>
        </w:rPr>
        <w:tab/>
        <w:t>Seneca Largo Verde 20’ 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047004</w:t>
      </w:r>
      <w:r w:rsidRPr="00957B34">
        <w:rPr>
          <w:rFonts w:ascii="Verdana" w:eastAsia="Times New Roman" w:hAnsi="Verdana" w:cs="Times New Roman"/>
          <w:sz w:val="20"/>
          <w:szCs w:val="20"/>
          <w:lang w:val="es-ES" w:eastAsia="es-MX"/>
        </w:rPr>
        <w:tab/>
        <w:t>Scenic 101 Largo Rojo 20’ 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047005</w:t>
      </w:r>
      <w:r w:rsidRPr="00957B34">
        <w:rPr>
          <w:rFonts w:ascii="Verdana" w:eastAsia="Times New Roman" w:hAnsi="Verdana" w:cs="Times New Roman"/>
          <w:sz w:val="20"/>
          <w:szCs w:val="20"/>
          <w:lang w:val="es-ES" w:eastAsia="es-MX"/>
        </w:rPr>
        <w:tab/>
        <w:t>Scenic 101 Largo Azul 20’ 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047006</w:t>
      </w:r>
      <w:r w:rsidRPr="00957B34">
        <w:rPr>
          <w:rFonts w:ascii="Verdana" w:eastAsia="Times New Roman" w:hAnsi="Verdana" w:cs="Times New Roman"/>
          <w:sz w:val="20"/>
          <w:szCs w:val="20"/>
          <w:lang w:val="es-ES" w:eastAsia="es-MX"/>
        </w:rPr>
        <w:tab/>
        <w:t>Scenic 101 Largo Verde 20’ 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047007</w:t>
      </w:r>
      <w:r w:rsidRPr="00957B34">
        <w:rPr>
          <w:rFonts w:ascii="Verdana" w:eastAsia="Times New Roman" w:hAnsi="Verdana" w:cs="Times New Roman"/>
          <w:sz w:val="20"/>
          <w:szCs w:val="20"/>
          <w:lang w:val="es-ES" w:eastAsia="es-MX"/>
        </w:rPr>
        <w:tab/>
        <w:t>Seneca Largo Rojo 14’s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047008</w:t>
      </w:r>
      <w:r w:rsidRPr="00957B34">
        <w:rPr>
          <w:rFonts w:ascii="Verdana" w:eastAsia="Times New Roman" w:hAnsi="Verdana" w:cs="Times New Roman"/>
          <w:sz w:val="20"/>
          <w:szCs w:val="20"/>
          <w:lang w:val="es-ES" w:eastAsia="es-MX"/>
        </w:rPr>
        <w:tab/>
        <w:t>Seneca Largo Azul 14’s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047009</w:t>
      </w:r>
      <w:r w:rsidRPr="00957B34">
        <w:rPr>
          <w:rFonts w:ascii="Verdana" w:eastAsia="Times New Roman" w:hAnsi="Verdana" w:cs="Times New Roman"/>
          <w:sz w:val="20"/>
          <w:szCs w:val="20"/>
          <w:lang w:val="es-ES" w:eastAsia="es-MX"/>
        </w:rPr>
        <w:tab/>
        <w:t>Seneca Largo Verde 14’s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047010</w:t>
      </w:r>
      <w:r w:rsidRPr="00957B34">
        <w:rPr>
          <w:rFonts w:ascii="Verdana" w:eastAsia="Times New Roman" w:hAnsi="Verdana" w:cs="Times New Roman"/>
          <w:sz w:val="20"/>
          <w:szCs w:val="20"/>
          <w:lang w:val="es-ES" w:eastAsia="es-MX"/>
        </w:rPr>
        <w:tab/>
        <w:t>Scenic 101 Largo Rojo 14’s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047011</w:t>
      </w:r>
      <w:r w:rsidRPr="00957B34">
        <w:rPr>
          <w:rFonts w:ascii="Verdana" w:eastAsia="Times New Roman" w:hAnsi="Verdana" w:cs="Times New Roman"/>
          <w:sz w:val="20"/>
          <w:szCs w:val="20"/>
          <w:lang w:val="es-ES" w:eastAsia="es-MX"/>
        </w:rPr>
        <w:tab/>
        <w:t>Scenic 101 Largo Azul 14’s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047012</w:t>
      </w:r>
      <w:r w:rsidRPr="00957B34">
        <w:rPr>
          <w:rFonts w:ascii="Verdana" w:eastAsia="Times New Roman" w:hAnsi="Verdana" w:cs="Times New Roman"/>
          <w:sz w:val="20"/>
          <w:szCs w:val="20"/>
          <w:lang w:val="es-ES" w:eastAsia="es-MX"/>
        </w:rPr>
        <w:tab/>
        <w:t>Scenic 101 Largo Verde 14’s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047013</w:t>
      </w:r>
      <w:r w:rsidRPr="00957B34">
        <w:rPr>
          <w:rFonts w:ascii="Verdana" w:eastAsia="Times New Roman" w:hAnsi="Verdana" w:cs="Times New Roman"/>
          <w:sz w:val="20"/>
          <w:szCs w:val="20"/>
          <w:lang w:val="es-ES" w:eastAsia="es-MX"/>
        </w:rPr>
        <w:tab/>
        <w:t>Catalina Largo Rojo 20’s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047014</w:t>
      </w:r>
      <w:r w:rsidRPr="00957B34">
        <w:rPr>
          <w:rFonts w:ascii="Verdana" w:eastAsia="Times New Roman" w:hAnsi="Verdana" w:cs="Times New Roman"/>
          <w:sz w:val="20"/>
          <w:szCs w:val="20"/>
          <w:lang w:val="es-ES" w:eastAsia="es-MX"/>
        </w:rPr>
        <w:tab/>
        <w:t>Catalina Largo Azul 20’s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047015</w:t>
      </w:r>
      <w:r w:rsidRPr="00957B34">
        <w:rPr>
          <w:rFonts w:ascii="Verdana" w:eastAsia="Times New Roman" w:hAnsi="Verdana" w:cs="Times New Roman"/>
          <w:sz w:val="20"/>
          <w:szCs w:val="20"/>
          <w:lang w:val="es-ES" w:eastAsia="es-MX"/>
        </w:rPr>
        <w:tab/>
        <w:t>Catalina Largo Verde 20’s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047016</w:t>
      </w:r>
      <w:r w:rsidRPr="00957B34">
        <w:rPr>
          <w:rFonts w:ascii="Verdana" w:eastAsia="Times New Roman" w:hAnsi="Verdana" w:cs="Times New Roman"/>
          <w:sz w:val="20"/>
          <w:szCs w:val="20"/>
          <w:lang w:val="es-ES" w:eastAsia="es-MX"/>
        </w:rPr>
        <w:tab/>
        <w:t>Catalina Largo Rojo 14’s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047017</w:t>
      </w:r>
      <w:r w:rsidRPr="00957B34">
        <w:rPr>
          <w:rFonts w:ascii="Verdana" w:eastAsia="Times New Roman" w:hAnsi="Verdana" w:cs="Times New Roman"/>
          <w:sz w:val="20"/>
          <w:szCs w:val="20"/>
          <w:lang w:val="es-ES" w:eastAsia="es-MX"/>
        </w:rPr>
        <w:tab/>
        <w:t>Catalina Largo Azul 14’s C.D.</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047018</w:t>
      </w:r>
      <w:r w:rsidRPr="00957B34">
        <w:rPr>
          <w:rFonts w:ascii="Verdana" w:eastAsia="Times New Roman" w:hAnsi="Verdana" w:cs="Times New Roman"/>
          <w:sz w:val="20"/>
          <w:szCs w:val="20"/>
          <w:lang w:val="es-ES" w:eastAsia="es-MX"/>
        </w:rPr>
        <w:tab/>
        <w:t>Catalina Largo Verde 14’s C.D.</w:t>
      </w:r>
    </w:p>
    <w:p w:rsidR="00957B34" w:rsidRPr="00957B34" w:rsidRDefault="00957B34" w:rsidP="00957B34">
      <w:pPr>
        <w:spacing w:before="100" w:beforeAutospacing="1" w:after="100" w:afterAutospacing="1" w:line="242"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48.</w:t>
            </w:r>
            <w:r w:rsidRPr="00957B34">
              <w:rPr>
                <w:rFonts w:ascii="Verdana" w:eastAsia="Times New Roman" w:hAnsi="Verdana" w:cs="Arial"/>
                <w:b/>
                <w:noProof/>
                <w:sz w:val="20"/>
                <w:szCs w:val="20"/>
                <w:lang w:val="es-ES" w:eastAsia="es-MX"/>
              </w:rPr>
              <w:tab/>
              <w:t>COMPAÑÍA LATINOAMERICANA, S.A. DE C.V.,</w:t>
            </w:r>
            <w:r w:rsidRPr="00957B34">
              <w:rPr>
                <w:rFonts w:ascii="Verdana" w:eastAsia="Times New Roman" w:hAnsi="Verdana" w:cs="Arial"/>
                <w:b/>
                <w:noProof/>
                <w:sz w:val="20"/>
                <w:szCs w:val="20"/>
                <w:lang w:val="es-ES" w:eastAsia="es-MX"/>
              </w:rPr>
              <w:tab/>
              <w:t>R.F.C. LAT0212053X1</w:t>
            </w:r>
          </w:p>
        </w:tc>
      </w:tr>
    </w:tbl>
    <w:p w:rsidR="00957B34" w:rsidRPr="00957B34" w:rsidRDefault="00957B34" w:rsidP="00957B34">
      <w:pPr>
        <w:spacing w:before="100" w:beforeAutospacing="1" w:after="100" w:afterAutospacing="1" w:line="242"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048001</w:t>
      </w:r>
      <w:r w:rsidRPr="00957B34">
        <w:rPr>
          <w:rFonts w:ascii="Verdana" w:eastAsia="Times New Roman" w:hAnsi="Verdana" w:cs="Times New Roman"/>
          <w:sz w:val="20"/>
          <w:szCs w:val="20"/>
          <w:lang w:val="es-ES" w:eastAsia="es-MX"/>
        </w:rPr>
        <w:tab/>
        <w:t>Cohiba</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048002</w:t>
      </w:r>
      <w:r w:rsidRPr="00957B34">
        <w:rPr>
          <w:rFonts w:ascii="Verdana" w:eastAsia="Times New Roman" w:hAnsi="Verdana" w:cs="Times New Roman"/>
          <w:sz w:val="20"/>
          <w:szCs w:val="20"/>
          <w:lang w:val="es-ES" w:eastAsia="es-MX"/>
        </w:rPr>
        <w:tab/>
        <w:t>Cohiba Predilecto</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048003</w:t>
      </w:r>
      <w:r w:rsidRPr="00957B34">
        <w:rPr>
          <w:rFonts w:ascii="Verdana" w:eastAsia="Times New Roman" w:hAnsi="Verdana" w:cs="Times New Roman"/>
          <w:sz w:val="20"/>
          <w:szCs w:val="20"/>
          <w:lang w:val="es-ES" w:eastAsia="es-MX"/>
        </w:rPr>
        <w:tab/>
        <w:t>Popular Auténtico</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048004</w:t>
      </w:r>
      <w:r w:rsidRPr="00957B34">
        <w:rPr>
          <w:rFonts w:ascii="Verdana" w:eastAsia="Times New Roman" w:hAnsi="Verdana" w:cs="Times New Roman"/>
          <w:sz w:val="20"/>
          <w:szCs w:val="20"/>
          <w:lang w:val="es-ES" w:eastAsia="es-MX"/>
        </w:rPr>
        <w:tab/>
        <w:t>Popular Reserva</w:t>
      </w:r>
    </w:p>
    <w:p w:rsidR="00957B34" w:rsidRPr="00957B34" w:rsidRDefault="00957B34" w:rsidP="00957B34">
      <w:pPr>
        <w:spacing w:before="100" w:beforeAutospacing="1" w:after="100" w:afterAutospacing="1" w:line="242"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048005</w:t>
      </w:r>
      <w:r w:rsidRPr="00957B34">
        <w:rPr>
          <w:rFonts w:ascii="Verdana" w:eastAsia="Times New Roman" w:hAnsi="Verdana" w:cs="Times New Roman"/>
          <w:sz w:val="20"/>
          <w:szCs w:val="20"/>
          <w:lang w:val="es-ES" w:eastAsia="es-MX"/>
        </w:rPr>
        <w:tab/>
        <w:t>Romeo y Julieta</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49.</w:t>
            </w:r>
            <w:r w:rsidRPr="00957B34">
              <w:rPr>
                <w:rFonts w:ascii="Verdana" w:eastAsia="Times New Roman" w:hAnsi="Verdana" w:cs="Arial"/>
                <w:b/>
                <w:noProof/>
                <w:sz w:val="20"/>
                <w:szCs w:val="20"/>
                <w:lang w:val="es-ES" w:eastAsia="es-MX"/>
              </w:rPr>
              <w:tab/>
              <w:t>TABACO CANADIENSE, S.A. DE C.V.,</w:t>
            </w:r>
            <w:r w:rsidRPr="00957B34">
              <w:rPr>
                <w:rFonts w:ascii="Verdana" w:eastAsia="Times New Roman" w:hAnsi="Verdana" w:cs="Arial"/>
                <w:b/>
                <w:noProof/>
                <w:sz w:val="20"/>
                <w:szCs w:val="20"/>
                <w:lang w:val="es-ES" w:eastAsia="es-MX"/>
              </w:rPr>
              <w:tab/>
              <w:t>R.F.C. TCA061124NR2</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CLAVES</w:t>
      </w:r>
      <w:r w:rsidRPr="00957B34">
        <w:rPr>
          <w:rFonts w:ascii="Verdana" w:eastAsia="Times New Roman" w:hAnsi="Verdana" w:cs="Times New Roman"/>
          <w:b/>
          <w:sz w:val="20"/>
          <w:szCs w:val="20"/>
          <w:lang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lastRenderedPageBreak/>
        <w:t>049001</w:t>
      </w:r>
      <w:r w:rsidRPr="00957B34">
        <w:rPr>
          <w:rFonts w:ascii="Verdana" w:eastAsia="Times New Roman" w:hAnsi="Verdana" w:cs="Times New Roman"/>
          <w:sz w:val="20"/>
          <w:szCs w:val="20"/>
          <w:lang w:eastAsia="es-MX"/>
        </w:rPr>
        <w:tab/>
        <w:t>Joe’s Rojo 20’s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049002</w:t>
      </w:r>
      <w:r w:rsidRPr="00957B34">
        <w:rPr>
          <w:rFonts w:ascii="Verdana" w:eastAsia="Times New Roman" w:hAnsi="Verdana" w:cs="Times New Roman"/>
          <w:sz w:val="20"/>
          <w:szCs w:val="20"/>
          <w:lang w:val="en-US" w:eastAsia="es-MX"/>
        </w:rPr>
        <w:tab/>
        <w:t>Joe’s Azul 20’s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049003</w:t>
      </w:r>
      <w:r w:rsidRPr="00957B34">
        <w:rPr>
          <w:rFonts w:ascii="Verdana" w:eastAsia="Times New Roman" w:hAnsi="Verdana" w:cs="Times New Roman"/>
          <w:sz w:val="20"/>
          <w:szCs w:val="20"/>
          <w:lang w:val="en-US" w:eastAsia="es-MX"/>
        </w:rPr>
        <w:tab/>
        <w:t>Maxwell Rojo 20’s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049004</w:t>
      </w:r>
      <w:r w:rsidRPr="00957B34">
        <w:rPr>
          <w:rFonts w:ascii="Verdana" w:eastAsia="Times New Roman" w:hAnsi="Verdana" w:cs="Times New Roman"/>
          <w:sz w:val="20"/>
          <w:szCs w:val="20"/>
          <w:lang w:val="en-US" w:eastAsia="es-MX"/>
        </w:rPr>
        <w:tab/>
        <w:t>Maxwell Azul 20’s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049005</w:t>
      </w:r>
      <w:r w:rsidRPr="00957B34">
        <w:rPr>
          <w:rFonts w:ascii="Verdana" w:eastAsia="Times New Roman" w:hAnsi="Verdana" w:cs="Times New Roman"/>
          <w:sz w:val="20"/>
          <w:szCs w:val="20"/>
          <w:lang w:val="en-US" w:eastAsia="es-MX"/>
        </w:rPr>
        <w:tab/>
        <w:t>Maxwell Mentolado 20’s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049006</w:t>
      </w:r>
      <w:r w:rsidRPr="00957B34">
        <w:rPr>
          <w:rFonts w:ascii="Verdana" w:eastAsia="Times New Roman" w:hAnsi="Verdana" w:cs="Times New Roman"/>
          <w:sz w:val="20"/>
          <w:szCs w:val="20"/>
          <w:lang w:val="en-US" w:eastAsia="es-MX"/>
        </w:rPr>
        <w:tab/>
        <w:t>Joe’s Natural 20’s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049007</w:t>
      </w:r>
      <w:r w:rsidRPr="00957B34">
        <w:rPr>
          <w:rFonts w:ascii="Verdana" w:eastAsia="Times New Roman" w:hAnsi="Verdana" w:cs="Times New Roman"/>
          <w:sz w:val="20"/>
          <w:szCs w:val="20"/>
          <w:lang w:val="en-US" w:eastAsia="es-MX"/>
        </w:rPr>
        <w:tab/>
        <w:t>Joe’s Black 20’s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049008</w:t>
      </w:r>
      <w:r w:rsidRPr="00957B34">
        <w:rPr>
          <w:rFonts w:ascii="Verdana" w:eastAsia="Times New Roman" w:hAnsi="Verdana" w:cs="Times New Roman"/>
          <w:sz w:val="20"/>
          <w:szCs w:val="20"/>
          <w:lang w:val="en-US" w:eastAsia="es-MX"/>
        </w:rPr>
        <w:tab/>
        <w:t>Joe’s Mentolado 20’s</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50.</w:t>
            </w:r>
            <w:r w:rsidRPr="00957B34">
              <w:rPr>
                <w:rFonts w:ascii="Verdana" w:eastAsia="Times New Roman" w:hAnsi="Verdana" w:cs="Arial"/>
                <w:b/>
                <w:noProof/>
                <w:sz w:val="20"/>
                <w:szCs w:val="20"/>
                <w:lang w:val="es-ES" w:eastAsia="es-MX"/>
              </w:rPr>
              <w:tab/>
              <w:t>VOGA FIVE, S.A. DE C.V.,</w:t>
            </w:r>
            <w:r w:rsidRPr="00957B34">
              <w:rPr>
                <w:rFonts w:ascii="Verdana" w:eastAsia="Times New Roman" w:hAnsi="Verdana" w:cs="Arial"/>
                <w:b/>
                <w:noProof/>
                <w:sz w:val="20"/>
                <w:szCs w:val="20"/>
                <w:lang w:val="es-ES" w:eastAsia="es-MX"/>
              </w:rPr>
              <w:tab/>
              <w:t>R.F.C. VFI120227J43</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t>CLAVES</w:t>
      </w:r>
      <w:r w:rsidRPr="00957B34">
        <w:rPr>
          <w:rFonts w:ascii="Verdana" w:eastAsia="Times New Roman" w:hAnsi="Verdana" w:cs="Times New Roman"/>
          <w:b/>
          <w:sz w:val="20"/>
          <w:szCs w:val="20"/>
          <w:lang w:val="en-U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050001</w:t>
      </w:r>
      <w:r w:rsidRPr="00957B34">
        <w:rPr>
          <w:rFonts w:ascii="Verdana" w:eastAsia="Times New Roman" w:hAnsi="Verdana" w:cs="Times New Roman"/>
          <w:sz w:val="20"/>
          <w:szCs w:val="20"/>
          <w:lang w:val="en-US" w:eastAsia="es-MX"/>
        </w:rPr>
        <w:tab/>
        <w:t>Sheriff, Premium Blend, 20’s</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5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51.</w:t>
            </w:r>
            <w:r w:rsidRPr="00957B34">
              <w:rPr>
                <w:rFonts w:ascii="Verdana" w:eastAsia="Times New Roman" w:hAnsi="Verdana" w:cs="Arial"/>
                <w:b/>
                <w:noProof/>
                <w:sz w:val="20"/>
                <w:szCs w:val="20"/>
                <w:lang w:val="es-ES" w:eastAsia="es-MX"/>
              </w:rPr>
              <w:tab/>
              <w:t>MEX-KO DE SINALOA, S.A DE C.V.,</w:t>
            </w:r>
            <w:r w:rsidRPr="00957B34">
              <w:rPr>
                <w:rFonts w:ascii="Verdana" w:eastAsia="Times New Roman" w:hAnsi="Verdana" w:cs="Arial"/>
                <w:b/>
                <w:noProof/>
                <w:sz w:val="20"/>
                <w:szCs w:val="20"/>
                <w:lang w:val="es-ES" w:eastAsia="es-MX"/>
              </w:rPr>
              <w:tab/>
              <w:t>R.F.C. MSI1302237D6</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051001</w:t>
      </w:r>
      <w:r w:rsidRPr="00957B34">
        <w:rPr>
          <w:rFonts w:ascii="Verdana" w:eastAsia="Times New Roman" w:hAnsi="Verdana" w:cs="Times New Roman"/>
          <w:sz w:val="20"/>
          <w:szCs w:val="20"/>
          <w:lang w:val="es-ES" w:eastAsia="es-MX"/>
        </w:rPr>
        <w:tab/>
        <w:t>Phoenix con filtro</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52</w:t>
            </w:r>
            <w:r w:rsidRPr="00957B34">
              <w:rPr>
                <w:rFonts w:ascii="Verdana" w:eastAsia="Times New Roman" w:hAnsi="Verdana" w:cs="Arial"/>
                <w:b/>
                <w:noProof/>
                <w:sz w:val="20"/>
                <w:szCs w:val="20"/>
                <w:lang w:val="es-ES" w:eastAsia="es-MX"/>
              </w:rPr>
              <w:tab/>
              <w:t>IMPORTER OF PREMIUM CIGARRETES, S.A. DE C.V.</w:t>
            </w:r>
            <w:r w:rsidRPr="00957B34">
              <w:rPr>
                <w:rFonts w:ascii="Verdana" w:eastAsia="Times New Roman" w:hAnsi="Verdana" w:cs="Arial"/>
                <w:b/>
                <w:noProof/>
                <w:sz w:val="20"/>
                <w:szCs w:val="20"/>
                <w:lang w:val="es-ES" w:eastAsia="es-MX"/>
              </w:rPr>
              <w:tab/>
              <w:t>R.F.C. IPC1302134G1</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052001</w:t>
      </w:r>
      <w:r w:rsidRPr="00957B34">
        <w:rPr>
          <w:rFonts w:ascii="Verdana" w:eastAsia="Times New Roman" w:hAnsi="Verdana" w:cs="Times New Roman"/>
          <w:sz w:val="20"/>
          <w:szCs w:val="20"/>
          <w:lang w:val="es-ES" w:eastAsia="es-MX"/>
        </w:rPr>
        <w:tab/>
        <w:t>Bravado</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052002</w:t>
      </w:r>
      <w:r w:rsidRPr="00957B34">
        <w:rPr>
          <w:rFonts w:ascii="Verdana" w:eastAsia="Times New Roman" w:hAnsi="Verdana" w:cs="Times New Roman"/>
          <w:sz w:val="20"/>
          <w:szCs w:val="20"/>
          <w:lang w:val="es-ES" w:eastAsia="es-MX"/>
        </w:rPr>
        <w:tab/>
        <w:t>Cikar</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052003</w:t>
      </w:r>
      <w:r w:rsidRPr="00957B34">
        <w:rPr>
          <w:rFonts w:ascii="Verdana" w:eastAsia="Times New Roman" w:hAnsi="Verdana" w:cs="Times New Roman"/>
          <w:sz w:val="20"/>
          <w:szCs w:val="20"/>
          <w:lang w:val="es-ES" w:eastAsia="es-MX"/>
        </w:rPr>
        <w:tab/>
        <w:t>Pegasus Cigar</w:t>
      </w:r>
    </w:p>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5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53.</w:t>
            </w:r>
            <w:r w:rsidRPr="00957B34">
              <w:rPr>
                <w:rFonts w:ascii="Verdana" w:eastAsia="Times New Roman" w:hAnsi="Verdana" w:cs="Arial"/>
                <w:b/>
                <w:noProof/>
                <w:sz w:val="20"/>
                <w:szCs w:val="20"/>
                <w:lang w:val="es-ES" w:eastAsia="es-MX"/>
              </w:rPr>
              <w:tab/>
              <w:t>BRAXICO MANUFACTURING, S.A. DE C.V.</w:t>
            </w:r>
            <w:r w:rsidRPr="00957B34">
              <w:rPr>
                <w:rFonts w:ascii="Verdana" w:eastAsia="Times New Roman" w:hAnsi="Verdana" w:cs="Arial"/>
                <w:b/>
                <w:noProof/>
                <w:sz w:val="20"/>
                <w:szCs w:val="20"/>
                <w:lang w:val="es-ES" w:eastAsia="es-MX"/>
              </w:rPr>
              <w:tab/>
              <w:t>R.F.C. BMA101208LHA</w:t>
            </w:r>
          </w:p>
        </w:tc>
      </w:tr>
    </w:tbl>
    <w:p w:rsidR="00957B34" w:rsidRPr="00957B34" w:rsidRDefault="00957B34" w:rsidP="00957B34">
      <w:pPr>
        <w:spacing w:before="100" w:beforeAutospacing="1" w:after="100" w:afterAutospacing="1" w:line="240" w:lineRule="auto"/>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053001</w:t>
      </w:r>
      <w:r w:rsidRPr="00957B34">
        <w:rPr>
          <w:rFonts w:ascii="Verdana" w:eastAsia="Times New Roman" w:hAnsi="Verdana" w:cs="Times New Roman"/>
          <w:sz w:val="20"/>
          <w:szCs w:val="20"/>
          <w:lang w:val="es-ES" w:eastAsia="es-MX"/>
        </w:rPr>
        <w:tab/>
        <w:t>Angelo Rojos KSB 20</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053002</w:t>
      </w:r>
      <w:r w:rsidRPr="00957B34">
        <w:rPr>
          <w:rFonts w:ascii="Verdana" w:eastAsia="Times New Roman" w:hAnsi="Verdana" w:cs="Times New Roman"/>
          <w:sz w:val="20"/>
          <w:szCs w:val="20"/>
          <w:lang w:val="es-ES" w:eastAsia="es-MX"/>
        </w:rPr>
        <w:tab/>
        <w:t>Angelo Verdes KSB 20</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053003</w:t>
      </w:r>
      <w:r w:rsidRPr="00957B34">
        <w:rPr>
          <w:rFonts w:ascii="Verdana" w:eastAsia="Times New Roman" w:hAnsi="Verdana" w:cs="Times New Roman"/>
          <w:sz w:val="20"/>
          <w:szCs w:val="20"/>
          <w:lang w:val="es-ES" w:eastAsia="es-MX"/>
        </w:rPr>
        <w:tab/>
        <w:t>Angelo Azules KSB 20</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053004</w:t>
      </w:r>
      <w:r w:rsidRPr="00957B34">
        <w:rPr>
          <w:rFonts w:ascii="Verdana" w:eastAsia="Times New Roman" w:hAnsi="Verdana" w:cs="Times New Roman"/>
          <w:sz w:val="20"/>
          <w:szCs w:val="20"/>
          <w:lang w:val="es-ES" w:eastAsia="es-MX"/>
        </w:rPr>
        <w:tab/>
        <w:t>Angelo Dorados KSB 20</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053005</w:t>
      </w:r>
      <w:r w:rsidRPr="00957B34">
        <w:rPr>
          <w:rFonts w:ascii="Verdana" w:eastAsia="Times New Roman" w:hAnsi="Verdana" w:cs="Times New Roman"/>
          <w:sz w:val="20"/>
          <w:szCs w:val="20"/>
          <w:lang w:val="es-ES" w:eastAsia="es-MX"/>
        </w:rPr>
        <w:tab/>
        <w:t>Hypnose Rojos KSB 20</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053006</w:t>
      </w:r>
      <w:r w:rsidRPr="00957B34">
        <w:rPr>
          <w:rFonts w:ascii="Verdana" w:eastAsia="Times New Roman" w:hAnsi="Verdana" w:cs="Times New Roman"/>
          <w:sz w:val="20"/>
          <w:szCs w:val="20"/>
          <w:lang w:val="es-ES" w:eastAsia="es-MX"/>
        </w:rPr>
        <w:tab/>
        <w:t>Hypnose Verdes KSB 20</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053007</w:t>
      </w:r>
      <w:r w:rsidRPr="00957B34">
        <w:rPr>
          <w:rFonts w:ascii="Verdana" w:eastAsia="Times New Roman" w:hAnsi="Verdana" w:cs="Times New Roman"/>
          <w:sz w:val="20"/>
          <w:szCs w:val="20"/>
          <w:lang w:val="es-ES" w:eastAsia="es-MX"/>
        </w:rPr>
        <w:tab/>
        <w:t>Hypnose Azules KSB 20</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053008</w:t>
      </w:r>
      <w:r w:rsidRPr="00957B34">
        <w:rPr>
          <w:rFonts w:ascii="Verdana" w:eastAsia="Times New Roman" w:hAnsi="Verdana" w:cs="Times New Roman"/>
          <w:sz w:val="20"/>
          <w:szCs w:val="20"/>
          <w:lang w:val="es-ES" w:eastAsia="es-MX"/>
        </w:rPr>
        <w:tab/>
        <w:t>Hypnose Dorados KSB 20</w:t>
      </w:r>
    </w:p>
    <w:p w:rsidR="00957B34" w:rsidRPr="00957B34" w:rsidRDefault="00957B34" w:rsidP="00957B34">
      <w:pPr>
        <w:spacing w:before="100" w:beforeAutospacing="1" w:after="100" w:afterAutospacing="1" w:line="240" w:lineRule="auto"/>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053009</w:t>
      </w:r>
      <w:r w:rsidRPr="00957B34">
        <w:rPr>
          <w:rFonts w:ascii="Verdana" w:eastAsia="Times New Roman" w:hAnsi="Verdana" w:cs="Times New Roman"/>
          <w:sz w:val="20"/>
          <w:szCs w:val="20"/>
          <w:lang w:val="es-ES" w:eastAsia="es-MX"/>
        </w:rPr>
        <w:tab/>
        <w:t>Armada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053010</w:t>
      </w:r>
      <w:r w:rsidRPr="00957B34">
        <w:rPr>
          <w:rFonts w:ascii="Verdana" w:eastAsia="Times New Roman" w:hAnsi="Verdana" w:cs="Times New Roman"/>
          <w:sz w:val="20"/>
          <w:szCs w:val="20"/>
          <w:lang w:val="es-ES" w:eastAsia="es-MX"/>
        </w:rPr>
        <w:tab/>
        <w:t>Armada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053011</w:t>
      </w:r>
      <w:r w:rsidRPr="00957B34">
        <w:rPr>
          <w:rFonts w:ascii="Verdana" w:eastAsia="Times New Roman" w:hAnsi="Verdana" w:cs="Times New Roman"/>
          <w:sz w:val="20"/>
          <w:szCs w:val="20"/>
          <w:lang w:val="es-ES" w:eastAsia="es-MX"/>
        </w:rPr>
        <w:tab/>
        <w:t>Armada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053012</w:t>
      </w:r>
      <w:r w:rsidRPr="00957B34">
        <w:rPr>
          <w:rFonts w:ascii="Verdana" w:eastAsia="Times New Roman" w:hAnsi="Verdana" w:cs="Times New Roman"/>
          <w:sz w:val="20"/>
          <w:szCs w:val="20"/>
          <w:lang w:val="es-ES" w:eastAsia="es-MX"/>
        </w:rPr>
        <w:tab/>
        <w:t>Armada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053013</w:t>
      </w:r>
      <w:r w:rsidRPr="00957B34">
        <w:rPr>
          <w:rFonts w:ascii="Verdana" w:eastAsia="Times New Roman" w:hAnsi="Verdana" w:cs="Times New Roman"/>
          <w:sz w:val="20"/>
          <w:szCs w:val="20"/>
          <w:lang w:val="es-ES" w:eastAsia="es-MX"/>
        </w:rPr>
        <w:tab/>
        <w:t>Calle 8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053014</w:t>
      </w:r>
      <w:r w:rsidRPr="00957B34">
        <w:rPr>
          <w:rFonts w:ascii="Verdana" w:eastAsia="Times New Roman" w:hAnsi="Verdana" w:cs="Times New Roman"/>
          <w:sz w:val="20"/>
          <w:szCs w:val="20"/>
          <w:lang w:val="es-ES" w:eastAsia="es-MX"/>
        </w:rPr>
        <w:tab/>
        <w:t>Calle 8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053015</w:t>
      </w:r>
      <w:r w:rsidRPr="00957B34">
        <w:rPr>
          <w:rFonts w:ascii="Verdana" w:eastAsia="Times New Roman" w:hAnsi="Verdana" w:cs="Times New Roman"/>
          <w:sz w:val="20"/>
          <w:szCs w:val="20"/>
          <w:lang w:val="es-ES" w:eastAsia="es-MX"/>
        </w:rPr>
        <w:tab/>
        <w:t>Calle 8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053016</w:t>
      </w:r>
      <w:r w:rsidRPr="00957B34">
        <w:rPr>
          <w:rFonts w:ascii="Verdana" w:eastAsia="Times New Roman" w:hAnsi="Verdana" w:cs="Times New Roman"/>
          <w:sz w:val="20"/>
          <w:szCs w:val="20"/>
          <w:lang w:val="es-ES" w:eastAsia="es-MX"/>
        </w:rPr>
        <w:tab/>
        <w:t>Calle 8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053017</w:t>
      </w:r>
      <w:r w:rsidRPr="00957B34">
        <w:rPr>
          <w:rFonts w:ascii="Verdana" w:eastAsia="Times New Roman" w:hAnsi="Verdana" w:cs="Times New Roman"/>
          <w:sz w:val="20"/>
          <w:szCs w:val="20"/>
          <w:lang w:val="en-US" w:eastAsia="es-MX"/>
        </w:rPr>
        <w:tab/>
        <w:t>Black Jack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053018</w:t>
      </w:r>
      <w:r w:rsidRPr="00957B34">
        <w:rPr>
          <w:rFonts w:ascii="Verdana" w:eastAsia="Times New Roman" w:hAnsi="Verdana" w:cs="Times New Roman"/>
          <w:sz w:val="20"/>
          <w:szCs w:val="20"/>
          <w:lang w:val="en-US" w:eastAsia="es-MX"/>
        </w:rPr>
        <w:tab/>
        <w:t>Black Jack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053019</w:t>
      </w:r>
      <w:r w:rsidRPr="00957B34">
        <w:rPr>
          <w:rFonts w:ascii="Verdana" w:eastAsia="Times New Roman" w:hAnsi="Verdana" w:cs="Times New Roman"/>
          <w:sz w:val="20"/>
          <w:szCs w:val="20"/>
          <w:lang w:val="en-US" w:eastAsia="es-MX"/>
        </w:rPr>
        <w:tab/>
        <w:t>Black Jack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053020</w:t>
      </w:r>
      <w:r w:rsidRPr="00957B34">
        <w:rPr>
          <w:rFonts w:ascii="Verdana" w:eastAsia="Times New Roman" w:hAnsi="Verdana" w:cs="Times New Roman"/>
          <w:sz w:val="20"/>
          <w:szCs w:val="20"/>
          <w:lang w:val="en-US" w:eastAsia="es-MX"/>
        </w:rPr>
        <w:tab/>
        <w:t>Black Jack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053021</w:t>
      </w:r>
      <w:r w:rsidRPr="00957B34">
        <w:rPr>
          <w:rFonts w:ascii="Verdana" w:eastAsia="Times New Roman" w:hAnsi="Verdana" w:cs="Times New Roman"/>
          <w:sz w:val="20"/>
          <w:szCs w:val="20"/>
          <w:lang w:val="es-ES" w:eastAsia="es-MX"/>
        </w:rPr>
        <w:tab/>
        <w:t>Económicos Cache’s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053022</w:t>
      </w:r>
      <w:r w:rsidRPr="00957B34">
        <w:rPr>
          <w:rFonts w:ascii="Verdana" w:eastAsia="Times New Roman" w:hAnsi="Verdana" w:cs="Times New Roman"/>
          <w:sz w:val="20"/>
          <w:szCs w:val="20"/>
          <w:lang w:val="es-ES" w:eastAsia="es-MX"/>
        </w:rPr>
        <w:tab/>
        <w:t>Económicos Cache’s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053023</w:t>
      </w:r>
      <w:r w:rsidRPr="00957B34">
        <w:rPr>
          <w:rFonts w:ascii="Verdana" w:eastAsia="Times New Roman" w:hAnsi="Verdana" w:cs="Times New Roman"/>
          <w:sz w:val="20"/>
          <w:szCs w:val="20"/>
          <w:lang w:val="es-ES" w:eastAsia="es-MX"/>
        </w:rPr>
        <w:tab/>
        <w:t>Económicos Cache’s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053024</w:t>
      </w:r>
      <w:r w:rsidRPr="00957B34">
        <w:rPr>
          <w:rFonts w:ascii="Verdana" w:eastAsia="Times New Roman" w:hAnsi="Verdana" w:cs="Times New Roman"/>
          <w:sz w:val="20"/>
          <w:szCs w:val="20"/>
          <w:lang w:val="es-ES" w:eastAsia="es-MX"/>
        </w:rPr>
        <w:tab/>
        <w:t>Económicos Cache’s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053025</w:t>
      </w:r>
      <w:r w:rsidRPr="00957B34">
        <w:rPr>
          <w:rFonts w:ascii="Verdana" w:eastAsia="Times New Roman" w:hAnsi="Verdana" w:cs="Times New Roman"/>
          <w:sz w:val="20"/>
          <w:szCs w:val="20"/>
          <w:lang w:val="es-ES" w:eastAsia="es-MX"/>
        </w:rPr>
        <w:tab/>
        <w:t>Río Amazonia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053026</w:t>
      </w:r>
      <w:r w:rsidRPr="00957B34">
        <w:rPr>
          <w:rFonts w:ascii="Verdana" w:eastAsia="Times New Roman" w:hAnsi="Verdana" w:cs="Times New Roman"/>
          <w:sz w:val="20"/>
          <w:szCs w:val="20"/>
          <w:lang w:val="es-ES" w:eastAsia="es-MX"/>
        </w:rPr>
        <w:tab/>
        <w:t>Río Amazonia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053027</w:t>
      </w:r>
      <w:r w:rsidRPr="00957B34">
        <w:rPr>
          <w:rFonts w:ascii="Verdana" w:eastAsia="Times New Roman" w:hAnsi="Verdana" w:cs="Times New Roman"/>
          <w:sz w:val="20"/>
          <w:szCs w:val="20"/>
          <w:lang w:val="es-ES" w:eastAsia="es-MX"/>
        </w:rPr>
        <w:tab/>
        <w:t>Río Amazonia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053028</w:t>
      </w:r>
      <w:r w:rsidRPr="00957B34">
        <w:rPr>
          <w:rFonts w:ascii="Verdana" w:eastAsia="Times New Roman" w:hAnsi="Verdana" w:cs="Times New Roman"/>
          <w:sz w:val="20"/>
          <w:szCs w:val="20"/>
          <w:lang w:val="es-ES" w:eastAsia="es-MX"/>
        </w:rPr>
        <w:tab/>
        <w:t>Río Amazonia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053029</w:t>
      </w:r>
      <w:r w:rsidRPr="00957B34">
        <w:rPr>
          <w:rFonts w:ascii="Verdana" w:eastAsia="Times New Roman" w:hAnsi="Verdana" w:cs="Times New Roman"/>
          <w:sz w:val="20"/>
          <w:szCs w:val="20"/>
          <w:lang w:val="es-ES" w:eastAsia="es-MX"/>
        </w:rPr>
        <w:tab/>
        <w:t>Botas Premium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053030</w:t>
      </w:r>
      <w:r w:rsidRPr="00957B34">
        <w:rPr>
          <w:rFonts w:ascii="Verdana" w:eastAsia="Times New Roman" w:hAnsi="Verdana" w:cs="Times New Roman"/>
          <w:sz w:val="20"/>
          <w:szCs w:val="20"/>
          <w:lang w:val="es-ES" w:eastAsia="es-MX"/>
        </w:rPr>
        <w:tab/>
        <w:t>Botas Blancos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053031</w:t>
      </w:r>
      <w:r w:rsidRPr="00957B34">
        <w:rPr>
          <w:rFonts w:ascii="Verdana" w:eastAsia="Times New Roman" w:hAnsi="Verdana" w:cs="Times New Roman"/>
          <w:sz w:val="20"/>
          <w:szCs w:val="20"/>
          <w:lang w:val="es-ES" w:eastAsia="es-MX"/>
        </w:rPr>
        <w:tab/>
        <w:t>Botas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053032</w:t>
      </w:r>
      <w:r w:rsidRPr="00957B34">
        <w:rPr>
          <w:rFonts w:ascii="Verdana" w:eastAsia="Times New Roman" w:hAnsi="Verdana" w:cs="Times New Roman"/>
          <w:sz w:val="20"/>
          <w:szCs w:val="20"/>
          <w:lang w:val="es-ES" w:eastAsia="es-MX"/>
        </w:rPr>
        <w:tab/>
        <w:t>Botas MX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053033</w:t>
      </w:r>
      <w:r w:rsidRPr="00957B34">
        <w:rPr>
          <w:rFonts w:ascii="Verdana" w:eastAsia="Times New Roman" w:hAnsi="Verdana" w:cs="Times New Roman"/>
          <w:sz w:val="20"/>
          <w:szCs w:val="20"/>
          <w:lang w:val="es-ES" w:eastAsia="es-MX"/>
        </w:rPr>
        <w:tab/>
        <w:t>Botas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053034</w:t>
      </w:r>
      <w:r w:rsidRPr="00957B34">
        <w:rPr>
          <w:rFonts w:ascii="Verdana" w:eastAsia="Times New Roman" w:hAnsi="Verdana" w:cs="Times New Roman"/>
          <w:sz w:val="20"/>
          <w:szCs w:val="20"/>
          <w:lang w:val="es-ES" w:eastAsia="es-MX"/>
        </w:rPr>
        <w:tab/>
        <w:t>Botas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053035</w:t>
      </w:r>
      <w:r w:rsidRPr="00957B34">
        <w:rPr>
          <w:rFonts w:ascii="Verdana" w:eastAsia="Times New Roman" w:hAnsi="Verdana" w:cs="Times New Roman"/>
          <w:sz w:val="20"/>
          <w:szCs w:val="20"/>
          <w:lang w:val="es-ES" w:eastAsia="es-MX"/>
        </w:rPr>
        <w:tab/>
        <w:t>Botas Tex Mex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053036</w:t>
      </w:r>
      <w:r w:rsidRPr="00957B34">
        <w:rPr>
          <w:rFonts w:ascii="Verdana" w:eastAsia="Times New Roman" w:hAnsi="Verdana" w:cs="Times New Roman"/>
          <w:sz w:val="20"/>
          <w:szCs w:val="20"/>
          <w:lang w:val="es-ES" w:eastAsia="es-MX"/>
        </w:rPr>
        <w:tab/>
        <w:t>Botas Vaqueras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053037</w:t>
      </w:r>
      <w:r w:rsidRPr="00957B34">
        <w:rPr>
          <w:rFonts w:ascii="Verdana" w:eastAsia="Times New Roman" w:hAnsi="Verdana" w:cs="Times New Roman"/>
          <w:sz w:val="20"/>
          <w:szCs w:val="20"/>
          <w:lang w:val="es-ES" w:eastAsia="es-MX"/>
        </w:rPr>
        <w:tab/>
        <w:t>Botas Pink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053038</w:t>
      </w:r>
      <w:r w:rsidRPr="00957B34">
        <w:rPr>
          <w:rFonts w:ascii="Verdana" w:eastAsia="Times New Roman" w:hAnsi="Verdana" w:cs="Times New Roman"/>
          <w:sz w:val="20"/>
          <w:szCs w:val="20"/>
          <w:lang w:val="es-ES" w:eastAsia="es-MX"/>
        </w:rPr>
        <w:tab/>
        <w:t>Botas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053039</w:t>
      </w:r>
      <w:r w:rsidRPr="00957B34">
        <w:rPr>
          <w:rFonts w:ascii="Verdana" w:eastAsia="Times New Roman" w:hAnsi="Verdana" w:cs="Times New Roman"/>
          <w:sz w:val="20"/>
          <w:szCs w:val="20"/>
          <w:lang w:val="en-US" w:eastAsia="es-MX"/>
        </w:rPr>
        <w:tab/>
        <w:t>Beverly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053040</w:t>
      </w:r>
      <w:r w:rsidRPr="00957B34">
        <w:rPr>
          <w:rFonts w:ascii="Verdana" w:eastAsia="Times New Roman" w:hAnsi="Verdana" w:cs="Times New Roman"/>
          <w:sz w:val="20"/>
          <w:szCs w:val="20"/>
          <w:lang w:val="en-US" w:eastAsia="es-MX"/>
        </w:rPr>
        <w:tab/>
        <w:t>Beverly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053041</w:t>
      </w:r>
      <w:r w:rsidRPr="00957B34">
        <w:rPr>
          <w:rFonts w:ascii="Verdana" w:eastAsia="Times New Roman" w:hAnsi="Verdana" w:cs="Times New Roman"/>
          <w:sz w:val="20"/>
          <w:szCs w:val="20"/>
          <w:lang w:val="en-US" w:eastAsia="es-MX"/>
        </w:rPr>
        <w:tab/>
        <w:t>Beverly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053042</w:t>
      </w:r>
      <w:r w:rsidRPr="00957B34">
        <w:rPr>
          <w:rFonts w:ascii="Verdana" w:eastAsia="Times New Roman" w:hAnsi="Verdana" w:cs="Times New Roman"/>
          <w:sz w:val="20"/>
          <w:szCs w:val="20"/>
          <w:lang w:val="en-US" w:eastAsia="es-MX"/>
        </w:rPr>
        <w:tab/>
        <w:t>Beverly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053043</w:t>
      </w:r>
      <w:r w:rsidRPr="00957B34">
        <w:rPr>
          <w:rFonts w:ascii="Verdana" w:eastAsia="Times New Roman" w:hAnsi="Verdana" w:cs="Times New Roman"/>
          <w:sz w:val="20"/>
          <w:szCs w:val="20"/>
          <w:lang w:val="es-ES" w:eastAsia="es-MX"/>
        </w:rPr>
        <w:tab/>
        <w:t>Navigator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053044</w:t>
      </w:r>
      <w:r w:rsidRPr="00957B34">
        <w:rPr>
          <w:rFonts w:ascii="Verdana" w:eastAsia="Times New Roman" w:hAnsi="Verdana" w:cs="Times New Roman"/>
          <w:sz w:val="20"/>
          <w:szCs w:val="20"/>
          <w:lang w:val="es-ES" w:eastAsia="es-MX"/>
        </w:rPr>
        <w:tab/>
        <w:t>Navigator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053045</w:t>
      </w:r>
      <w:r w:rsidRPr="00957B34">
        <w:rPr>
          <w:rFonts w:ascii="Verdana" w:eastAsia="Times New Roman" w:hAnsi="Verdana" w:cs="Times New Roman"/>
          <w:sz w:val="20"/>
          <w:szCs w:val="20"/>
          <w:lang w:val="es-ES" w:eastAsia="es-MX"/>
        </w:rPr>
        <w:tab/>
        <w:t>Navigator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053046</w:t>
      </w:r>
      <w:r w:rsidRPr="00957B34">
        <w:rPr>
          <w:rFonts w:ascii="Verdana" w:eastAsia="Times New Roman" w:hAnsi="Verdana" w:cs="Times New Roman"/>
          <w:sz w:val="20"/>
          <w:szCs w:val="20"/>
          <w:lang w:val="es-ES" w:eastAsia="es-MX"/>
        </w:rPr>
        <w:tab/>
        <w:t>Navigator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053047</w:t>
      </w:r>
      <w:r w:rsidRPr="00957B34">
        <w:rPr>
          <w:rFonts w:ascii="Verdana" w:eastAsia="Times New Roman" w:hAnsi="Verdana" w:cs="Times New Roman"/>
          <w:sz w:val="20"/>
          <w:szCs w:val="20"/>
          <w:lang w:val="es-ES" w:eastAsia="es-MX"/>
        </w:rPr>
        <w:tab/>
        <w:t>Sabotage Rojos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053048</w:t>
      </w:r>
      <w:r w:rsidRPr="00957B34">
        <w:rPr>
          <w:rFonts w:ascii="Verdana" w:eastAsia="Times New Roman" w:hAnsi="Verdana" w:cs="Times New Roman"/>
          <w:sz w:val="20"/>
          <w:szCs w:val="20"/>
          <w:lang w:val="es-ES" w:eastAsia="es-MX"/>
        </w:rPr>
        <w:tab/>
        <w:t>Sabotage Verdes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053049</w:t>
      </w:r>
      <w:r w:rsidRPr="00957B34">
        <w:rPr>
          <w:rFonts w:ascii="Verdana" w:eastAsia="Times New Roman" w:hAnsi="Verdana" w:cs="Times New Roman"/>
          <w:sz w:val="20"/>
          <w:szCs w:val="20"/>
          <w:lang w:val="es-ES" w:eastAsia="es-MX"/>
        </w:rPr>
        <w:tab/>
        <w:t>Sabotage Azules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053050</w:t>
      </w:r>
      <w:r w:rsidRPr="00957B34">
        <w:rPr>
          <w:rFonts w:ascii="Verdana" w:eastAsia="Times New Roman" w:hAnsi="Verdana" w:cs="Times New Roman"/>
          <w:sz w:val="20"/>
          <w:szCs w:val="20"/>
          <w:lang w:val="es-ES" w:eastAsia="es-MX"/>
        </w:rPr>
        <w:tab/>
        <w:t>Sabotage Dorados KSB 20</w:t>
      </w:r>
    </w:p>
    <w:p w:rsidR="00957B34" w:rsidRPr="00957B34" w:rsidRDefault="00957B34" w:rsidP="00957B34">
      <w:pPr>
        <w:spacing w:before="100" w:beforeAutospacing="1" w:after="100" w:afterAutospacing="1" w:line="220"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053051</w:t>
      </w:r>
      <w:r w:rsidRPr="00957B34">
        <w:rPr>
          <w:rFonts w:ascii="Verdana" w:eastAsia="Times New Roman" w:hAnsi="Verdana" w:cs="Times New Roman"/>
          <w:sz w:val="20"/>
          <w:szCs w:val="20"/>
          <w:lang w:val="es-ES" w:eastAsia="es-MX"/>
        </w:rPr>
        <w:tab/>
        <w:t>Varelianos MKS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053052</w:t>
      </w:r>
      <w:r w:rsidRPr="00957B34">
        <w:rPr>
          <w:rFonts w:ascii="Verdana" w:eastAsia="Times New Roman" w:hAnsi="Verdana" w:cs="Times New Roman"/>
          <w:sz w:val="20"/>
          <w:szCs w:val="20"/>
          <w:lang w:val="es-ES" w:eastAsia="es-MX"/>
        </w:rPr>
        <w:tab/>
        <w:t>Varelianos MKS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053053</w:t>
      </w:r>
      <w:r w:rsidRPr="00957B34">
        <w:rPr>
          <w:rFonts w:ascii="Verdana" w:eastAsia="Times New Roman" w:hAnsi="Verdana" w:cs="Times New Roman"/>
          <w:sz w:val="20"/>
          <w:szCs w:val="20"/>
          <w:lang w:val="es-ES" w:eastAsia="es-MX"/>
        </w:rPr>
        <w:tab/>
        <w:t>Varelianos MKS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053054</w:t>
      </w:r>
      <w:r w:rsidRPr="00957B34">
        <w:rPr>
          <w:rFonts w:ascii="Verdana" w:eastAsia="Times New Roman" w:hAnsi="Verdana" w:cs="Times New Roman"/>
          <w:sz w:val="20"/>
          <w:szCs w:val="20"/>
          <w:lang w:val="es-ES" w:eastAsia="es-MX"/>
        </w:rPr>
        <w:tab/>
        <w:t>Varelianos MKS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053055</w:t>
      </w:r>
      <w:r w:rsidRPr="00957B34">
        <w:rPr>
          <w:rFonts w:ascii="Verdana" w:eastAsia="Times New Roman" w:hAnsi="Verdana" w:cs="Times New Roman"/>
          <w:sz w:val="20"/>
          <w:szCs w:val="20"/>
          <w:lang w:val="es-ES" w:eastAsia="es-MX"/>
        </w:rPr>
        <w:tab/>
        <w:t>Lucas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053056</w:t>
      </w:r>
      <w:r w:rsidRPr="00957B34">
        <w:rPr>
          <w:rFonts w:ascii="Verdana" w:eastAsia="Times New Roman" w:hAnsi="Verdana" w:cs="Times New Roman"/>
          <w:sz w:val="20"/>
          <w:szCs w:val="20"/>
          <w:lang w:val="es-ES" w:eastAsia="es-MX"/>
        </w:rPr>
        <w:tab/>
        <w:t>Lucas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053057</w:t>
      </w:r>
      <w:r w:rsidRPr="00957B34">
        <w:rPr>
          <w:rFonts w:ascii="Verdana" w:eastAsia="Times New Roman" w:hAnsi="Verdana" w:cs="Times New Roman"/>
          <w:sz w:val="20"/>
          <w:szCs w:val="20"/>
          <w:lang w:val="es-ES" w:eastAsia="es-MX"/>
        </w:rPr>
        <w:tab/>
        <w:t>Lucas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053058</w:t>
      </w:r>
      <w:r w:rsidRPr="00957B34">
        <w:rPr>
          <w:rFonts w:ascii="Verdana" w:eastAsia="Times New Roman" w:hAnsi="Verdana" w:cs="Times New Roman"/>
          <w:sz w:val="20"/>
          <w:szCs w:val="20"/>
          <w:lang w:val="es-ES" w:eastAsia="es-MX"/>
        </w:rPr>
        <w:tab/>
        <w:t>Lucas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053059</w:t>
      </w:r>
      <w:r w:rsidRPr="00957B34">
        <w:rPr>
          <w:rFonts w:ascii="Verdana" w:eastAsia="Times New Roman" w:hAnsi="Verdana" w:cs="Times New Roman"/>
          <w:sz w:val="20"/>
          <w:szCs w:val="20"/>
          <w:lang w:val="es-ES" w:eastAsia="es-MX"/>
        </w:rPr>
        <w:tab/>
        <w:t>Península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053060</w:t>
      </w:r>
      <w:r w:rsidRPr="00957B34">
        <w:rPr>
          <w:rFonts w:ascii="Verdana" w:eastAsia="Times New Roman" w:hAnsi="Verdana" w:cs="Times New Roman"/>
          <w:sz w:val="20"/>
          <w:szCs w:val="20"/>
          <w:lang w:val="es-ES" w:eastAsia="es-MX"/>
        </w:rPr>
        <w:tab/>
        <w:t>Península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053061</w:t>
      </w:r>
      <w:r w:rsidRPr="00957B34">
        <w:rPr>
          <w:rFonts w:ascii="Verdana" w:eastAsia="Times New Roman" w:hAnsi="Verdana" w:cs="Times New Roman"/>
          <w:sz w:val="20"/>
          <w:szCs w:val="20"/>
          <w:lang w:val="es-ES" w:eastAsia="es-MX"/>
        </w:rPr>
        <w:tab/>
        <w:t>Península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053062</w:t>
      </w:r>
      <w:r w:rsidRPr="00957B34">
        <w:rPr>
          <w:rFonts w:ascii="Verdana" w:eastAsia="Times New Roman" w:hAnsi="Verdana" w:cs="Times New Roman"/>
          <w:sz w:val="20"/>
          <w:szCs w:val="20"/>
          <w:lang w:val="es-ES" w:eastAsia="es-MX"/>
        </w:rPr>
        <w:tab/>
        <w:t>Península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053063</w:t>
      </w:r>
      <w:r w:rsidRPr="00957B34">
        <w:rPr>
          <w:rFonts w:ascii="Verdana" w:eastAsia="Times New Roman" w:hAnsi="Verdana" w:cs="Times New Roman"/>
          <w:sz w:val="20"/>
          <w:szCs w:val="20"/>
          <w:lang w:val="es-ES" w:eastAsia="es-MX"/>
        </w:rPr>
        <w:tab/>
        <w:t>Amero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053064</w:t>
      </w:r>
      <w:r w:rsidRPr="00957B34">
        <w:rPr>
          <w:rFonts w:ascii="Verdana" w:eastAsia="Times New Roman" w:hAnsi="Verdana" w:cs="Times New Roman"/>
          <w:sz w:val="20"/>
          <w:szCs w:val="20"/>
          <w:lang w:val="es-ES" w:eastAsia="es-MX"/>
        </w:rPr>
        <w:tab/>
        <w:t>Amero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053065</w:t>
      </w:r>
      <w:r w:rsidRPr="00957B34">
        <w:rPr>
          <w:rFonts w:ascii="Verdana" w:eastAsia="Times New Roman" w:hAnsi="Verdana" w:cs="Times New Roman"/>
          <w:sz w:val="20"/>
          <w:szCs w:val="20"/>
          <w:lang w:val="es-ES" w:eastAsia="es-MX"/>
        </w:rPr>
        <w:tab/>
        <w:t>Amero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053066</w:t>
      </w:r>
      <w:r w:rsidRPr="00957B34">
        <w:rPr>
          <w:rFonts w:ascii="Verdana" w:eastAsia="Times New Roman" w:hAnsi="Verdana" w:cs="Times New Roman"/>
          <w:sz w:val="20"/>
          <w:szCs w:val="20"/>
          <w:lang w:val="es-ES" w:eastAsia="es-MX"/>
        </w:rPr>
        <w:tab/>
        <w:t>Amero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053067</w:t>
      </w:r>
      <w:r w:rsidRPr="00957B34">
        <w:rPr>
          <w:rFonts w:ascii="Verdana" w:eastAsia="Times New Roman" w:hAnsi="Verdana" w:cs="Times New Roman"/>
          <w:sz w:val="20"/>
          <w:szCs w:val="20"/>
          <w:lang w:val="es-ES" w:eastAsia="es-MX"/>
        </w:rPr>
        <w:tab/>
        <w:t>Jaisalmer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053068</w:t>
      </w:r>
      <w:r w:rsidRPr="00957B34">
        <w:rPr>
          <w:rFonts w:ascii="Verdana" w:eastAsia="Times New Roman" w:hAnsi="Verdana" w:cs="Times New Roman"/>
          <w:sz w:val="20"/>
          <w:szCs w:val="20"/>
          <w:lang w:val="es-ES" w:eastAsia="es-MX"/>
        </w:rPr>
        <w:tab/>
        <w:t>Jaisalmer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053069</w:t>
      </w:r>
      <w:r w:rsidRPr="00957B34">
        <w:rPr>
          <w:rFonts w:ascii="Verdana" w:eastAsia="Times New Roman" w:hAnsi="Verdana" w:cs="Times New Roman"/>
          <w:sz w:val="20"/>
          <w:szCs w:val="20"/>
          <w:lang w:val="es-ES" w:eastAsia="es-MX"/>
        </w:rPr>
        <w:tab/>
        <w:t>Jaisalmer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053070</w:t>
      </w:r>
      <w:r w:rsidRPr="00957B34">
        <w:rPr>
          <w:rFonts w:ascii="Verdana" w:eastAsia="Times New Roman" w:hAnsi="Verdana" w:cs="Times New Roman"/>
          <w:sz w:val="20"/>
          <w:szCs w:val="20"/>
          <w:lang w:val="es-ES" w:eastAsia="es-MX"/>
        </w:rPr>
        <w:tab/>
        <w:t>Jaisalmer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053071</w:t>
      </w:r>
      <w:r w:rsidRPr="00957B34">
        <w:rPr>
          <w:rFonts w:ascii="Verdana" w:eastAsia="Times New Roman" w:hAnsi="Verdana" w:cs="Times New Roman"/>
          <w:sz w:val="20"/>
          <w:szCs w:val="20"/>
          <w:lang w:val="en-US" w:eastAsia="es-MX"/>
        </w:rPr>
        <w:tab/>
        <w:t>Queen London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lastRenderedPageBreak/>
        <w:t>053072</w:t>
      </w:r>
      <w:r w:rsidRPr="00957B34">
        <w:rPr>
          <w:rFonts w:ascii="Verdana" w:eastAsia="Times New Roman" w:hAnsi="Verdana" w:cs="Times New Roman"/>
          <w:sz w:val="20"/>
          <w:szCs w:val="20"/>
          <w:lang w:val="en-US" w:eastAsia="es-MX"/>
        </w:rPr>
        <w:tab/>
        <w:t>Queen London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053073</w:t>
      </w:r>
      <w:r w:rsidRPr="00957B34">
        <w:rPr>
          <w:rFonts w:ascii="Verdana" w:eastAsia="Times New Roman" w:hAnsi="Verdana" w:cs="Times New Roman"/>
          <w:sz w:val="20"/>
          <w:szCs w:val="20"/>
          <w:lang w:val="en-US" w:eastAsia="es-MX"/>
        </w:rPr>
        <w:tab/>
        <w:t>Queen London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053074</w:t>
      </w:r>
      <w:r w:rsidRPr="00957B34">
        <w:rPr>
          <w:rFonts w:ascii="Verdana" w:eastAsia="Times New Roman" w:hAnsi="Verdana" w:cs="Times New Roman"/>
          <w:sz w:val="20"/>
          <w:szCs w:val="20"/>
          <w:lang w:val="en-US" w:eastAsia="es-MX"/>
        </w:rPr>
        <w:tab/>
        <w:t>Queen London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053075</w:t>
      </w:r>
      <w:r w:rsidRPr="00957B34">
        <w:rPr>
          <w:rFonts w:ascii="Verdana" w:eastAsia="Times New Roman" w:hAnsi="Verdana" w:cs="Times New Roman"/>
          <w:sz w:val="20"/>
          <w:szCs w:val="20"/>
          <w:lang w:val="en-US" w:eastAsia="es-MX"/>
        </w:rPr>
        <w:tab/>
        <w:t>Senator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053076</w:t>
      </w:r>
      <w:r w:rsidRPr="00957B34">
        <w:rPr>
          <w:rFonts w:ascii="Verdana" w:eastAsia="Times New Roman" w:hAnsi="Verdana" w:cs="Times New Roman"/>
          <w:sz w:val="20"/>
          <w:szCs w:val="20"/>
          <w:lang w:val="en-US" w:eastAsia="es-MX"/>
        </w:rPr>
        <w:tab/>
        <w:t>Senator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053077</w:t>
      </w:r>
      <w:r w:rsidRPr="00957B34">
        <w:rPr>
          <w:rFonts w:ascii="Verdana" w:eastAsia="Times New Roman" w:hAnsi="Verdana" w:cs="Times New Roman"/>
          <w:sz w:val="20"/>
          <w:szCs w:val="20"/>
          <w:lang w:val="en-US" w:eastAsia="es-MX"/>
        </w:rPr>
        <w:tab/>
        <w:t>Senator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053078</w:t>
      </w:r>
      <w:r w:rsidRPr="00957B34">
        <w:rPr>
          <w:rFonts w:ascii="Verdana" w:eastAsia="Times New Roman" w:hAnsi="Verdana" w:cs="Times New Roman"/>
          <w:sz w:val="20"/>
          <w:szCs w:val="20"/>
          <w:lang w:val="en-US" w:eastAsia="es-MX"/>
        </w:rPr>
        <w:tab/>
        <w:t>Senator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053079</w:t>
      </w:r>
      <w:r w:rsidRPr="00957B34">
        <w:rPr>
          <w:rFonts w:ascii="Verdana" w:eastAsia="Times New Roman" w:hAnsi="Verdana" w:cs="Times New Roman"/>
          <w:sz w:val="20"/>
          <w:szCs w:val="20"/>
          <w:lang w:val="es-ES" w:eastAsia="es-MX"/>
        </w:rPr>
        <w:tab/>
        <w:t>C &amp; T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053080</w:t>
      </w:r>
      <w:r w:rsidRPr="00957B34">
        <w:rPr>
          <w:rFonts w:ascii="Verdana" w:eastAsia="Times New Roman" w:hAnsi="Verdana" w:cs="Times New Roman"/>
          <w:sz w:val="20"/>
          <w:szCs w:val="20"/>
          <w:lang w:val="es-ES" w:eastAsia="es-MX"/>
        </w:rPr>
        <w:tab/>
        <w:t>C &amp; T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053081</w:t>
      </w:r>
      <w:r w:rsidRPr="00957B34">
        <w:rPr>
          <w:rFonts w:ascii="Verdana" w:eastAsia="Times New Roman" w:hAnsi="Verdana" w:cs="Times New Roman"/>
          <w:sz w:val="20"/>
          <w:szCs w:val="20"/>
          <w:lang w:val="es-ES" w:eastAsia="es-MX"/>
        </w:rPr>
        <w:tab/>
        <w:t>C &amp; T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053082</w:t>
      </w:r>
      <w:r w:rsidRPr="00957B34">
        <w:rPr>
          <w:rFonts w:ascii="Verdana" w:eastAsia="Times New Roman" w:hAnsi="Verdana" w:cs="Times New Roman"/>
          <w:sz w:val="20"/>
          <w:szCs w:val="20"/>
          <w:lang w:val="es-ES" w:eastAsia="es-MX"/>
        </w:rPr>
        <w:tab/>
        <w:t>C &amp; T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053083</w:t>
      </w:r>
      <w:r w:rsidRPr="00957B34">
        <w:rPr>
          <w:rFonts w:ascii="Verdana" w:eastAsia="Times New Roman" w:hAnsi="Verdana" w:cs="Times New Roman"/>
          <w:sz w:val="20"/>
          <w:szCs w:val="20"/>
          <w:lang w:val="es-ES" w:eastAsia="es-MX"/>
        </w:rPr>
        <w:tab/>
        <w:t>Jubilee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053084</w:t>
      </w:r>
      <w:r w:rsidRPr="00957B34">
        <w:rPr>
          <w:rFonts w:ascii="Verdana" w:eastAsia="Times New Roman" w:hAnsi="Verdana" w:cs="Times New Roman"/>
          <w:sz w:val="20"/>
          <w:szCs w:val="20"/>
          <w:lang w:val="es-ES" w:eastAsia="es-MX"/>
        </w:rPr>
        <w:tab/>
        <w:t>Jubilee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053085</w:t>
      </w:r>
      <w:r w:rsidRPr="00957B34">
        <w:rPr>
          <w:rFonts w:ascii="Verdana" w:eastAsia="Times New Roman" w:hAnsi="Verdana" w:cs="Times New Roman"/>
          <w:sz w:val="20"/>
          <w:szCs w:val="20"/>
          <w:lang w:val="es-ES" w:eastAsia="es-MX"/>
        </w:rPr>
        <w:tab/>
        <w:t>Jubilee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053086</w:t>
      </w:r>
      <w:r w:rsidRPr="00957B34">
        <w:rPr>
          <w:rFonts w:ascii="Verdana" w:eastAsia="Times New Roman" w:hAnsi="Verdana" w:cs="Times New Roman"/>
          <w:sz w:val="20"/>
          <w:szCs w:val="20"/>
          <w:lang w:val="es-ES" w:eastAsia="es-MX"/>
        </w:rPr>
        <w:tab/>
        <w:t>Jubilee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053087</w:t>
      </w:r>
      <w:r w:rsidRPr="00957B34">
        <w:rPr>
          <w:rFonts w:ascii="Verdana" w:eastAsia="Times New Roman" w:hAnsi="Verdana" w:cs="Times New Roman"/>
          <w:sz w:val="20"/>
          <w:szCs w:val="20"/>
          <w:lang w:val="es-ES" w:eastAsia="es-MX"/>
        </w:rPr>
        <w:tab/>
        <w:t>Laredo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053088</w:t>
      </w:r>
      <w:r w:rsidRPr="00957B34">
        <w:rPr>
          <w:rFonts w:ascii="Verdana" w:eastAsia="Times New Roman" w:hAnsi="Verdana" w:cs="Times New Roman"/>
          <w:sz w:val="20"/>
          <w:szCs w:val="20"/>
          <w:lang w:val="es-ES" w:eastAsia="es-MX"/>
        </w:rPr>
        <w:tab/>
        <w:t>Laredo Verdes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053089</w:t>
      </w:r>
      <w:r w:rsidRPr="00957B34">
        <w:rPr>
          <w:rFonts w:ascii="Verdana" w:eastAsia="Times New Roman" w:hAnsi="Verdana" w:cs="Times New Roman"/>
          <w:sz w:val="20"/>
          <w:szCs w:val="20"/>
          <w:lang w:val="es-ES" w:eastAsia="es-MX"/>
        </w:rPr>
        <w:tab/>
        <w:t>Laredo Azules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053090</w:t>
      </w:r>
      <w:r w:rsidRPr="00957B34">
        <w:rPr>
          <w:rFonts w:ascii="Verdana" w:eastAsia="Times New Roman" w:hAnsi="Verdana" w:cs="Times New Roman"/>
          <w:sz w:val="20"/>
          <w:szCs w:val="20"/>
          <w:lang w:val="es-ES" w:eastAsia="es-MX"/>
        </w:rPr>
        <w:tab/>
        <w:t>Laredo Dorados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053091</w:t>
      </w:r>
      <w:r w:rsidRPr="00957B34">
        <w:rPr>
          <w:rFonts w:ascii="Verdana" w:eastAsia="Times New Roman" w:hAnsi="Verdana" w:cs="Times New Roman"/>
          <w:sz w:val="20"/>
          <w:szCs w:val="20"/>
          <w:lang w:val="en-US" w:eastAsia="es-MX"/>
        </w:rPr>
        <w:tab/>
        <w:t>Show Time Rojos KSB 20</w:t>
      </w:r>
    </w:p>
    <w:p w:rsidR="00957B34" w:rsidRPr="00957B34" w:rsidRDefault="00957B34" w:rsidP="00957B34">
      <w:pPr>
        <w:spacing w:before="100" w:beforeAutospacing="1" w:after="100" w:afterAutospacing="1" w:line="228"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053092</w:t>
      </w:r>
      <w:r w:rsidRPr="00957B34">
        <w:rPr>
          <w:rFonts w:ascii="Verdana" w:eastAsia="Times New Roman" w:hAnsi="Verdana" w:cs="Times New Roman"/>
          <w:sz w:val="20"/>
          <w:szCs w:val="20"/>
          <w:lang w:val="en-US" w:eastAsia="es-MX"/>
        </w:rPr>
        <w:tab/>
        <w:t>Show Time Verdes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053093</w:t>
      </w:r>
      <w:r w:rsidRPr="00957B34">
        <w:rPr>
          <w:rFonts w:ascii="Verdana" w:eastAsia="Times New Roman" w:hAnsi="Verdana" w:cs="Times New Roman"/>
          <w:sz w:val="20"/>
          <w:szCs w:val="20"/>
          <w:lang w:val="en-US" w:eastAsia="es-MX"/>
        </w:rPr>
        <w:tab/>
        <w:t>Show Time Azules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053094</w:t>
      </w:r>
      <w:r w:rsidRPr="00957B34">
        <w:rPr>
          <w:rFonts w:ascii="Verdana" w:eastAsia="Times New Roman" w:hAnsi="Verdana" w:cs="Times New Roman"/>
          <w:sz w:val="20"/>
          <w:szCs w:val="20"/>
          <w:lang w:val="en-US" w:eastAsia="es-MX"/>
        </w:rPr>
        <w:tab/>
        <w:t>Show Time Dorados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053095</w:t>
      </w:r>
      <w:r w:rsidRPr="00957B34">
        <w:rPr>
          <w:rFonts w:ascii="Verdana" w:eastAsia="Times New Roman" w:hAnsi="Verdana" w:cs="Times New Roman"/>
          <w:sz w:val="20"/>
          <w:szCs w:val="20"/>
          <w:lang w:val="en-US" w:eastAsia="es-MX"/>
        </w:rPr>
        <w:tab/>
        <w:t>Chungwa Rojos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053096</w:t>
      </w:r>
      <w:r w:rsidRPr="00957B34">
        <w:rPr>
          <w:rFonts w:ascii="Verdana" w:eastAsia="Times New Roman" w:hAnsi="Verdana" w:cs="Times New Roman"/>
          <w:sz w:val="20"/>
          <w:szCs w:val="20"/>
          <w:lang w:val="en-US" w:eastAsia="es-MX"/>
        </w:rPr>
        <w:tab/>
        <w:t>Chungwa Verdes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053097</w:t>
      </w:r>
      <w:r w:rsidRPr="00957B34">
        <w:rPr>
          <w:rFonts w:ascii="Verdana" w:eastAsia="Times New Roman" w:hAnsi="Verdana" w:cs="Times New Roman"/>
          <w:sz w:val="20"/>
          <w:szCs w:val="20"/>
          <w:lang w:val="en-US" w:eastAsia="es-MX"/>
        </w:rPr>
        <w:tab/>
        <w:t>Chungwa Azules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lastRenderedPageBreak/>
        <w:t>053098</w:t>
      </w:r>
      <w:r w:rsidRPr="00957B34">
        <w:rPr>
          <w:rFonts w:ascii="Verdana" w:eastAsia="Times New Roman" w:hAnsi="Verdana" w:cs="Times New Roman"/>
          <w:sz w:val="20"/>
          <w:szCs w:val="20"/>
          <w:lang w:val="es-ES" w:eastAsia="es-MX"/>
        </w:rPr>
        <w:tab/>
        <w:t>Chungwa Dorados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053099</w:t>
      </w:r>
      <w:r w:rsidRPr="00957B34">
        <w:rPr>
          <w:rFonts w:ascii="Verdana" w:eastAsia="Times New Roman" w:hAnsi="Verdana" w:cs="Times New Roman"/>
          <w:sz w:val="20"/>
          <w:szCs w:val="20"/>
          <w:lang w:val="es-ES" w:eastAsia="es-MX"/>
        </w:rPr>
        <w:tab/>
        <w:t>Faena Rojos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053100</w:t>
      </w:r>
      <w:r w:rsidRPr="00957B34">
        <w:rPr>
          <w:rFonts w:ascii="Verdana" w:eastAsia="Times New Roman" w:hAnsi="Verdana" w:cs="Times New Roman"/>
          <w:sz w:val="20"/>
          <w:szCs w:val="20"/>
          <w:lang w:val="es-ES" w:eastAsia="es-MX"/>
        </w:rPr>
        <w:tab/>
        <w:t>Faena Verdes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053101</w:t>
      </w:r>
      <w:r w:rsidRPr="00957B34">
        <w:rPr>
          <w:rFonts w:ascii="Verdana" w:eastAsia="Times New Roman" w:hAnsi="Verdana" w:cs="Times New Roman"/>
          <w:sz w:val="20"/>
          <w:szCs w:val="20"/>
          <w:lang w:val="es-ES" w:eastAsia="es-MX"/>
        </w:rPr>
        <w:tab/>
        <w:t>Faena Azules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053102</w:t>
      </w:r>
      <w:r w:rsidRPr="00957B34">
        <w:rPr>
          <w:rFonts w:ascii="Verdana" w:eastAsia="Times New Roman" w:hAnsi="Verdana" w:cs="Times New Roman"/>
          <w:sz w:val="20"/>
          <w:szCs w:val="20"/>
          <w:lang w:val="es-ES" w:eastAsia="es-MX"/>
        </w:rPr>
        <w:tab/>
        <w:t>Faena Dorados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053103</w:t>
      </w:r>
      <w:r w:rsidRPr="00957B34">
        <w:rPr>
          <w:rFonts w:ascii="Verdana" w:eastAsia="Times New Roman" w:hAnsi="Verdana" w:cs="Times New Roman"/>
          <w:sz w:val="20"/>
          <w:szCs w:val="20"/>
          <w:lang w:val="es-ES" w:eastAsia="es-MX"/>
        </w:rPr>
        <w:tab/>
        <w:t>Studio 54 Rojos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053104</w:t>
      </w:r>
      <w:r w:rsidRPr="00957B34">
        <w:rPr>
          <w:rFonts w:ascii="Verdana" w:eastAsia="Times New Roman" w:hAnsi="Verdana" w:cs="Times New Roman"/>
          <w:sz w:val="20"/>
          <w:szCs w:val="20"/>
          <w:lang w:val="es-ES" w:eastAsia="es-MX"/>
        </w:rPr>
        <w:tab/>
        <w:t>Studio 54 Verdes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053105</w:t>
      </w:r>
      <w:r w:rsidRPr="00957B34">
        <w:rPr>
          <w:rFonts w:ascii="Verdana" w:eastAsia="Times New Roman" w:hAnsi="Verdana" w:cs="Times New Roman"/>
          <w:sz w:val="20"/>
          <w:szCs w:val="20"/>
          <w:lang w:val="es-ES" w:eastAsia="es-MX"/>
        </w:rPr>
        <w:tab/>
        <w:t>Studio 54 Azules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053106</w:t>
      </w:r>
      <w:r w:rsidRPr="00957B34">
        <w:rPr>
          <w:rFonts w:ascii="Verdana" w:eastAsia="Times New Roman" w:hAnsi="Verdana" w:cs="Times New Roman"/>
          <w:sz w:val="20"/>
          <w:szCs w:val="20"/>
          <w:lang w:val="es-ES" w:eastAsia="es-MX"/>
        </w:rPr>
        <w:tab/>
        <w:t>Studio 54 Dorados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053107</w:t>
      </w:r>
      <w:r w:rsidRPr="00957B34">
        <w:rPr>
          <w:rFonts w:ascii="Verdana" w:eastAsia="Times New Roman" w:hAnsi="Verdana" w:cs="Times New Roman"/>
          <w:sz w:val="20"/>
          <w:szCs w:val="20"/>
          <w:lang w:val="en-US" w:eastAsia="es-MX"/>
        </w:rPr>
        <w:tab/>
        <w:t>Laredo Swiss Blend Rojos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053108</w:t>
      </w:r>
      <w:r w:rsidRPr="00957B34">
        <w:rPr>
          <w:rFonts w:ascii="Verdana" w:eastAsia="Times New Roman" w:hAnsi="Verdana" w:cs="Times New Roman"/>
          <w:sz w:val="20"/>
          <w:szCs w:val="20"/>
          <w:lang w:val="en-US" w:eastAsia="es-MX"/>
        </w:rPr>
        <w:tab/>
        <w:t>Laredo Swiss Blend Verdes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053109</w:t>
      </w:r>
      <w:r w:rsidRPr="00957B34">
        <w:rPr>
          <w:rFonts w:ascii="Verdana" w:eastAsia="Times New Roman" w:hAnsi="Verdana" w:cs="Times New Roman"/>
          <w:sz w:val="20"/>
          <w:szCs w:val="20"/>
          <w:lang w:val="en-US" w:eastAsia="es-MX"/>
        </w:rPr>
        <w:tab/>
        <w:t>Laredo Swiss Blend Azules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053110</w:t>
      </w:r>
      <w:r w:rsidRPr="00957B34">
        <w:rPr>
          <w:rFonts w:ascii="Verdana" w:eastAsia="Times New Roman" w:hAnsi="Verdana" w:cs="Times New Roman"/>
          <w:sz w:val="20"/>
          <w:szCs w:val="20"/>
          <w:lang w:val="es-ES" w:eastAsia="es-MX"/>
        </w:rPr>
        <w:tab/>
        <w:t>Laredo Swiss Blend Dorados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053111</w:t>
      </w:r>
      <w:r w:rsidRPr="00957B34">
        <w:rPr>
          <w:rFonts w:ascii="Verdana" w:eastAsia="Times New Roman" w:hAnsi="Verdana" w:cs="Times New Roman"/>
          <w:sz w:val="20"/>
          <w:szCs w:val="20"/>
          <w:lang w:val="es-ES" w:eastAsia="es-MX"/>
        </w:rPr>
        <w:tab/>
        <w:t>Economicos Uniq Virginia Blend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053112</w:t>
      </w:r>
      <w:r w:rsidRPr="00957B34">
        <w:rPr>
          <w:rFonts w:ascii="Verdana" w:eastAsia="Times New Roman" w:hAnsi="Verdana" w:cs="Times New Roman"/>
          <w:sz w:val="20"/>
          <w:szCs w:val="20"/>
          <w:lang w:val="es-ES" w:eastAsia="es-MX"/>
        </w:rPr>
        <w:tab/>
        <w:t>Economicos Uniq Virginia Blend Blancos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053113</w:t>
      </w:r>
      <w:r w:rsidRPr="00957B34">
        <w:rPr>
          <w:rFonts w:ascii="Verdana" w:eastAsia="Times New Roman" w:hAnsi="Verdana" w:cs="Times New Roman"/>
          <w:sz w:val="20"/>
          <w:szCs w:val="20"/>
          <w:lang w:val="es-ES" w:eastAsia="es-MX"/>
        </w:rPr>
        <w:tab/>
        <w:t>Economicos Uniq KSB 20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053114</w:t>
      </w:r>
      <w:r w:rsidRPr="00957B34">
        <w:rPr>
          <w:rFonts w:ascii="Verdana" w:eastAsia="Times New Roman" w:hAnsi="Verdana" w:cs="Times New Roman"/>
          <w:sz w:val="20"/>
          <w:szCs w:val="20"/>
          <w:lang w:val="es-ES" w:eastAsia="es-MX"/>
        </w:rPr>
        <w:tab/>
        <w:t>Economicos Uniq Blancos KSB 20</w:t>
      </w:r>
    </w:p>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54.</w:t>
            </w:r>
            <w:r w:rsidRPr="00957B34">
              <w:rPr>
                <w:rFonts w:ascii="Verdana" w:eastAsia="Times New Roman" w:hAnsi="Verdana" w:cs="Arial"/>
                <w:b/>
                <w:noProof/>
                <w:sz w:val="20"/>
                <w:szCs w:val="20"/>
                <w:lang w:val="es-ES" w:eastAsia="es-MX"/>
              </w:rPr>
              <w:tab/>
              <w:t>IMPORTACIONES OLHEVA, S.A. DE C.V.</w:t>
            </w:r>
            <w:r w:rsidRPr="00957B34">
              <w:rPr>
                <w:rFonts w:ascii="Verdana" w:eastAsia="Times New Roman" w:hAnsi="Verdana" w:cs="Arial"/>
                <w:b/>
                <w:noProof/>
                <w:sz w:val="20"/>
                <w:szCs w:val="20"/>
                <w:lang w:val="es-ES" w:eastAsia="es-MX"/>
              </w:rPr>
              <w:tab/>
              <w:t>R.F.C. IOL1111183Y3</w:t>
            </w:r>
          </w:p>
        </w:tc>
      </w:tr>
    </w:tbl>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CLAVES</w:t>
      </w:r>
      <w:r w:rsidRPr="00957B34">
        <w:rPr>
          <w:rFonts w:ascii="Verdana" w:eastAsia="Times New Roman" w:hAnsi="Verdana" w:cs="Times New Roman"/>
          <w:b/>
          <w:sz w:val="20"/>
          <w:szCs w:val="20"/>
          <w:lang w:val="es-ES" w:eastAsia="es-MX"/>
        </w:rPr>
        <w:tab/>
        <w:t>MARCAS</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054001</w:t>
      </w:r>
      <w:r w:rsidRPr="00957B34">
        <w:rPr>
          <w:rFonts w:ascii="Verdana" w:eastAsia="Times New Roman" w:hAnsi="Verdana" w:cs="Times New Roman"/>
          <w:sz w:val="20"/>
          <w:szCs w:val="20"/>
          <w:lang w:val="es-ES" w:eastAsia="es-MX"/>
        </w:rPr>
        <w:tab/>
        <w:t>Ten Twenty’s</w:t>
      </w:r>
    </w:p>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71"/>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55.</w:t>
            </w:r>
            <w:r w:rsidRPr="00957B34">
              <w:rPr>
                <w:rFonts w:ascii="Verdana" w:eastAsia="Times New Roman" w:hAnsi="Verdana" w:cs="Arial"/>
                <w:b/>
                <w:noProof/>
                <w:sz w:val="20"/>
                <w:szCs w:val="20"/>
                <w:lang w:val="es-ES" w:eastAsia="es-MX"/>
              </w:rPr>
              <w:tab/>
            </w:r>
            <w:r w:rsidRPr="00957B34">
              <w:rPr>
                <w:rFonts w:ascii="Verdana" w:eastAsia="Times New Roman" w:hAnsi="Verdana" w:cs="Arial"/>
                <w:b/>
                <w:sz w:val="20"/>
                <w:szCs w:val="20"/>
                <w:lang w:val="es-ES" w:eastAsia="es-MX"/>
              </w:rPr>
              <w:t>JIHE OVERSEAS, S.A. DE C.V.</w:t>
            </w:r>
            <w:r w:rsidRPr="00957B34">
              <w:rPr>
                <w:rFonts w:ascii="Verdana" w:eastAsia="Times New Roman" w:hAnsi="Verdana" w:cs="Arial"/>
                <w:b/>
                <w:noProof/>
                <w:sz w:val="20"/>
                <w:szCs w:val="20"/>
                <w:lang w:val="es-ES" w:eastAsia="es-MX"/>
              </w:rPr>
              <w:tab/>
            </w:r>
            <w:r w:rsidRPr="00957B34">
              <w:rPr>
                <w:rFonts w:ascii="Verdana" w:eastAsia="Times New Roman" w:hAnsi="Verdana" w:cs="Arial"/>
                <w:b/>
                <w:sz w:val="20"/>
                <w:szCs w:val="20"/>
                <w:lang w:val="es-ES" w:eastAsia="es-MX"/>
              </w:rPr>
              <w:t>R.F.C. JOV1411077E6</w:t>
            </w:r>
          </w:p>
        </w:tc>
      </w:tr>
    </w:tbl>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n-US" w:eastAsia="es-MX"/>
        </w:rPr>
        <w:lastRenderedPageBreak/>
        <w:t>CLAVES</w:t>
      </w:r>
      <w:r w:rsidRPr="00957B34">
        <w:rPr>
          <w:rFonts w:ascii="Verdana" w:eastAsia="Times New Roman" w:hAnsi="Verdana" w:cs="Times New Roman"/>
          <w:b/>
          <w:sz w:val="20"/>
          <w:szCs w:val="20"/>
          <w:lang w:val="en-US" w:eastAsia="es-MX"/>
        </w:rPr>
        <w:tab/>
        <w:t>MARCAS</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055001</w:t>
      </w:r>
      <w:r w:rsidRPr="00957B34">
        <w:rPr>
          <w:rFonts w:ascii="Verdana" w:eastAsia="Times New Roman" w:hAnsi="Verdana" w:cs="Times New Roman"/>
          <w:sz w:val="20"/>
          <w:szCs w:val="20"/>
          <w:lang w:val="en-US" w:eastAsia="es-MX"/>
        </w:rPr>
        <w:tab/>
        <w:t>Chunghwa</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055002</w:t>
      </w:r>
      <w:r w:rsidRPr="00957B34">
        <w:rPr>
          <w:rFonts w:ascii="Verdana" w:eastAsia="Times New Roman" w:hAnsi="Verdana" w:cs="Times New Roman"/>
          <w:sz w:val="20"/>
          <w:szCs w:val="20"/>
          <w:lang w:val="en-US" w:eastAsia="es-MX"/>
        </w:rPr>
        <w:tab/>
        <w:t>Chunghwa 5000</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055003</w:t>
      </w:r>
      <w:r w:rsidRPr="00957B34">
        <w:rPr>
          <w:rFonts w:ascii="Verdana" w:eastAsia="Times New Roman" w:hAnsi="Verdana" w:cs="Times New Roman"/>
          <w:sz w:val="20"/>
          <w:szCs w:val="20"/>
          <w:lang w:val="en-US" w:eastAsia="es-MX"/>
        </w:rPr>
        <w:tab/>
        <w:t>Double Happiness (Crystal)</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055004</w:t>
      </w:r>
      <w:r w:rsidRPr="00957B34">
        <w:rPr>
          <w:rFonts w:ascii="Verdana" w:eastAsia="Times New Roman" w:hAnsi="Verdana" w:cs="Times New Roman"/>
          <w:sz w:val="20"/>
          <w:szCs w:val="20"/>
          <w:lang w:val="en-US" w:eastAsia="es-MX"/>
        </w:rPr>
        <w:tab/>
        <w:t>Double Happiness</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055005</w:t>
      </w:r>
      <w:r w:rsidRPr="00957B34">
        <w:rPr>
          <w:rFonts w:ascii="Verdana" w:eastAsia="Times New Roman" w:hAnsi="Verdana" w:cs="Times New Roman"/>
          <w:sz w:val="20"/>
          <w:szCs w:val="20"/>
          <w:lang w:val="en-US" w:eastAsia="es-MX"/>
        </w:rPr>
        <w:tab/>
        <w:t>“GD”</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055006</w:t>
      </w:r>
      <w:r w:rsidRPr="00957B34">
        <w:rPr>
          <w:rFonts w:ascii="Verdana" w:eastAsia="Times New Roman" w:hAnsi="Verdana" w:cs="Times New Roman"/>
          <w:sz w:val="20"/>
          <w:szCs w:val="20"/>
          <w:lang w:val="en-US" w:eastAsia="es-MX"/>
        </w:rPr>
        <w:tab/>
        <w:t>Golden Deer</w:t>
      </w:r>
    </w:p>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w:t>
      </w:r>
    </w:p>
    <w:tbl>
      <w:tblPr>
        <w:tblW w:w="8715" w:type="dxa"/>
        <w:tblInd w:w="137" w:type="dxa"/>
        <w:tblLayout w:type="fixed"/>
        <w:tblCellMar>
          <w:left w:w="72" w:type="dxa"/>
          <w:right w:w="72" w:type="dxa"/>
        </w:tblCellMar>
        <w:tblLook w:val="04A0" w:firstRow="1" w:lastRow="0" w:firstColumn="1" w:lastColumn="0" w:noHBand="0" w:noVBand="1"/>
      </w:tblPr>
      <w:tblGrid>
        <w:gridCol w:w="8715"/>
      </w:tblGrid>
      <w:tr w:rsidR="00957B34" w:rsidRPr="00957B34" w:rsidTr="00957B34">
        <w:trPr>
          <w:trHeight w:val="20"/>
        </w:trPr>
        <w:tc>
          <w:tcPr>
            <w:tcW w:w="8789" w:type="dxa"/>
            <w:tcBorders>
              <w:top w:val="single" w:sz="6" w:space="0" w:color="auto"/>
              <w:left w:val="single" w:sz="6" w:space="0" w:color="auto"/>
              <w:bottom w:val="single" w:sz="6" w:space="0" w:color="auto"/>
              <w:right w:val="single" w:sz="6" w:space="0" w:color="auto"/>
            </w:tcBorders>
            <w:noWrap/>
            <w:hideMark/>
          </w:tcPr>
          <w:p w:rsidR="00957B34" w:rsidRPr="00957B34" w:rsidRDefault="00957B34" w:rsidP="00957B34">
            <w:pPr>
              <w:tabs>
                <w:tab w:val="left" w:pos="6478"/>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56.</w:t>
            </w:r>
            <w:r w:rsidRPr="00957B34">
              <w:rPr>
                <w:rFonts w:ascii="Verdana" w:eastAsia="Times New Roman" w:hAnsi="Verdana" w:cs="Arial"/>
                <w:b/>
                <w:sz w:val="20"/>
                <w:szCs w:val="20"/>
                <w:lang w:val="es-ES" w:eastAsia="es-MX"/>
              </w:rPr>
              <w:tab/>
              <w:t>IMPORTADORA GAADSO, S.A. DE C.V.</w:t>
            </w:r>
            <w:r w:rsidRPr="00957B34">
              <w:rPr>
                <w:rFonts w:ascii="Verdana" w:eastAsia="Times New Roman" w:hAnsi="Verdana" w:cs="Arial"/>
                <w:b/>
                <w:sz w:val="20"/>
                <w:szCs w:val="20"/>
                <w:lang w:val="es-ES" w:eastAsia="es-MX"/>
              </w:rPr>
              <w:tab/>
              <w:t>R.F.C. IGA170616A35</w:t>
            </w:r>
          </w:p>
        </w:tc>
      </w:tr>
    </w:tbl>
    <w:p w:rsidR="00957B34" w:rsidRPr="00957B34" w:rsidRDefault="00957B34" w:rsidP="00957B34">
      <w:pPr>
        <w:spacing w:before="100" w:beforeAutospacing="1" w:after="100" w:afterAutospacing="1" w:line="217" w:lineRule="exact"/>
        <w:rPr>
          <w:rFonts w:ascii="Verdana" w:eastAsia="Times New Roman" w:hAnsi="Verdana" w:cs="Times New Roman"/>
          <w:sz w:val="20"/>
          <w:szCs w:val="20"/>
          <w:lang w:eastAsia="es-MX"/>
        </w:rPr>
      </w:pPr>
      <w:r w:rsidRPr="00957B34">
        <w:rPr>
          <w:rFonts w:ascii="Verdana" w:eastAsia="Times New Roman" w:hAnsi="Verdana" w:cs="Times New Roman"/>
          <w:noProof/>
          <w:color w:val="000000"/>
          <w:sz w:val="20"/>
          <w:szCs w:val="20"/>
          <w:lang w:val="es-ES" w:eastAsia="es-MX"/>
        </w:rPr>
        <w:t> </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noProof/>
          <w:color w:val="000000"/>
          <w:sz w:val="20"/>
          <w:szCs w:val="20"/>
          <w:lang w:val="en-US" w:eastAsia="es-MX"/>
        </w:rPr>
        <w:t>456001</w:t>
      </w:r>
      <w:r w:rsidRPr="00957B34">
        <w:rPr>
          <w:rFonts w:ascii="Verdana" w:eastAsia="Times New Roman" w:hAnsi="Verdana" w:cs="Times New Roman"/>
          <w:noProof/>
          <w:color w:val="000000"/>
          <w:sz w:val="20"/>
          <w:szCs w:val="20"/>
          <w:lang w:val="en-US" w:eastAsia="es-MX"/>
        </w:rPr>
        <w:tab/>
      </w:r>
      <w:r w:rsidRPr="00957B34">
        <w:rPr>
          <w:rFonts w:ascii="Verdana" w:eastAsia="Times New Roman" w:hAnsi="Verdana" w:cs="Times New Roman"/>
          <w:sz w:val="20"/>
          <w:szCs w:val="20"/>
          <w:lang w:val="en-US" w:eastAsia="es-MX"/>
        </w:rPr>
        <w:t>Cipriano Cigars</w:t>
      </w:r>
    </w:p>
    <w:p w:rsidR="00957B34" w:rsidRPr="00957B34" w:rsidRDefault="00957B34" w:rsidP="00957B34">
      <w:pPr>
        <w:spacing w:before="100" w:beforeAutospacing="1" w:after="100" w:afterAutospacing="1" w:line="217"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456002</w:t>
      </w:r>
      <w:r w:rsidRPr="00957B34">
        <w:rPr>
          <w:rFonts w:ascii="Verdana" w:eastAsia="Times New Roman" w:hAnsi="Verdana" w:cs="Times New Roman"/>
          <w:sz w:val="20"/>
          <w:szCs w:val="20"/>
          <w:lang w:val="en-US" w:eastAsia="es-MX"/>
        </w:rPr>
        <w:tab/>
        <w:t>The Traveler</w:t>
      </w:r>
    </w:p>
    <w:p w:rsidR="00957B34" w:rsidRPr="00957B34" w:rsidRDefault="00957B34" w:rsidP="00957B34">
      <w:pPr>
        <w:spacing w:before="100" w:beforeAutospacing="1" w:after="100" w:afterAutospacing="1" w:line="22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456003</w:t>
      </w:r>
      <w:r w:rsidRPr="00957B34">
        <w:rPr>
          <w:rFonts w:ascii="Verdana" w:eastAsia="Times New Roman" w:hAnsi="Verdana" w:cs="Times New Roman"/>
          <w:sz w:val="20"/>
          <w:szCs w:val="20"/>
          <w:lang w:val="en-US" w:eastAsia="es-MX"/>
        </w:rPr>
        <w:tab/>
        <w:t>The Circus</w:t>
      </w:r>
    </w:p>
    <w:p w:rsidR="00957B34" w:rsidRPr="00957B34" w:rsidRDefault="00957B34" w:rsidP="00957B34">
      <w:pPr>
        <w:spacing w:before="100" w:beforeAutospacing="1" w:after="100" w:afterAutospacing="1" w:line="22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456004</w:t>
      </w:r>
      <w:r w:rsidRPr="00957B34">
        <w:rPr>
          <w:rFonts w:ascii="Verdana" w:eastAsia="Times New Roman" w:hAnsi="Verdana" w:cs="Times New Roman"/>
          <w:sz w:val="20"/>
          <w:szCs w:val="20"/>
          <w:lang w:val="es-ES" w:eastAsia="es-MX"/>
        </w:rPr>
        <w:tab/>
        <w:t>La Rosa de San Diego</w:t>
      </w:r>
    </w:p>
    <w:p w:rsidR="00957B34" w:rsidRPr="00957B34" w:rsidRDefault="00957B34" w:rsidP="00957B34">
      <w:pPr>
        <w:spacing w:before="100" w:beforeAutospacing="1" w:after="100" w:afterAutospacing="1" w:line="22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456005</w:t>
      </w:r>
      <w:r w:rsidRPr="00957B34">
        <w:rPr>
          <w:rFonts w:ascii="Verdana" w:eastAsia="Times New Roman" w:hAnsi="Verdana" w:cs="Times New Roman"/>
          <w:sz w:val="20"/>
          <w:szCs w:val="20"/>
          <w:lang w:val="es-ES" w:eastAsia="es-MX"/>
        </w:rPr>
        <w:tab/>
        <w:t>El viejo continente</w:t>
      </w:r>
    </w:p>
    <w:p w:rsidR="00957B34" w:rsidRPr="00957B34" w:rsidRDefault="00957B34" w:rsidP="00957B34">
      <w:pPr>
        <w:spacing w:before="100" w:beforeAutospacing="1" w:after="100" w:afterAutospacing="1" w:line="22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57B34" w:rsidRPr="00957B34" w:rsidTr="00957B34">
        <w:trPr>
          <w:trHeight w:val="20"/>
        </w:trPr>
        <w:tc>
          <w:tcPr>
            <w:tcW w:w="8712" w:type="dxa"/>
            <w:tcBorders>
              <w:top w:val="single" w:sz="6" w:space="0" w:color="000000"/>
              <w:left w:val="single" w:sz="6" w:space="0" w:color="auto"/>
              <w:bottom w:val="single" w:sz="6" w:space="0" w:color="000000"/>
              <w:right w:val="single" w:sz="6" w:space="0" w:color="auto"/>
            </w:tcBorders>
            <w:noWrap/>
            <w:hideMark/>
          </w:tcPr>
          <w:p w:rsidR="00957B34" w:rsidRPr="00957B34" w:rsidRDefault="00957B34" w:rsidP="00957B34">
            <w:pPr>
              <w:tabs>
                <w:tab w:val="left" w:pos="6486"/>
              </w:tabs>
              <w:spacing w:before="100" w:beforeAutospacing="1" w:after="100" w:afterAutospacing="1" w:line="20" w:lineRule="atLeast"/>
              <w:ind w:left="432" w:hanging="432"/>
              <w:rPr>
                <w:rFonts w:ascii="Verdana" w:eastAsia="Times New Roman" w:hAnsi="Verdana" w:cs="Times New Roman"/>
                <w:sz w:val="20"/>
                <w:szCs w:val="20"/>
                <w:lang w:eastAsia="es-MX"/>
              </w:rPr>
            </w:pPr>
            <w:r w:rsidRPr="00957B34">
              <w:rPr>
                <w:rFonts w:ascii="Verdana" w:eastAsia="Times New Roman" w:hAnsi="Verdana" w:cs="Arial"/>
                <w:b/>
                <w:noProof/>
                <w:sz w:val="20"/>
                <w:szCs w:val="20"/>
                <w:lang w:val="es-ES" w:eastAsia="es-MX"/>
              </w:rPr>
              <w:t>57.</w:t>
            </w:r>
            <w:r w:rsidRPr="00957B34">
              <w:rPr>
                <w:rFonts w:ascii="Verdana" w:eastAsia="Times New Roman" w:hAnsi="Verdana" w:cs="Arial"/>
                <w:b/>
                <w:noProof/>
                <w:sz w:val="20"/>
                <w:szCs w:val="20"/>
                <w:lang w:val="es-ES" w:eastAsia="es-MX"/>
              </w:rPr>
              <w:tab/>
              <w:t>US TOBACCO DE MÉXICO S.A. DE C.V.</w:t>
            </w:r>
            <w:r w:rsidRPr="00957B34">
              <w:rPr>
                <w:rFonts w:ascii="Verdana" w:eastAsia="Times New Roman" w:hAnsi="Verdana" w:cs="Arial"/>
                <w:b/>
                <w:noProof/>
                <w:sz w:val="20"/>
                <w:szCs w:val="20"/>
                <w:lang w:val="es-ES" w:eastAsia="es-MX"/>
              </w:rPr>
              <w:tab/>
              <w:t xml:space="preserve"> R.F.C. UTM110712GD2</w:t>
            </w:r>
          </w:p>
        </w:tc>
      </w:tr>
    </w:tbl>
    <w:p w:rsidR="00957B34" w:rsidRPr="00957B34" w:rsidRDefault="00957B34" w:rsidP="00957B34">
      <w:pPr>
        <w:spacing w:before="100" w:beforeAutospacing="1" w:after="100" w:afterAutospacing="1"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eastAsia="es-MX"/>
        </w:rPr>
        <w:t> </w:t>
      </w:r>
    </w:p>
    <w:p w:rsidR="00957B34" w:rsidRPr="00957B34" w:rsidRDefault="00957B34" w:rsidP="00957B34">
      <w:pPr>
        <w:spacing w:before="100" w:beforeAutospacing="1" w:after="100" w:afterAutospacing="1" w:line="22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n-US" w:eastAsia="es-MX"/>
        </w:rPr>
        <w:t xml:space="preserve">057001 </w:t>
      </w:r>
      <w:r w:rsidRPr="00957B34">
        <w:rPr>
          <w:rFonts w:ascii="Verdana" w:eastAsia="Times New Roman" w:hAnsi="Verdana" w:cs="Times New Roman"/>
          <w:sz w:val="20"/>
          <w:szCs w:val="20"/>
          <w:lang w:val="en-US" w:eastAsia="es-MX"/>
        </w:rPr>
        <w:tab/>
        <w:t>México Spirit</w:t>
      </w:r>
    </w:p>
    <w:p w:rsidR="00957B34" w:rsidRPr="00957B34" w:rsidRDefault="00957B34" w:rsidP="00957B34">
      <w:pPr>
        <w:spacing w:before="100" w:beforeAutospacing="1" w:after="100" w:afterAutospacing="1" w:line="224" w:lineRule="exact"/>
        <w:ind w:left="1440" w:hanging="1152"/>
        <w:rPr>
          <w:rFonts w:ascii="Verdana" w:eastAsia="Times New Roman" w:hAnsi="Verdana" w:cs="Times New Roman"/>
          <w:sz w:val="20"/>
          <w:szCs w:val="20"/>
          <w:lang w:eastAsia="es-MX"/>
        </w:rPr>
      </w:pPr>
      <w:r w:rsidRPr="00957B34">
        <w:rPr>
          <w:rFonts w:ascii="Verdana" w:eastAsia="Times New Roman" w:hAnsi="Verdana" w:cs="Times New Roman"/>
          <w:sz w:val="20"/>
          <w:szCs w:val="20"/>
          <w:lang w:eastAsia="es-MX"/>
        </w:rPr>
        <w:t>057002</w:t>
      </w:r>
      <w:r w:rsidRPr="00957B34">
        <w:rPr>
          <w:rFonts w:ascii="Verdana" w:eastAsia="Times New Roman" w:hAnsi="Verdana" w:cs="Times New Roman"/>
          <w:sz w:val="20"/>
          <w:szCs w:val="20"/>
          <w:lang w:eastAsia="es-MX"/>
        </w:rPr>
        <w:tab/>
        <w:t>Rancher</w:t>
      </w:r>
    </w:p>
    <w:p w:rsidR="00957B34" w:rsidRPr="00957B34" w:rsidRDefault="00957B34" w:rsidP="00957B34">
      <w:pPr>
        <w:spacing w:before="100" w:beforeAutospacing="1" w:after="100" w:afterAutospacing="1" w:line="22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Aquellas empresas que lancen al mercado marcas distintas a las clasificadas en el presente anexo, asignarán una nueva clave, la cual se integrará de la siguiente manera:</w:t>
      </w:r>
    </w:p>
    <w:p w:rsidR="00957B34" w:rsidRPr="00957B34" w:rsidRDefault="00957B34" w:rsidP="00957B34">
      <w:pPr>
        <w:spacing w:before="100" w:beforeAutospacing="1" w:after="100" w:afterAutospacing="1"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De izquierda a derecha</w:t>
      </w:r>
    </w:p>
    <w:tbl>
      <w:tblPr>
        <w:tblW w:w="8715" w:type="dxa"/>
        <w:tblInd w:w="144" w:type="dxa"/>
        <w:tblLayout w:type="fixed"/>
        <w:tblCellMar>
          <w:left w:w="72" w:type="dxa"/>
          <w:right w:w="72" w:type="dxa"/>
        </w:tblCellMar>
        <w:tblLook w:val="04A0" w:firstRow="1" w:lastRow="0" w:firstColumn="1" w:lastColumn="0" w:noHBand="0" w:noVBand="1"/>
      </w:tblPr>
      <w:tblGrid>
        <w:gridCol w:w="4060"/>
        <w:gridCol w:w="624"/>
        <w:gridCol w:w="4031"/>
      </w:tblGrid>
      <w:tr w:rsidR="00957B34" w:rsidRPr="00957B34" w:rsidTr="00957B34">
        <w:trPr>
          <w:trHeight w:val="20"/>
        </w:trPr>
        <w:tc>
          <w:tcPr>
            <w:tcW w:w="3966" w:type="dxa"/>
            <w:noWrap/>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Dígito 1</w:t>
            </w:r>
          </w:p>
        </w:tc>
        <w:tc>
          <w:tcPr>
            <w:tcW w:w="610"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0</w:t>
            </w:r>
          </w:p>
        </w:tc>
        <w:tc>
          <w:tcPr>
            <w:tcW w:w="3938"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Si son cigarros con filtro.</w:t>
            </w:r>
          </w:p>
        </w:tc>
      </w:tr>
      <w:tr w:rsidR="00957B34" w:rsidRPr="00957B34" w:rsidTr="00957B34">
        <w:trPr>
          <w:trHeight w:val="20"/>
        </w:trPr>
        <w:tc>
          <w:tcPr>
            <w:tcW w:w="396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610"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1</w:t>
            </w:r>
          </w:p>
        </w:tc>
        <w:tc>
          <w:tcPr>
            <w:tcW w:w="3938"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Si son cigarros sin filtro.</w:t>
            </w:r>
          </w:p>
        </w:tc>
      </w:tr>
      <w:tr w:rsidR="00957B34" w:rsidRPr="00957B34" w:rsidTr="00957B34">
        <w:trPr>
          <w:trHeight w:val="20"/>
        </w:trPr>
        <w:tc>
          <w:tcPr>
            <w:tcW w:w="396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610"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2</w:t>
            </w:r>
          </w:p>
        </w:tc>
        <w:tc>
          <w:tcPr>
            <w:tcW w:w="3938"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Si son puros.</w:t>
            </w:r>
          </w:p>
        </w:tc>
      </w:tr>
      <w:tr w:rsidR="00957B34" w:rsidRPr="00957B34" w:rsidTr="00957B34">
        <w:trPr>
          <w:trHeight w:val="20"/>
        </w:trPr>
        <w:tc>
          <w:tcPr>
            <w:tcW w:w="396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lastRenderedPageBreak/>
              <w:t> </w:t>
            </w:r>
          </w:p>
        </w:tc>
        <w:tc>
          <w:tcPr>
            <w:tcW w:w="610"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3</w:t>
            </w:r>
          </w:p>
        </w:tc>
        <w:tc>
          <w:tcPr>
            <w:tcW w:w="3938"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Otros tabacos labrados.</w:t>
            </w:r>
          </w:p>
        </w:tc>
      </w:tr>
      <w:tr w:rsidR="00957B34" w:rsidRPr="00957B34" w:rsidTr="00957B34">
        <w:trPr>
          <w:trHeight w:val="20"/>
        </w:trPr>
        <w:tc>
          <w:tcPr>
            <w:tcW w:w="396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 </w:t>
            </w:r>
          </w:p>
        </w:tc>
        <w:tc>
          <w:tcPr>
            <w:tcW w:w="610"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4</w:t>
            </w:r>
          </w:p>
        </w:tc>
        <w:tc>
          <w:tcPr>
            <w:tcW w:w="3938"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Si son puros y otros tabacos labrados hechos enteramente a mano.</w:t>
            </w:r>
          </w:p>
        </w:tc>
      </w:tr>
      <w:tr w:rsidR="00957B34" w:rsidRPr="00957B34" w:rsidTr="00957B34">
        <w:trPr>
          <w:trHeight w:val="20"/>
        </w:trPr>
        <w:tc>
          <w:tcPr>
            <w:tcW w:w="396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Dígitos 2 y 3</w:t>
            </w:r>
          </w:p>
        </w:tc>
        <w:tc>
          <w:tcPr>
            <w:tcW w:w="4548" w:type="dxa"/>
            <w:gridSpan w:val="2"/>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Número de empresa.</w:t>
            </w:r>
          </w:p>
        </w:tc>
      </w:tr>
      <w:tr w:rsidR="00957B34" w:rsidRPr="00957B34" w:rsidTr="00957B34">
        <w:trPr>
          <w:trHeight w:val="20"/>
        </w:trPr>
        <w:tc>
          <w:tcPr>
            <w:tcW w:w="396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Dígitos 4, 5 y 6</w:t>
            </w:r>
          </w:p>
        </w:tc>
        <w:tc>
          <w:tcPr>
            <w:tcW w:w="4548" w:type="dxa"/>
            <w:gridSpan w:val="2"/>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sz w:val="20"/>
                <w:szCs w:val="20"/>
                <w:lang w:val="es-ES" w:eastAsia="es-MX"/>
              </w:rPr>
              <w:t>Número consecutivo de la marca.</w:t>
            </w:r>
          </w:p>
        </w:tc>
      </w:tr>
    </w:tbl>
    <w:p w:rsidR="00957B34" w:rsidRPr="00957B34" w:rsidRDefault="00957B34" w:rsidP="00957B34">
      <w:pPr>
        <w:spacing w:before="100" w:beforeAutospacing="1" w:after="100" w:afterAutospacing="1" w:line="22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spacing w:before="100" w:beforeAutospacing="1" w:after="100" w:afterAutospacing="1" w:line="224"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Las nuevas claves serán proporcionadas a la Administración Central de Normatividad en Impuestos Internos de la Administración General Jurídica a través de buzón tributario, con 15 días de anticipación a la primera enajenación al público en general.</w:t>
      </w:r>
    </w:p>
    <w:p w:rsidR="00957B34" w:rsidRPr="00957B34" w:rsidRDefault="00957B34" w:rsidP="00957B34">
      <w:pPr>
        <w:pBdr>
          <w:top w:val="single" w:sz="6" w:space="1" w:color="auto"/>
          <w:bottom w:val="single" w:sz="6" w:space="1" w:color="auto"/>
        </w:pBdr>
        <w:spacing w:before="100" w:beforeAutospacing="1" w:after="100" w:afterAutospacing="1" w:line="224"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C.</w:t>
      </w:r>
      <w:r w:rsidRPr="00957B34">
        <w:rPr>
          <w:rFonts w:ascii="Verdana" w:eastAsia="Times New Roman" w:hAnsi="Verdana" w:cs="Times New Roman"/>
          <w:b/>
          <w:sz w:val="20"/>
          <w:szCs w:val="20"/>
          <w:lang w:val="es-ES" w:eastAsia="es-MX"/>
        </w:rPr>
        <w:tab/>
        <w:t>Catálogo de claves de entidad federativa</w:t>
      </w:r>
    </w:p>
    <w:tbl>
      <w:tblPr>
        <w:tblW w:w="0" w:type="auto"/>
        <w:jc w:val="center"/>
        <w:tblLayout w:type="fixed"/>
        <w:tblCellMar>
          <w:left w:w="70" w:type="dxa"/>
          <w:right w:w="70" w:type="dxa"/>
        </w:tblCellMar>
        <w:tblLook w:val="04A0" w:firstRow="1" w:lastRow="0" w:firstColumn="1" w:lastColumn="0" w:noHBand="0" w:noVBand="1"/>
      </w:tblPr>
      <w:tblGrid>
        <w:gridCol w:w="2852"/>
        <w:gridCol w:w="3011"/>
      </w:tblGrid>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CLAVE</w:t>
            </w:r>
          </w:p>
        </w:tc>
        <w:tc>
          <w:tcPr>
            <w:tcW w:w="3011" w:type="dxa"/>
            <w:hideMark/>
          </w:tcPr>
          <w:p w:rsidR="00957B34" w:rsidRPr="00957B34" w:rsidRDefault="00957B34" w:rsidP="00957B34">
            <w:pPr>
              <w:spacing w:before="100" w:beforeAutospacing="1" w:after="100" w:afterAutospacing="1" w:line="20" w:lineRule="atLeast"/>
              <w:jc w:val="center"/>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ENTIDAD</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 </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 </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Aguascalientes</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Baja California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Baja California Sur</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4.</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Campeche</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5.</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Coahuila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6.</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Colima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7.</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Chiapas</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8.</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Chihuahua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9.</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Ciudad de México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10.</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Durango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11.</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Guanajuato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12.</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Guerrero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13.</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Hidalgo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14.</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Jalisco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15.</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Estado de México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16.</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Michoacán</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17.</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Morelos</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18.</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Nayarit</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19.</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Nuevo León</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20.</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Oaxaca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21.</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Puebla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22.</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Querétaro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23.</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Quintana Roo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24.</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San Luis Potosí</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25.</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Sinaloa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26.</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Sonora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27.</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Tabasco</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28.</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Tamaulipas</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29.</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Tlaxcala</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30.</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Veracruz</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31.</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Yucatán</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32.</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Zacatecas</w:t>
            </w:r>
          </w:p>
        </w:tc>
      </w:tr>
      <w:tr w:rsidR="00957B34" w:rsidRPr="00957B34" w:rsidTr="00957B34">
        <w:trPr>
          <w:cantSplit/>
          <w:trHeight w:val="20"/>
          <w:jc w:val="center"/>
        </w:trPr>
        <w:tc>
          <w:tcPr>
            <w:tcW w:w="2852"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33.</w:t>
            </w:r>
          </w:p>
        </w:tc>
        <w:tc>
          <w:tcPr>
            <w:tcW w:w="3011"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b/>
                <w:sz w:val="20"/>
                <w:szCs w:val="20"/>
                <w:lang w:val="es-ES" w:eastAsia="es-MX"/>
              </w:rPr>
              <w:t>Extranjeros</w:t>
            </w:r>
          </w:p>
        </w:tc>
      </w:tr>
    </w:tbl>
    <w:p w:rsidR="00957B34" w:rsidRPr="00957B34" w:rsidRDefault="00957B34" w:rsidP="00957B34">
      <w:pPr>
        <w:spacing w:before="100" w:beforeAutospacing="1" w:after="100" w:afterAutospacing="1" w:line="23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pBdr>
          <w:top w:val="single" w:sz="6" w:space="1" w:color="auto"/>
          <w:bottom w:val="single" w:sz="6" w:space="1" w:color="auto"/>
        </w:pBdr>
        <w:spacing w:before="100" w:beforeAutospacing="1" w:after="100" w:afterAutospacing="1"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lastRenderedPageBreak/>
        <w:t>D.</w:t>
      </w:r>
      <w:r w:rsidRPr="00957B34">
        <w:rPr>
          <w:rFonts w:ascii="Verdana" w:eastAsia="Times New Roman" w:hAnsi="Verdana" w:cs="Times New Roman"/>
          <w:b/>
          <w:sz w:val="20"/>
          <w:szCs w:val="20"/>
          <w:lang w:val="es-ES" w:eastAsia="es-MX"/>
        </w:rPr>
        <w:tab/>
        <w:t>Catálogo de claves de graduación alcohólica</w:t>
      </w:r>
    </w:p>
    <w:tbl>
      <w:tblPr>
        <w:tblW w:w="8715" w:type="dxa"/>
        <w:tblInd w:w="144" w:type="dxa"/>
        <w:tblLayout w:type="fixed"/>
        <w:tblCellMar>
          <w:left w:w="70" w:type="dxa"/>
          <w:right w:w="70" w:type="dxa"/>
        </w:tblCellMar>
        <w:tblLook w:val="04A0" w:firstRow="1" w:lastRow="0" w:firstColumn="1" w:lastColumn="0" w:noHBand="0" w:noVBand="1"/>
      </w:tblPr>
      <w:tblGrid>
        <w:gridCol w:w="998"/>
        <w:gridCol w:w="7717"/>
      </w:tblGrid>
      <w:tr w:rsidR="00957B34" w:rsidRPr="00957B34" w:rsidTr="00957B34">
        <w:trPr>
          <w:trHeight w:val="20"/>
        </w:trPr>
        <w:tc>
          <w:tcPr>
            <w:tcW w:w="987" w:type="dxa"/>
            <w:noWrap/>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001</w:t>
            </w:r>
          </w:p>
        </w:tc>
        <w:tc>
          <w:tcPr>
            <w:tcW w:w="7635"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Con una graduación alcohólica de hasta 14° G.L.</w:t>
            </w:r>
          </w:p>
        </w:tc>
      </w:tr>
      <w:tr w:rsidR="00957B34" w:rsidRPr="00957B34" w:rsidTr="00957B34">
        <w:trPr>
          <w:trHeight w:val="20"/>
        </w:trPr>
        <w:tc>
          <w:tcPr>
            <w:tcW w:w="987"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002</w:t>
            </w:r>
          </w:p>
        </w:tc>
        <w:tc>
          <w:tcPr>
            <w:tcW w:w="7635"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Con una graduación alcohólica de más de 14° y hasta 20° G.L.</w:t>
            </w:r>
          </w:p>
        </w:tc>
      </w:tr>
      <w:tr w:rsidR="00957B34" w:rsidRPr="00957B34" w:rsidTr="00957B34">
        <w:trPr>
          <w:trHeight w:val="20"/>
        </w:trPr>
        <w:tc>
          <w:tcPr>
            <w:tcW w:w="987"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003</w:t>
            </w:r>
          </w:p>
        </w:tc>
        <w:tc>
          <w:tcPr>
            <w:tcW w:w="7635"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Con una graduación alcohólica de más de 20° G.L</w:t>
            </w:r>
          </w:p>
        </w:tc>
      </w:tr>
    </w:tbl>
    <w:p w:rsidR="00957B34" w:rsidRPr="00957B34" w:rsidRDefault="00957B34" w:rsidP="00957B34">
      <w:pPr>
        <w:spacing w:before="100" w:beforeAutospacing="1" w:after="100" w:afterAutospacing="1" w:line="23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pBdr>
          <w:top w:val="single" w:sz="6" w:space="1" w:color="auto"/>
          <w:bottom w:val="single" w:sz="6" w:space="1" w:color="auto"/>
        </w:pBdr>
        <w:spacing w:before="100" w:beforeAutospacing="1" w:after="100" w:afterAutospacing="1"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E.</w:t>
      </w:r>
      <w:r w:rsidRPr="00957B34">
        <w:rPr>
          <w:rFonts w:ascii="Verdana" w:eastAsia="Times New Roman" w:hAnsi="Verdana" w:cs="Times New Roman"/>
          <w:b/>
          <w:sz w:val="20"/>
          <w:szCs w:val="20"/>
          <w:lang w:val="es-ES" w:eastAsia="es-MX"/>
        </w:rPr>
        <w:tab/>
        <w:t>Catálogo de claves de empaque</w:t>
      </w:r>
    </w:p>
    <w:tbl>
      <w:tblPr>
        <w:tblW w:w="8715" w:type="dxa"/>
        <w:tblInd w:w="144" w:type="dxa"/>
        <w:tblLayout w:type="fixed"/>
        <w:tblCellMar>
          <w:left w:w="70" w:type="dxa"/>
          <w:right w:w="70" w:type="dxa"/>
        </w:tblCellMar>
        <w:tblLook w:val="04A0" w:firstRow="1" w:lastRow="0" w:firstColumn="1" w:lastColumn="0" w:noHBand="0" w:noVBand="1"/>
      </w:tblPr>
      <w:tblGrid>
        <w:gridCol w:w="769"/>
        <w:gridCol w:w="2115"/>
        <w:gridCol w:w="655"/>
        <w:gridCol w:w="2042"/>
        <w:gridCol w:w="728"/>
        <w:gridCol w:w="2406"/>
      </w:tblGrid>
      <w:tr w:rsidR="00957B34" w:rsidRPr="00957B34" w:rsidTr="00957B34">
        <w:trPr>
          <w:trHeight w:val="20"/>
        </w:trPr>
        <w:tc>
          <w:tcPr>
            <w:tcW w:w="759" w:type="dxa"/>
            <w:noWrap/>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001</w:t>
            </w:r>
          </w:p>
        </w:tc>
        <w:tc>
          <w:tcPr>
            <w:tcW w:w="208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Barrica</w:t>
            </w:r>
          </w:p>
        </w:tc>
        <w:tc>
          <w:tcPr>
            <w:tcW w:w="647"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005</w:t>
            </w:r>
          </w:p>
        </w:tc>
        <w:tc>
          <w:tcPr>
            <w:tcW w:w="201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Caja</w:t>
            </w:r>
          </w:p>
        </w:tc>
        <w:tc>
          <w:tcPr>
            <w:tcW w:w="71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009</w:t>
            </w:r>
          </w:p>
        </w:tc>
        <w:tc>
          <w:tcPr>
            <w:tcW w:w="237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Garrafón</w:t>
            </w:r>
          </w:p>
        </w:tc>
      </w:tr>
      <w:tr w:rsidR="00957B34" w:rsidRPr="00957B34" w:rsidTr="00957B34">
        <w:trPr>
          <w:trHeight w:val="20"/>
        </w:trPr>
        <w:tc>
          <w:tcPr>
            <w:tcW w:w="75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002</w:t>
            </w:r>
          </w:p>
        </w:tc>
        <w:tc>
          <w:tcPr>
            <w:tcW w:w="208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Bolsa</w:t>
            </w:r>
          </w:p>
        </w:tc>
        <w:tc>
          <w:tcPr>
            <w:tcW w:w="647"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006</w:t>
            </w:r>
          </w:p>
        </w:tc>
        <w:tc>
          <w:tcPr>
            <w:tcW w:w="201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Cajetilla</w:t>
            </w:r>
          </w:p>
        </w:tc>
        <w:tc>
          <w:tcPr>
            <w:tcW w:w="71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010</w:t>
            </w:r>
          </w:p>
        </w:tc>
        <w:tc>
          <w:tcPr>
            <w:tcW w:w="237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Lata</w:t>
            </w:r>
          </w:p>
        </w:tc>
      </w:tr>
      <w:tr w:rsidR="00957B34" w:rsidRPr="00957B34" w:rsidTr="00957B34">
        <w:trPr>
          <w:trHeight w:val="20"/>
        </w:trPr>
        <w:tc>
          <w:tcPr>
            <w:tcW w:w="75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003</w:t>
            </w:r>
          </w:p>
        </w:tc>
        <w:tc>
          <w:tcPr>
            <w:tcW w:w="208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Bote</w:t>
            </w:r>
          </w:p>
        </w:tc>
        <w:tc>
          <w:tcPr>
            <w:tcW w:w="647"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007</w:t>
            </w:r>
          </w:p>
        </w:tc>
        <w:tc>
          <w:tcPr>
            <w:tcW w:w="201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Costal</w:t>
            </w:r>
          </w:p>
        </w:tc>
        <w:tc>
          <w:tcPr>
            <w:tcW w:w="71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011</w:t>
            </w:r>
          </w:p>
        </w:tc>
        <w:tc>
          <w:tcPr>
            <w:tcW w:w="237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Mazo</w:t>
            </w:r>
          </w:p>
        </w:tc>
      </w:tr>
      <w:tr w:rsidR="00957B34" w:rsidRPr="00957B34" w:rsidTr="00957B34">
        <w:trPr>
          <w:trHeight w:val="20"/>
        </w:trPr>
        <w:tc>
          <w:tcPr>
            <w:tcW w:w="75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004</w:t>
            </w:r>
          </w:p>
        </w:tc>
        <w:tc>
          <w:tcPr>
            <w:tcW w:w="208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Botella</w:t>
            </w:r>
          </w:p>
        </w:tc>
        <w:tc>
          <w:tcPr>
            <w:tcW w:w="647"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008</w:t>
            </w:r>
          </w:p>
        </w:tc>
        <w:tc>
          <w:tcPr>
            <w:tcW w:w="201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Estuche</w:t>
            </w:r>
          </w:p>
        </w:tc>
        <w:tc>
          <w:tcPr>
            <w:tcW w:w="719"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012</w:t>
            </w:r>
          </w:p>
        </w:tc>
        <w:tc>
          <w:tcPr>
            <w:tcW w:w="237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Otro Contenedor</w:t>
            </w:r>
          </w:p>
        </w:tc>
      </w:tr>
    </w:tbl>
    <w:p w:rsidR="00957B34" w:rsidRPr="00957B34" w:rsidRDefault="00957B34" w:rsidP="00957B34">
      <w:pPr>
        <w:spacing w:before="100" w:beforeAutospacing="1" w:after="100" w:afterAutospacing="1" w:line="23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 </w:t>
      </w:r>
    </w:p>
    <w:p w:rsidR="00957B34" w:rsidRPr="00957B34" w:rsidRDefault="00957B34" w:rsidP="00957B34">
      <w:pPr>
        <w:pBdr>
          <w:top w:val="single" w:sz="6" w:space="1" w:color="auto"/>
          <w:bottom w:val="single" w:sz="6" w:space="1" w:color="auto"/>
        </w:pBdr>
        <w:spacing w:before="100" w:beforeAutospacing="1" w:after="100" w:afterAutospacing="1"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F.</w:t>
      </w:r>
      <w:r w:rsidRPr="00957B34">
        <w:rPr>
          <w:rFonts w:ascii="Verdana" w:eastAsia="Times New Roman" w:hAnsi="Verdana" w:cs="Times New Roman"/>
          <w:b/>
          <w:sz w:val="20"/>
          <w:szCs w:val="20"/>
          <w:lang w:val="es-ES" w:eastAsia="es-MX"/>
        </w:rPr>
        <w:tab/>
        <w:t>Catálogo de claves de unidad de medida</w:t>
      </w:r>
    </w:p>
    <w:tbl>
      <w:tblPr>
        <w:tblW w:w="8715" w:type="dxa"/>
        <w:tblInd w:w="144" w:type="dxa"/>
        <w:tblLayout w:type="fixed"/>
        <w:tblCellMar>
          <w:left w:w="70" w:type="dxa"/>
          <w:right w:w="70" w:type="dxa"/>
        </w:tblCellMar>
        <w:tblLook w:val="04A0" w:firstRow="1" w:lastRow="0" w:firstColumn="1" w:lastColumn="0" w:noHBand="0" w:noVBand="1"/>
      </w:tblPr>
      <w:tblGrid>
        <w:gridCol w:w="820"/>
        <w:gridCol w:w="7895"/>
      </w:tblGrid>
      <w:tr w:rsidR="00957B34" w:rsidRPr="00957B34" w:rsidTr="00957B34">
        <w:trPr>
          <w:trHeight w:val="20"/>
        </w:trPr>
        <w:tc>
          <w:tcPr>
            <w:tcW w:w="810" w:type="dxa"/>
            <w:noWrap/>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001</w:t>
            </w:r>
          </w:p>
        </w:tc>
        <w:tc>
          <w:tcPr>
            <w:tcW w:w="779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Litros</w:t>
            </w:r>
          </w:p>
        </w:tc>
      </w:tr>
      <w:tr w:rsidR="00957B34" w:rsidRPr="00957B34" w:rsidTr="00957B34">
        <w:trPr>
          <w:trHeight w:val="20"/>
        </w:trPr>
        <w:tc>
          <w:tcPr>
            <w:tcW w:w="810"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002</w:t>
            </w:r>
          </w:p>
        </w:tc>
        <w:tc>
          <w:tcPr>
            <w:tcW w:w="779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Kilogramos</w:t>
            </w:r>
          </w:p>
        </w:tc>
      </w:tr>
      <w:tr w:rsidR="00957B34" w:rsidRPr="00957B34" w:rsidTr="00957B34">
        <w:trPr>
          <w:trHeight w:val="20"/>
        </w:trPr>
        <w:tc>
          <w:tcPr>
            <w:tcW w:w="810"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003</w:t>
            </w:r>
          </w:p>
        </w:tc>
        <w:tc>
          <w:tcPr>
            <w:tcW w:w="779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Toneladas</w:t>
            </w:r>
          </w:p>
        </w:tc>
      </w:tr>
      <w:tr w:rsidR="00957B34" w:rsidRPr="00957B34" w:rsidTr="00957B34">
        <w:trPr>
          <w:trHeight w:val="20"/>
        </w:trPr>
        <w:tc>
          <w:tcPr>
            <w:tcW w:w="810"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004</w:t>
            </w:r>
          </w:p>
        </w:tc>
        <w:tc>
          <w:tcPr>
            <w:tcW w:w="7796" w:type="dxa"/>
            <w:hideMark/>
          </w:tcPr>
          <w:p w:rsidR="00957B34" w:rsidRPr="00957B34" w:rsidRDefault="00957B34" w:rsidP="00957B34">
            <w:pPr>
              <w:spacing w:before="100" w:beforeAutospacing="1" w:after="100" w:afterAutospacing="1" w:line="20" w:lineRule="atLeast"/>
              <w:rPr>
                <w:rFonts w:ascii="Verdana" w:eastAsia="Times New Roman" w:hAnsi="Verdana" w:cs="Times New Roman"/>
                <w:sz w:val="20"/>
                <w:szCs w:val="20"/>
                <w:lang w:eastAsia="es-MX"/>
              </w:rPr>
            </w:pPr>
            <w:r w:rsidRPr="00957B34">
              <w:rPr>
                <w:rFonts w:ascii="Verdana" w:eastAsia="Times New Roman" w:hAnsi="Verdana" w:cs="Arial"/>
                <w:noProof/>
                <w:sz w:val="20"/>
                <w:szCs w:val="20"/>
                <w:lang w:val="es-ES" w:eastAsia="es-MX"/>
              </w:rPr>
              <w:t>Piezas</w:t>
            </w:r>
          </w:p>
        </w:tc>
      </w:tr>
    </w:tbl>
    <w:p w:rsidR="00957B34" w:rsidRPr="00957B34" w:rsidRDefault="00957B34" w:rsidP="00957B34">
      <w:pPr>
        <w:spacing w:before="100" w:beforeAutospacing="1" w:after="100" w:afterAutospacing="1" w:line="230" w:lineRule="exact"/>
        <w:rPr>
          <w:rFonts w:ascii="Verdana" w:eastAsia="Times New Roman" w:hAnsi="Verdana" w:cs="Times New Roman"/>
          <w:sz w:val="20"/>
          <w:szCs w:val="20"/>
          <w:lang w:eastAsia="es-MX"/>
        </w:rPr>
      </w:pPr>
      <w:r w:rsidRPr="00957B34">
        <w:rPr>
          <w:rFonts w:ascii="Verdana" w:eastAsia="Times New Roman" w:hAnsi="Verdana" w:cs="Times New Roman"/>
          <w:sz w:val="20"/>
          <w:szCs w:val="20"/>
          <w:lang w:val="es-ES" w:eastAsia="es-MX"/>
        </w:rPr>
        <w:t> </w:t>
      </w:r>
    </w:p>
    <w:p w:rsidR="00957B34" w:rsidRPr="00957B34" w:rsidRDefault="00957B34" w:rsidP="00957B34">
      <w:pPr>
        <w:pBdr>
          <w:top w:val="single" w:sz="6" w:space="1" w:color="auto"/>
          <w:bottom w:val="single" w:sz="6" w:space="1" w:color="auto"/>
        </w:pBdr>
        <w:spacing w:before="100" w:beforeAutospacing="1" w:after="100" w:afterAutospacing="1" w:line="240" w:lineRule="exact"/>
        <w:rPr>
          <w:rFonts w:ascii="Verdana" w:eastAsia="Times New Roman" w:hAnsi="Verdana" w:cs="Times New Roman"/>
          <w:sz w:val="20"/>
          <w:szCs w:val="20"/>
          <w:lang w:eastAsia="es-MX"/>
        </w:rPr>
      </w:pPr>
      <w:r w:rsidRPr="00957B34">
        <w:rPr>
          <w:rFonts w:ascii="Verdana" w:eastAsia="Times New Roman" w:hAnsi="Verdana" w:cs="Times New Roman"/>
          <w:b/>
          <w:sz w:val="20"/>
          <w:szCs w:val="20"/>
          <w:lang w:val="es-ES" w:eastAsia="es-MX"/>
        </w:rPr>
        <w:t>G.</w:t>
      </w:r>
      <w:r w:rsidRPr="00957B34">
        <w:rPr>
          <w:rFonts w:ascii="Verdana" w:eastAsia="Times New Roman" w:hAnsi="Verdana" w:cs="Times New Roman"/>
          <w:b/>
          <w:sz w:val="20"/>
          <w:szCs w:val="20"/>
          <w:lang w:val="es-ES" w:eastAsia="es-MX"/>
        </w:rPr>
        <w:tab/>
        <w:t>Rectificaciones</w:t>
      </w:r>
    </w:p>
    <w:p w:rsidR="00957B34" w:rsidRPr="00957B34" w:rsidRDefault="00957B34" w:rsidP="00957B34">
      <w:pPr>
        <w:spacing w:before="100" w:beforeAutospacing="1" w:after="100" w:afterAutospacing="1" w:line="230" w:lineRule="exact"/>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 </w:t>
      </w:r>
    </w:p>
    <w:p w:rsidR="00957B34" w:rsidRPr="00957B34" w:rsidRDefault="00957B34" w:rsidP="00957B34">
      <w:pPr>
        <w:spacing w:before="100" w:beforeAutospacing="1" w:after="100" w:afterAutospacing="1" w:line="240" w:lineRule="exact"/>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Atentamente.</w:t>
      </w:r>
    </w:p>
    <w:p w:rsidR="00957B34" w:rsidRPr="00957B34" w:rsidRDefault="00957B34" w:rsidP="00957B34">
      <w:pPr>
        <w:spacing w:before="100" w:beforeAutospacing="1" w:after="100" w:afterAutospacing="1" w:line="240" w:lineRule="exact"/>
        <w:rPr>
          <w:rFonts w:ascii="Verdana" w:eastAsia="Times New Roman" w:hAnsi="Verdana" w:cs="Times New Roman"/>
          <w:sz w:val="20"/>
          <w:szCs w:val="20"/>
          <w:lang w:eastAsia="es-MX"/>
        </w:rPr>
      </w:pPr>
      <w:r w:rsidRPr="00957B34">
        <w:rPr>
          <w:rFonts w:ascii="Verdana" w:eastAsia="Times New Roman" w:hAnsi="Verdana" w:cs="Times New Roman"/>
          <w:color w:val="000000"/>
          <w:sz w:val="20"/>
          <w:szCs w:val="20"/>
          <w:lang w:val="es-ES" w:eastAsia="es-MX"/>
        </w:rPr>
        <w:t xml:space="preserve">Ciudad de México, 22 de abril de 2019.- La Jefa del Servicio de Administración Tributaria, </w:t>
      </w:r>
      <w:r w:rsidRPr="00957B34">
        <w:rPr>
          <w:rFonts w:ascii="Verdana" w:eastAsia="Times New Roman" w:hAnsi="Verdana" w:cs="Times New Roman"/>
          <w:b/>
          <w:color w:val="000000"/>
          <w:sz w:val="20"/>
          <w:szCs w:val="20"/>
          <w:lang w:val="es-ES" w:eastAsia="es-MX"/>
        </w:rPr>
        <w:t>Ana Margarita Ríos Farjat</w:t>
      </w:r>
      <w:r w:rsidRPr="00957B34">
        <w:rPr>
          <w:rFonts w:ascii="Verdana" w:eastAsia="Times New Roman" w:hAnsi="Verdana" w:cs="Times New Roman"/>
          <w:color w:val="000000"/>
          <w:sz w:val="20"/>
          <w:szCs w:val="20"/>
          <w:lang w:val="es-ES" w:eastAsia="es-MX"/>
        </w:rPr>
        <w:t>.- Rúbrica.</w:t>
      </w:r>
    </w:p>
    <w:p w:rsidR="007E741C" w:rsidRPr="00957B34" w:rsidRDefault="007E741C">
      <w:pPr>
        <w:rPr>
          <w:rFonts w:ascii="Verdana" w:hAnsi="Verdana"/>
          <w:sz w:val="20"/>
          <w:szCs w:val="20"/>
        </w:rPr>
      </w:pPr>
    </w:p>
    <w:sectPr w:rsidR="007E741C" w:rsidRPr="00957B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34"/>
    <w:rsid w:val="007E741C"/>
    <w:rsid w:val="00957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57B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57B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1">
    <w:name w:val="titulo1"/>
    <w:basedOn w:val="Normal"/>
    <w:rsid w:val="00957B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57B3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57B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57B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1">
    <w:name w:val="titulo1"/>
    <w:basedOn w:val="Normal"/>
    <w:rsid w:val="00957B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57B3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5182">
      <w:bodyDiv w:val="1"/>
      <w:marLeft w:val="0"/>
      <w:marRight w:val="0"/>
      <w:marTop w:val="0"/>
      <w:marBottom w:val="0"/>
      <w:divBdr>
        <w:top w:val="none" w:sz="0" w:space="0" w:color="auto"/>
        <w:left w:val="none" w:sz="0" w:space="0" w:color="auto"/>
        <w:bottom w:val="none" w:sz="0" w:space="0" w:color="auto"/>
        <w:right w:val="none" w:sz="0" w:space="0" w:color="auto"/>
      </w:divBdr>
      <w:divsChild>
        <w:div w:id="406224823">
          <w:marLeft w:val="0"/>
          <w:marRight w:val="0"/>
          <w:marTop w:val="0"/>
          <w:marBottom w:val="0"/>
          <w:divBdr>
            <w:top w:val="none" w:sz="0" w:space="0" w:color="auto"/>
            <w:left w:val="none" w:sz="0" w:space="0" w:color="auto"/>
            <w:bottom w:val="none" w:sz="0" w:space="0" w:color="auto"/>
            <w:right w:val="none" w:sz="0" w:space="0" w:color="auto"/>
          </w:divBdr>
        </w:div>
        <w:div w:id="1850409167">
          <w:marLeft w:val="0"/>
          <w:marRight w:val="0"/>
          <w:marTop w:val="0"/>
          <w:marBottom w:val="0"/>
          <w:divBdr>
            <w:top w:val="none" w:sz="0" w:space="0" w:color="auto"/>
            <w:left w:val="none" w:sz="0" w:space="0" w:color="auto"/>
            <w:bottom w:val="none" w:sz="0" w:space="0" w:color="auto"/>
            <w:right w:val="none" w:sz="0" w:space="0" w:color="auto"/>
          </w:divBdr>
        </w:div>
      </w:divsChild>
    </w:div>
    <w:div w:id="303127767">
      <w:bodyDiv w:val="1"/>
      <w:marLeft w:val="0"/>
      <w:marRight w:val="0"/>
      <w:marTop w:val="0"/>
      <w:marBottom w:val="0"/>
      <w:divBdr>
        <w:top w:val="none" w:sz="0" w:space="0" w:color="auto"/>
        <w:left w:val="none" w:sz="0" w:space="0" w:color="auto"/>
        <w:bottom w:val="none" w:sz="0" w:space="0" w:color="auto"/>
        <w:right w:val="none" w:sz="0" w:space="0" w:color="auto"/>
      </w:divBdr>
      <w:divsChild>
        <w:div w:id="1349336018">
          <w:marLeft w:val="0"/>
          <w:marRight w:val="0"/>
          <w:marTop w:val="0"/>
          <w:marBottom w:val="0"/>
          <w:divBdr>
            <w:top w:val="none" w:sz="0" w:space="0" w:color="auto"/>
            <w:left w:val="none" w:sz="0" w:space="0" w:color="auto"/>
            <w:bottom w:val="single" w:sz="12" w:space="1" w:color="auto"/>
            <w:right w:val="none" w:sz="0" w:space="0" w:color="auto"/>
          </w:divBdr>
        </w:div>
        <w:div w:id="1885174496">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242</Pages>
  <Words>83060</Words>
  <Characters>456834</Characters>
  <Application>Microsoft Office Word</Application>
  <DocSecurity>0</DocSecurity>
  <Lines>3806</Lines>
  <Paragraphs>1077</Paragraphs>
  <ScaleCrop>false</ScaleCrop>
  <Company/>
  <LinksUpToDate>false</LinksUpToDate>
  <CharactersWithSpaces>538817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2019-04-30T17:54:00Z</dcterms:created>
  <dcterms:modified xsi:type="dcterms:W3CDTF">2019-04-30T17:55:00Z</dcterms:modified>
</cp:coreProperties>
</file>