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462CD">
      <w:pPr>
        <w:jc w:val="center"/>
        <w:rPr>
          <w:rFonts w:hint="default" w:ascii="Verdana" w:hAnsi="Verdana"/>
          <w:b/>
          <w:color w:val="0000FF"/>
          <w:sz w:val="24"/>
          <w:szCs w:val="24"/>
          <w:rtl w:val="0"/>
        </w:rPr>
      </w:pPr>
      <w:r>
        <w:rPr>
          <w:rFonts w:hint="default" w:ascii="Verdana" w:hAnsi="Verdana"/>
          <w:b/>
          <w:color w:val="0000FF"/>
          <w:sz w:val="24"/>
          <w:szCs w:val="24"/>
          <w:rtl w:val="0"/>
        </w:rPr>
        <w:t>DECRETO por el que se reforma y adiciona la fracción XII del Apartado A del artículo 123 de la Constitución Política de los Estados Unidos Mexicanos, en materia de vivienda para las personas trabajadoras.</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02</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diciembre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271CE6DB">
      <w:pPr>
        <w:jc w:val="both"/>
        <w:rPr>
          <w:rFonts w:hint="default"/>
          <w:b/>
          <w:color w:val="2F2F2F"/>
          <w:sz w:val="18"/>
          <w:szCs w:val="18"/>
          <w:rtl w:val="0"/>
        </w:rPr>
      </w:pPr>
      <w:r>
        <w:rPr>
          <w:rFonts w:hint="default"/>
          <w:b/>
          <w:color w:val="2F2F2F"/>
          <w:sz w:val="18"/>
          <w:szCs w:val="18"/>
          <w:rtl w:val="0"/>
        </w:rPr>
        <w:t>Al margen un sello con el Escudo Nacional, que dice: Estados Unidos Mexicanos.- Presidencia de la República.</w:t>
      </w:r>
    </w:p>
    <w:p w14:paraId="6AF6FDC6"/>
    <w:p w14:paraId="6FCE71B1">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Presidenta de los Estados Unidos Mexicanos, a sus habitantes sabed:</w:t>
      </w:r>
    </w:p>
    <w:p w14:paraId="145513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Honorable Congreso de la Unión, se ha servido dirigirme el siguiente</w:t>
      </w:r>
    </w:p>
    <w:p w14:paraId="1DC42051">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14:paraId="622A03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6"/>
          <w:szCs w:val="16"/>
        </w:rPr>
      </w:pPr>
      <w:r>
        <w:rPr>
          <w:rFonts w:hint="default" w:ascii="Arial" w:hAnsi="Arial" w:eastAsia="SimSun" w:cs="Arial"/>
          <w:b/>
          <w:bCs/>
          <w:i w:val="0"/>
          <w:iCs w:val="0"/>
          <w:caps w:val="0"/>
          <w:color w:val="2F2F2F"/>
          <w:spacing w:val="0"/>
          <w:kern w:val="0"/>
          <w:sz w:val="16"/>
          <w:szCs w:val="16"/>
          <w:shd w:val="clear" w:fill="FFFFFF"/>
          <w:lang w:val="en-US" w:eastAsia="zh-CN" w:bidi="ar"/>
        </w:rPr>
        <w:t>"</w:t>
      </w:r>
      <w:r>
        <w:rPr>
          <w:rFonts w:hint="default" w:ascii="Arial" w:hAnsi="Arial" w:eastAsia="SimSun" w:cs="Arial"/>
          <w:i w:val="0"/>
          <w:iCs w:val="0"/>
          <w:caps w:val="0"/>
          <w:color w:val="2F2F2F"/>
          <w:spacing w:val="0"/>
          <w:kern w:val="0"/>
          <w:sz w:val="16"/>
          <w:szCs w:val="16"/>
          <w:shd w:val="clear" w:fill="FFFFFF"/>
          <w:lang w:val="en-US" w:eastAsia="zh-CN" w:bidi="ar"/>
        </w:rPr>
        <w:t>EL CONGRESO GENERAL DE LOS ESTADOS UNIDOS MEXICANOS, EN USO DE LA FACULTAD QUE LE CONFIERE EL ARTÍCULO 135 DE LA CONSTITUCIÓN POLÍTICA DE LOS ESTADOS UNIDOS MEXICANOS Y PREVIA LA APROBACIÓN DE LA MAYORÍA DE LAS HONORABLES LEGISLATURAS DE LOS ESTADOS Y DE LA CIUDAD DE MÉXICO, DECLARA REFORMADA Y ADICIONADA LA FRACCIÓN XII DEL APARTADO A DEL ARTÍCULO 123 DE LA CONSTITUCIÓN POLÍTICA DE LOS ESTADOS UNIDOS MEXICANOS, EN MATERIA DE VIVIENDA PARA LAS PERSONAS TRABAJADORAS</w:t>
      </w:r>
    </w:p>
    <w:p w14:paraId="54E741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Único.- </w:t>
      </w:r>
      <w:r>
        <w:rPr>
          <w:rFonts w:hint="default" w:ascii="Arial" w:hAnsi="Arial" w:eastAsia="SimSun" w:cs="Arial"/>
          <w:i w:val="0"/>
          <w:iCs w:val="0"/>
          <w:caps w:val="0"/>
          <w:color w:val="2F2F2F"/>
          <w:spacing w:val="0"/>
          <w:kern w:val="0"/>
          <w:sz w:val="18"/>
          <w:szCs w:val="18"/>
          <w:shd w:val="clear" w:fill="FFFFFF"/>
          <w:lang w:val="en-US" w:eastAsia="zh-CN" w:bidi="ar"/>
        </w:rPr>
        <w:t>Se reforman los párrafos primero y actual segundo y, se adicionan los párrafos segundo, cuarto y quinto, recorriéndose los subsecuentes en su orden, a la fracción XII del Apartado A del artículo 123 de la Constitución Política de los Estados Unidos Mexicanos, para quedar como sigue:</w:t>
      </w:r>
    </w:p>
    <w:p w14:paraId="4C6A3A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123. ...</w:t>
      </w:r>
    </w:p>
    <w:p w14:paraId="55CCE9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78B1E696">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42E5547E">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XI. ...</w:t>
      </w:r>
    </w:p>
    <w:p w14:paraId="41A672BC">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Toda empresa agrícola, industrial, minera o de cualquier otra clase de trabajo, estará obligada, según lo determinen las leyes reglamentarias a proporcionar a sus personas trabajadoras viviendas adecuadas. Esta obligación se cumplirá mediante las aportaciones que las empresas hagan a un fondo nacional de la vivienda a fin de constituir depósitos en favor de sus personas trabajadoras.</w:t>
      </w:r>
    </w:p>
    <w:p w14:paraId="680B19F3">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fondo establecerá un sistema de vivienda con orientación social para las personas trabajadoras derechohabientes que permita obtener crédito barato y suficiente para su adquisición o mejora; también podrá adquirir suelo y construir vivienda, en los términos que fije la ley.</w:t>
      </w:r>
    </w:p>
    <w:p w14:paraId="498C2AA5">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Se considera de utilidad social la expedición de una ley para la creación de un organismo integrado por representantes del Gobierno Federal, de las personas trabajadoras y empleadoras, que administre los recursos del fondo nacional de la vivienda. Dicha ley regulará las formas y procedimientos conforme a los cuales las personas trabajadoras podrán acceder a los créditos y viviendas en arrendamiento social, antes mencionadas.</w:t>
      </w:r>
    </w:p>
    <w:p w14:paraId="51B87271">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ley establecerá los términos y condiciones para que las personas trabajadoras puedan acceder a las viviendas en arrendamiento social, así como al derecho de adquirirlas en propiedad. La mensualidad del arrendamiento social no podrá exceder del treinta por ciento del salario de las personas trabajadoras.</w:t>
      </w:r>
    </w:p>
    <w:p w14:paraId="1CD74FDB">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En cualquier caso, se dará preferencia de acceso a la vivienda en arrendamiento social a las personas trabajadoras que hayan aportado continuamente al fondo y no cuenten con vivienda propia. La ley preverá mecanismos para evitar discrecionalidad o injerencias arbitrarias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que limiten el acceso a este derecho.</w:t>
      </w:r>
    </w:p>
    <w:p w14:paraId="3201BE89">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82D9C71">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3A1BE13D">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572C9FD9">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XXXI. ...</w:t>
      </w:r>
    </w:p>
    <w:p w14:paraId="794253C2">
      <w:pPr>
        <w:keepNext w:val="0"/>
        <w:keepLines w:val="0"/>
        <w:widowControl/>
        <w:suppressLineNumbers w:val="0"/>
        <w:shd w:val="clear" w:fill="FFFFFF"/>
        <w:spacing w:after="101" w:afterAutospacing="0"/>
        <w:ind w:left="1008"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21274E3C">
      <w:pPr>
        <w:keepNext w:val="0"/>
        <w:keepLines w:val="0"/>
        <w:widowControl/>
        <w:suppressLineNumbers w:val="0"/>
        <w:shd w:val="clear" w:fill="FFFFFF"/>
        <w:spacing w:after="101" w:afterAutospacing="0"/>
        <w:ind w:left="144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w:t>
      </w:r>
      <w:r>
        <w:rPr>
          <w:rFonts w:hint="default" w:ascii="Arial" w:hAnsi="Arial" w:eastAsia="SimSun" w:cs="Arial"/>
          <w:i w:val="0"/>
          <w:iCs w:val="0"/>
          <w:caps w:val="0"/>
          <w:color w:val="2F2F2F"/>
          <w:spacing w:val="0"/>
          <w:kern w:val="0"/>
          <w:sz w:val="18"/>
          <w:szCs w:val="18"/>
          <w:shd w:val="clear" w:fill="FFFFFF"/>
          <w:lang w:val="en-US" w:eastAsia="zh-CN" w:bidi="ar"/>
        </w:rPr>
        <w:t>a</w:t>
      </w:r>
      <w:r>
        <w:rPr>
          <w:rFonts w:hint="default" w:ascii="Arial" w:hAnsi="Arial" w:eastAsia="SimSun" w:cs="Arial"/>
          <w:b/>
          <w:bCs/>
          <w:i w:val="0"/>
          <w:iCs w:val="0"/>
          <w:caps w:val="0"/>
          <w:color w:val="2F2F2F"/>
          <w:spacing w:val="0"/>
          <w:kern w:val="0"/>
          <w:sz w:val="18"/>
          <w:szCs w:val="18"/>
          <w:shd w:val="clear" w:fill="FFFFFF"/>
          <w:lang w:val="en-US" w:eastAsia="zh-CN" w:bidi="ar"/>
        </w:rPr>
        <w:t> XIV. ...</w:t>
      </w:r>
    </w:p>
    <w:p w14:paraId="428B6626">
      <w:pPr>
        <w:keepNext w:val="0"/>
        <w:keepLines w:val="0"/>
        <w:widowControl/>
        <w:suppressLineNumbers w:val="0"/>
        <w:shd w:val="clear" w:fill="FFFFFF"/>
        <w:spacing w:before="101" w:beforeAutospacing="0" w:after="6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Transitorios</w:t>
      </w:r>
    </w:p>
    <w:p w14:paraId="5A476083">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El presente Decreto entrará en vigor el día siguiente al de su publicación en el Diario Oficial de la Federación.</w:t>
      </w:r>
    </w:p>
    <w:p w14:paraId="7DCF6C60">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El Congreso de la Unión tendrá un plazo de ciento ochenta días naturales para realizar las adecuaciones que resulten necesarias a la Ley del Instituto del Fondo Nacional de la Vivienda para los Trabajadores.</w:t>
      </w:r>
    </w:p>
    <w:p w14:paraId="5EBE97F6">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 </w:t>
      </w:r>
      <w:r>
        <w:rPr>
          <w:rFonts w:hint="default" w:ascii="Arial" w:hAnsi="Arial" w:eastAsia="SimSun" w:cs="Arial"/>
          <w:i w:val="0"/>
          <w:iCs w:val="0"/>
          <w:caps w:val="0"/>
          <w:color w:val="2F2F2F"/>
          <w:spacing w:val="0"/>
          <w:kern w:val="0"/>
          <w:sz w:val="18"/>
          <w:szCs w:val="18"/>
          <w:shd w:val="clear" w:fill="FFFFFF"/>
          <w:lang w:val="en-US" w:eastAsia="zh-CN" w:bidi="ar"/>
        </w:rPr>
        <w:t>Con el objeto de reivindicar la orientación social del Instituto, en un periodo no mayor a ciento ochenta días naturales deberá implementarse un programa de eficiencia operativa que permita hacer una reducción de costos del Instituto del Fondo Nacional de la Vivienda para los Trabajadores.</w:t>
      </w:r>
    </w:p>
    <w:p w14:paraId="6FB002AC">
      <w:pPr>
        <w:keepNext w:val="0"/>
        <w:keepLines w:val="0"/>
        <w:widowControl/>
        <w:suppressLineNumbers w:val="0"/>
        <w:shd w:val="clear" w:fill="FFFFFF"/>
        <w:spacing w:after="6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26 de noviembre de 2024.- Sen. Gerardo Fernández Noroña, Presidente.- Dip. Sergio Carlos Gutiérrez Luna, Presidente.- Sen. Verónica Noemí Camino Farjat, Secretaria.- Dip. Julieta Villalpando Riquelme, Secretaria.- Rúbricas.</w:t>
      </w:r>
      <w:r>
        <w:rPr>
          <w:rFonts w:hint="default" w:ascii="Arial" w:hAnsi="Arial" w:eastAsia="SimSun" w:cs="Arial"/>
          <w:b/>
          <w:bCs/>
          <w:i w:val="0"/>
          <w:iCs w:val="0"/>
          <w:caps w:val="0"/>
          <w:color w:val="2F2F2F"/>
          <w:spacing w:val="0"/>
          <w:kern w:val="0"/>
          <w:sz w:val="18"/>
          <w:szCs w:val="18"/>
          <w:shd w:val="clear" w:fill="FFFFFF"/>
          <w:lang w:val="en-US" w:eastAsia="zh-CN" w:bidi="ar"/>
        </w:rPr>
        <w:t>"</w:t>
      </w:r>
    </w:p>
    <w:p w14:paraId="6167FB3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 de diciembre de 2024.- </w:t>
      </w:r>
      <w:r>
        <w:rPr>
          <w:rFonts w:hint="default" w:ascii="Arial" w:hAnsi="Arial" w:eastAsia="SimSun" w:cs="Arial"/>
          <w:b/>
          <w:bCs/>
          <w:i w:val="0"/>
          <w:iCs w:val="0"/>
          <w:caps w:val="0"/>
          <w:color w:val="2F2F2F"/>
          <w:spacing w:val="0"/>
          <w:kern w:val="0"/>
          <w:sz w:val="18"/>
          <w:szCs w:val="18"/>
          <w:shd w:val="clear" w:fill="FFFFFF"/>
          <w:lang w:val="en-US" w:eastAsia="zh-CN" w:bidi="ar"/>
        </w:rPr>
        <w:t>Claudia Sheinbaum Pardo</w:t>
      </w:r>
      <w:r>
        <w:rPr>
          <w:rFonts w:hint="default" w:ascii="Arial" w:hAnsi="Arial" w:eastAsia="SimSun" w:cs="Arial"/>
          <w:i w:val="0"/>
          <w:iCs w:val="0"/>
          <w:caps w:val="0"/>
          <w:color w:val="2F2F2F"/>
          <w:spacing w:val="0"/>
          <w:kern w:val="0"/>
          <w:sz w:val="18"/>
          <w:szCs w:val="18"/>
          <w:shd w:val="clear" w:fill="FFFFFF"/>
          <w:lang w:val="en-US" w:eastAsia="zh-CN" w:bidi="ar"/>
        </w:rPr>
        <w:t>, Presidenta de los Estados Unidos Mexicanos.- Rúbrica.- Lcda. </w:t>
      </w:r>
      <w:r>
        <w:rPr>
          <w:rFonts w:hint="default" w:ascii="Arial" w:hAnsi="Arial" w:eastAsia="SimSun" w:cs="Arial"/>
          <w:b/>
          <w:bCs/>
          <w:i w:val="0"/>
          <w:iCs w:val="0"/>
          <w:caps w:val="0"/>
          <w:color w:val="2F2F2F"/>
          <w:spacing w:val="0"/>
          <w:kern w:val="0"/>
          <w:sz w:val="18"/>
          <w:szCs w:val="18"/>
          <w:shd w:val="clear" w:fill="FFFFFF"/>
          <w:lang w:val="en-US" w:eastAsia="zh-CN" w:bidi="ar"/>
        </w:rPr>
        <w:t>Rosa Icela Rodríguez Velázquez</w:t>
      </w:r>
      <w:r>
        <w:rPr>
          <w:rFonts w:hint="default" w:ascii="Arial" w:hAnsi="Arial" w:eastAsia="SimSun" w:cs="Arial"/>
          <w:i w:val="0"/>
          <w:iCs w:val="0"/>
          <w:caps w:val="0"/>
          <w:color w:val="2F2F2F"/>
          <w:spacing w:val="0"/>
          <w:kern w:val="0"/>
          <w:sz w:val="18"/>
          <w:szCs w:val="18"/>
          <w:shd w:val="clear" w:fill="FFFFFF"/>
          <w:lang w:val="en-US" w:eastAsia="zh-CN" w:bidi="ar"/>
        </w:rPr>
        <w:t>, Secretaria de Gobernación.- Rúbrica.</w:t>
      </w:r>
    </w:p>
    <w:p w14:paraId="4F275D7D"/>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6D1F75"/>
    <w:rsid w:val="516D1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2024-12-03T14:45:00Z</dcterms:created>
  <dc:creator>Nancy.escutia</dc:creator>
  <cp:lastModifiedBy>Nancy.escutia</cp:lastModifiedBy>
  <dcterms:modified xsi:type="dcterms:W3CDTF">2024-12-03T14:48:00Z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2058-12.2.0.18911</vt:lpwstr>
  </property>
  <property fmtid="{D5CDD505-2E9C-101B-9397-08002B2CF9AE}" pid="3" name="ICV">
    <vt:lpwstr>12C86F8123784951993B0858789A4D0E_11</vt:lpwstr>
  </property>
</Properties>
</file>