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1E5" w:rsidRDefault="001861E5" w:rsidP="001861E5">
      <w:pPr>
        <w:jc w:val="center"/>
        <w:rPr>
          <w:rFonts w:ascii="Verdana" w:hAnsi="Verdana"/>
          <w:b/>
          <w:bCs/>
          <w:color w:val="4F81BD" w:themeColor="accent1"/>
          <w:szCs w:val="20"/>
        </w:rPr>
      </w:pPr>
      <w:r>
        <w:rPr>
          <w:rFonts w:ascii="Verdana" w:hAnsi="Verdana"/>
          <w:b/>
          <w:bCs/>
          <w:color w:val="4F81BD" w:themeColor="accent1"/>
          <w:szCs w:val="20"/>
        </w:rPr>
        <w:t>Acuerdo</w:t>
      </w:r>
      <w:r w:rsidRPr="001861E5">
        <w:rPr>
          <w:rFonts w:ascii="Verdana" w:hAnsi="Verdana"/>
          <w:b/>
          <w:bCs/>
          <w:color w:val="4F81BD" w:themeColor="accent1"/>
          <w:szCs w:val="20"/>
        </w:rPr>
        <w:t> General 25/2020 del Pleno del Consejo de la Judicatura Federal, que reforma el similar 21/2020, relativo a la reanudación de plazos y al regreso escalonado en los Órganos Jurisdiccionales ante la contingencia por el virus COVID-19, con relación al periodo de vigencia.</w:t>
      </w:r>
    </w:p>
    <w:p w:rsidR="001861E5" w:rsidRPr="001861E5" w:rsidRDefault="001861E5" w:rsidP="001861E5">
      <w:pPr>
        <w:jc w:val="center"/>
        <w:rPr>
          <w:rFonts w:ascii="Verdana" w:hAnsi="Verdana"/>
          <w:b/>
          <w:bCs/>
          <w:color w:val="4F81BD" w:themeColor="accent1"/>
          <w:szCs w:val="20"/>
        </w:rPr>
      </w:pPr>
      <w:r>
        <w:rPr>
          <w:rFonts w:ascii="Verdana" w:hAnsi="Verdana"/>
          <w:b/>
          <w:bCs/>
          <w:color w:val="4F81BD" w:themeColor="accent1"/>
          <w:szCs w:val="20"/>
        </w:rPr>
        <w:t>(DOF 29 de octubre de 2020)</w:t>
      </w:r>
    </w:p>
    <w:p w:rsidR="001861E5" w:rsidRPr="001861E5" w:rsidRDefault="001861E5" w:rsidP="001861E5">
      <w:pPr>
        <w:rPr>
          <w:rFonts w:ascii="Verdana" w:hAnsi="Verdana"/>
          <w:b/>
          <w:bCs/>
          <w:sz w:val="20"/>
          <w:szCs w:val="20"/>
        </w:rPr>
      </w:pPr>
      <w:r w:rsidRPr="001861E5">
        <w:rPr>
          <w:rFonts w:ascii="Verdana" w:hAnsi="Verdana"/>
          <w:b/>
          <w:bCs/>
          <w:sz w:val="20"/>
          <w:szCs w:val="20"/>
        </w:rPr>
        <w:t>Al margen un sello con el Escudo Nacional, que dice: Estados Unidos Mexicanos.- Consejo de la Judicatura Federal.- Secretaría Ejecutiva del Pleno.</w:t>
      </w:r>
    </w:p>
    <w:p w:rsidR="001861E5" w:rsidRPr="001861E5" w:rsidRDefault="001861E5" w:rsidP="001861E5">
      <w:pPr>
        <w:rPr>
          <w:rFonts w:ascii="Verdana" w:hAnsi="Verdana"/>
          <w:sz w:val="20"/>
          <w:szCs w:val="20"/>
        </w:rPr>
      </w:pPr>
      <w:r w:rsidRPr="001861E5">
        <w:rPr>
          <w:rFonts w:ascii="Verdana" w:hAnsi="Verdana"/>
          <w:sz w:val="20"/>
          <w:szCs w:val="20"/>
        </w:rPr>
        <w:t>ACUERDO GENERAL 25/2020, DEL PLENO DEL CONSEJO DE LA JUDICATURA FEDERAL, QUE REFORMA EL SIMILAR 21/202</w:t>
      </w:r>
      <w:bookmarkStart w:id="0" w:name="_GoBack"/>
      <w:bookmarkEnd w:id="0"/>
      <w:r w:rsidRPr="001861E5">
        <w:rPr>
          <w:rFonts w:ascii="Verdana" w:hAnsi="Verdana"/>
          <w:sz w:val="20"/>
          <w:szCs w:val="20"/>
        </w:rPr>
        <w:t>0, RELATIVO A LA REANUDACIÓN DE PLAZOS Y AL REGRESO ESCALONADO EN LOS ÓRGANOS JURISDICCIONALES ANTE LA CONTINGENCIA POR EL VIRUS COVID-19, CON RELACIÓN AL PERÍODO DE VIGENCIA.</w:t>
      </w:r>
    </w:p>
    <w:p w:rsidR="001861E5" w:rsidRPr="001861E5" w:rsidRDefault="001861E5" w:rsidP="001861E5">
      <w:pPr>
        <w:rPr>
          <w:rFonts w:ascii="Verdana" w:hAnsi="Verdana"/>
          <w:b/>
          <w:bCs/>
          <w:sz w:val="20"/>
          <w:szCs w:val="20"/>
        </w:rPr>
      </w:pPr>
      <w:r w:rsidRPr="001861E5">
        <w:rPr>
          <w:rFonts w:ascii="Verdana" w:hAnsi="Verdana"/>
          <w:b/>
          <w:bCs/>
          <w:sz w:val="20"/>
          <w:szCs w:val="20"/>
        </w:rPr>
        <w:t>CONSIDERANDO</w:t>
      </w:r>
    </w:p>
    <w:p w:rsidR="001861E5" w:rsidRPr="001861E5" w:rsidRDefault="001861E5" w:rsidP="001861E5">
      <w:pPr>
        <w:rPr>
          <w:rFonts w:ascii="Verdana" w:hAnsi="Verdana"/>
          <w:sz w:val="20"/>
          <w:szCs w:val="20"/>
        </w:rPr>
      </w:pPr>
      <w:r w:rsidRPr="001861E5">
        <w:rPr>
          <w:rFonts w:ascii="Verdana" w:hAnsi="Verdana"/>
          <w:b/>
          <w:bCs/>
          <w:sz w:val="20"/>
          <w:szCs w:val="20"/>
        </w:rPr>
        <w:t>PRIMERO.</w:t>
      </w:r>
      <w:r w:rsidRPr="001861E5">
        <w:rPr>
          <w:rFonts w:ascii="Verdana" w:hAnsi="Verdana"/>
          <w:sz w:val="20"/>
          <w:szCs w:val="20"/>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68 de la Ley Orgánica del Poder Judicial de la Federación;</w:t>
      </w:r>
    </w:p>
    <w:p w:rsidR="001861E5" w:rsidRPr="001861E5" w:rsidRDefault="001861E5" w:rsidP="001861E5">
      <w:pPr>
        <w:rPr>
          <w:rFonts w:ascii="Verdana" w:hAnsi="Verdana"/>
          <w:sz w:val="20"/>
          <w:szCs w:val="20"/>
        </w:rPr>
      </w:pPr>
      <w:r w:rsidRPr="001861E5">
        <w:rPr>
          <w:rFonts w:ascii="Verdana" w:hAnsi="Verdana"/>
          <w:b/>
          <w:bCs/>
          <w:sz w:val="20"/>
          <w:szCs w:val="20"/>
        </w:rPr>
        <w:t>SEGUNDO.</w:t>
      </w:r>
      <w:r w:rsidRPr="001861E5">
        <w:rPr>
          <w:rFonts w:ascii="Verdana" w:hAnsi="Verdana"/>
          <w:sz w:val="20"/>
          <w:szCs w:val="20"/>
        </w:rPr>
        <w:t> De conformidad con el artículo 100 constitucional, primer párrafo, el Consejo de la Judicatura Federal es un órgano del Poder Judicial de la Federación con independencia técnica, de gestión y para emitir sus resoluciones;</w:t>
      </w:r>
    </w:p>
    <w:p w:rsidR="001861E5" w:rsidRPr="001861E5" w:rsidRDefault="001861E5" w:rsidP="001861E5">
      <w:pPr>
        <w:rPr>
          <w:rFonts w:ascii="Verdana" w:hAnsi="Verdana"/>
          <w:sz w:val="20"/>
          <w:szCs w:val="20"/>
        </w:rPr>
      </w:pPr>
      <w:r w:rsidRPr="001861E5">
        <w:rPr>
          <w:rFonts w:ascii="Verdana" w:hAnsi="Verdana"/>
          <w:b/>
          <w:bCs/>
          <w:sz w:val="20"/>
          <w:szCs w:val="20"/>
        </w:rPr>
        <w:t>TERCERO.</w:t>
      </w:r>
      <w:r w:rsidRPr="001861E5">
        <w:rPr>
          <w:rFonts w:ascii="Verdana" w:hAnsi="Verdana"/>
          <w:sz w:val="20"/>
          <w:szCs w:val="20"/>
        </w:rPr>
        <w:t> Es facultad del Consejo de la Judicatura Federal emitir acuerdos generales para el adecuado ejercicio de sus funciones, de conformidad con lo previsto en los artículos 100 de la Constitución Política de los Estados Unidos Mexicanos y 81, fracción II, de la Ley Orgánica del Poder Judicial de la Federación;</w:t>
      </w:r>
    </w:p>
    <w:p w:rsidR="001861E5" w:rsidRPr="001861E5" w:rsidRDefault="001861E5" w:rsidP="001861E5">
      <w:pPr>
        <w:rPr>
          <w:rFonts w:ascii="Verdana" w:hAnsi="Verdana"/>
          <w:sz w:val="20"/>
          <w:szCs w:val="20"/>
        </w:rPr>
      </w:pPr>
      <w:r w:rsidRPr="001861E5">
        <w:rPr>
          <w:rFonts w:ascii="Verdana" w:hAnsi="Verdana"/>
          <w:b/>
          <w:bCs/>
          <w:sz w:val="20"/>
          <w:szCs w:val="20"/>
        </w:rPr>
        <w:t>CUARTO.</w:t>
      </w:r>
      <w:r w:rsidRPr="001861E5">
        <w:rPr>
          <w:rFonts w:ascii="Verdana" w:hAnsi="Verdana"/>
          <w:sz w:val="20"/>
          <w:szCs w:val="20"/>
        </w:rPr>
        <w:t xml:space="preserve"> El 11 de marzo de 2020 la Organización Mundial de la Salud declaró que el coronavirus SARS-CoV2 y la enfermedad COVID-19 debían calificarse como una </w:t>
      </w:r>
      <w:proofErr w:type="gramStart"/>
      <w:r w:rsidRPr="001861E5">
        <w:rPr>
          <w:rFonts w:ascii="Verdana" w:hAnsi="Verdana"/>
          <w:sz w:val="20"/>
          <w:szCs w:val="20"/>
        </w:rPr>
        <w:t>pandemia</w:t>
      </w:r>
      <w:proofErr w:type="gramEnd"/>
      <w:r w:rsidRPr="001861E5">
        <w:rPr>
          <w:rFonts w:ascii="Verdana" w:hAnsi="Verdana"/>
          <w:sz w:val="20"/>
          <w:szCs w:val="20"/>
        </w:rPr>
        <w:t>, razón por la cual se hizo "un llamamiento a los países para que adopten medidas urgentes y agresivas";</w:t>
      </w:r>
    </w:p>
    <w:p w:rsidR="001861E5" w:rsidRPr="001861E5" w:rsidRDefault="001861E5" w:rsidP="001861E5">
      <w:pPr>
        <w:rPr>
          <w:rFonts w:ascii="Verdana" w:hAnsi="Verdana"/>
          <w:sz w:val="20"/>
          <w:szCs w:val="20"/>
        </w:rPr>
      </w:pPr>
      <w:r w:rsidRPr="001861E5">
        <w:rPr>
          <w:rFonts w:ascii="Verdana" w:hAnsi="Verdana"/>
          <w:b/>
          <w:bCs/>
          <w:sz w:val="20"/>
          <w:szCs w:val="20"/>
        </w:rPr>
        <w:t>QUINTO.</w:t>
      </w:r>
      <w:r w:rsidRPr="001861E5">
        <w:rPr>
          <w:rFonts w:ascii="Verdana" w:hAnsi="Verdana"/>
          <w:sz w:val="20"/>
          <w:szCs w:val="20"/>
        </w:rPr>
        <w:t> En el ámbito del Poder Ejecutivo Federal, el Presidente Constitucional de los Estados Unidos Mexicanos, el Consejo de Salubridad General y el Secretario de Salud han emitido diversos acuerdos para hacer frente a la epidemia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1861E5" w:rsidRPr="001861E5" w:rsidRDefault="001861E5" w:rsidP="001861E5">
      <w:pPr>
        <w:rPr>
          <w:rFonts w:ascii="Verdana" w:hAnsi="Verdana"/>
          <w:sz w:val="20"/>
          <w:szCs w:val="20"/>
        </w:rPr>
      </w:pPr>
      <w:r w:rsidRPr="001861E5">
        <w:rPr>
          <w:rFonts w:ascii="Verdana" w:hAnsi="Verdana"/>
          <w:b/>
          <w:bCs/>
          <w:sz w:val="20"/>
          <w:szCs w:val="20"/>
        </w:rPr>
        <w:t>SEXTO.</w:t>
      </w:r>
      <w:r w:rsidRPr="001861E5">
        <w:rPr>
          <w:rFonts w:ascii="Verdana" w:hAnsi="Verdana"/>
          <w:sz w:val="20"/>
          <w:szCs w:val="20"/>
        </w:rPr>
        <w:t xml:space="preserve"> En respuesta al brote del virus COVID-19 y partiendo de las mejores prácticas en la materia, especialmente las derivadas de recomendaciones de la Organización </w:t>
      </w:r>
      <w:r w:rsidRPr="001861E5">
        <w:rPr>
          <w:rFonts w:ascii="Verdana" w:hAnsi="Verdana"/>
          <w:sz w:val="20"/>
          <w:szCs w:val="20"/>
        </w:rPr>
        <w:lastRenderedPageBreak/>
        <w:t>Mundial de la Salud, el Consejo de la Judicatura Federal ha emitido diversos Acuerdos Generales mediante los cuales ha adoptado medidas preventivas para la protección de sus servidoras y servidores públicos y de las personas justiciables en general, así como acciones para promover y vigilar su cumplimiento en los centros de trabajo, todo ello atendiendo a las distintas etapas de la pandemia y procurando que los órganos a su cargo continúen prestando el servicio público de impartición de justicia sin interrupciones;</w:t>
      </w:r>
    </w:p>
    <w:p w:rsidR="001861E5" w:rsidRPr="001861E5" w:rsidRDefault="001861E5" w:rsidP="001861E5">
      <w:pPr>
        <w:rPr>
          <w:rFonts w:ascii="Verdana" w:hAnsi="Verdana"/>
          <w:sz w:val="20"/>
          <w:szCs w:val="20"/>
        </w:rPr>
      </w:pPr>
      <w:r w:rsidRPr="001861E5">
        <w:rPr>
          <w:rFonts w:ascii="Verdana" w:hAnsi="Verdana"/>
          <w:b/>
          <w:bCs/>
          <w:sz w:val="20"/>
          <w:szCs w:val="20"/>
        </w:rPr>
        <w:t>SÉPTIMO.</w:t>
      </w:r>
      <w:r w:rsidRPr="001861E5">
        <w:rPr>
          <w:rFonts w:ascii="Verdana" w:hAnsi="Verdana"/>
          <w:sz w:val="20"/>
          <w:szCs w:val="20"/>
        </w:rPr>
        <w:t> El 28 de julio de 2020 el Pleno del Consejo emitió el Acuerdo General 21/2020 del Pleno del Consejo de la Judicatura Federal, relativo a la reanudación de plazos y al regreso escalonado en los órganos jurisdiccionales ante la contingencia por el virus COVID-19, a fin de reanudar en su totalidad las actividades jurisdiccionales dentro del Poder Judicial de la Federación, en tanto se garantiza la continuidad de las medidas tendientes a evitar la concentración de personas y la propagación del virus Covid-19, del 3 de agosto al 31 de octubre de 2020;</w:t>
      </w:r>
    </w:p>
    <w:p w:rsidR="001861E5" w:rsidRPr="001861E5" w:rsidRDefault="001861E5" w:rsidP="001861E5">
      <w:pPr>
        <w:rPr>
          <w:rFonts w:ascii="Verdana" w:hAnsi="Verdana"/>
          <w:sz w:val="20"/>
          <w:szCs w:val="20"/>
        </w:rPr>
      </w:pPr>
      <w:r w:rsidRPr="001861E5">
        <w:rPr>
          <w:rFonts w:ascii="Verdana" w:hAnsi="Verdana"/>
          <w:b/>
          <w:bCs/>
          <w:sz w:val="20"/>
          <w:szCs w:val="20"/>
        </w:rPr>
        <w:t>OCTAVO.</w:t>
      </w:r>
      <w:r w:rsidRPr="001861E5">
        <w:rPr>
          <w:rFonts w:ascii="Verdana" w:hAnsi="Verdana"/>
          <w:sz w:val="20"/>
          <w:szCs w:val="20"/>
        </w:rPr>
        <w:t> Es una realidad que la pandemia subsiste como un peligro para la salud de todas y todos, de modo que la reactivación no se realiza en un contexto de "normalidad". Adicionalmente, el esquema implementado conforme a lo descrito en el Considerando anterior ha permitido el restablecimiento total en las actividades de impartición de justicia e incluso ha permitido la atención a las personas justiciables. Así, la persistencia del riesgo sanitario aunado a la operatividad del esquema implementado hace imperante que subsistan las medidas de sana distancia y reducción de la movilidad necesarias para enfrentar la contingencia, mientras se insiste en la utilización de tecnologías de la información y de las comunicaciones, el trabajo a distancia y el máximo aprovechamiento de las capacidades productivas de los órganos jurisdiccionales. Consecuentemente, resulta necesario ampliar la vigencia del citado Acuerdo General 21/2020 a efecto de dar continuidad a las acciones y medidas preventivas adoptadas por el Consejo de la Judicatura Federal, en el contexto de la contingencia sanitaria; y</w:t>
      </w:r>
    </w:p>
    <w:p w:rsidR="001861E5" w:rsidRPr="001861E5" w:rsidRDefault="001861E5" w:rsidP="001861E5">
      <w:pPr>
        <w:rPr>
          <w:rFonts w:ascii="Verdana" w:hAnsi="Verdana"/>
          <w:sz w:val="20"/>
          <w:szCs w:val="20"/>
        </w:rPr>
      </w:pPr>
      <w:r w:rsidRPr="001861E5">
        <w:rPr>
          <w:rFonts w:ascii="Verdana" w:hAnsi="Verdana"/>
          <w:sz w:val="20"/>
          <w:szCs w:val="20"/>
        </w:rPr>
        <w:t> </w:t>
      </w:r>
    </w:p>
    <w:p w:rsidR="001861E5" w:rsidRPr="001861E5" w:rsidRDefault="001861E5" w:rsidP="001861E5">
      <w:pPr>
        <w:rPr>
          <w:rFonts w:ascii="Verdana" w:hAnsi="Verdana"/>
          <w:sz w:val="20"/>
          <w:szCs w:val="20"/>
        </w:rPr>
      </w:pPr>
      <w:r w:rsidRPr="001861E5">
        <w:rPr>
          <w:rFonts w:ascii="Verdana" w:hAnsi="Verdana"/>
          <w:b/>
          <w:bCs/>
          <w:sz w:val="20"/>
          <w:szCs w:val="20"/>
        </w:rPr>
        <w:t>NOVENO.</w:t>
      </w:r>
      <w:r w:rsidRPr="001861E5">
        <w:rPr>
          <w:rFonts w:ascii="Verdana" w:hAnsi="Verdana"/>
          <w:sz w:val="20"/>
          <w:szCs w:val="20"/>
        </w:rPr>
        <w:t> Es importante subrayar que el esquema que se implementó mediante el Acuerdo General cuya ampliación del plazo se plantea, permitió</w:t>
      </w:r>
      <w:r w:rsidRPr="001861E5">
        <w:rPr>
          <w:rFonts w:ascii="Verdana" w:hAnsi="Verdana"/>
          <w:b/>
          <w:bCs/>
          <w:sz w:val="20"/>
          <w:szCs w:val="20"/>
        </w:rPr>
        <w:t> </w:t>
      </w:r>
      <w:r w:rsidRPr="001861E5">
        <w:rPr>
          <w:rFonts w:ascii="Verdana" w:hAnsi="Verdana"/>
          <w:sz w:val="20"/>
          <w:szCs w:val="20"/>
        </w:rPr>
        <w:t xml:space="preserve">abandonar las guardias para la atención de casos urgentes y, en consecuencia, reanudar los plazos y términos procesales, y reactivar la recepción, radicación y tramitación de promociones presentadas físicamente, así como el desahogo de diligencias que requieran la presencia de las partes. No obstante, fueron adoptadas diversas medidas para controlar la presencia física en los inmuebles del Poder Judicial de la Federación, como la fijación de porcentajes máximos de asistencia para el personal jurisdiccional y su escalonamiento en turnos y horarios; la recepción de promociones físicas mediante buzones judiciales; la habilitación de oficialías de partes comunes a varios órganos jurisdiccionales; el control de asistencia de personas justiciables y sus representantes y autorizados mediante un programa para la generación de citas; el uso de herramientas tecnológicas para </w:t>
      </w:r>
      <w:proofErr w:type="spellStart"/>
      <w:r w:rsidRPr="001861E5">
        <w:rPr>
          <w:rFonts w:ascii="Verdana" w:hAnsi="Verdana"/>
          <w:sz w:val="20"/>
          <w:szCs w:val="20"/>
        </w:rPr>
        <w:t>eficientar</w:t>
      </w:r>
      <w:proofErr w:type="spellEnd"/>
      <w:r w:rsidRPr="001861E5">
        <w:rPr>
          <w:rFonts w:ascii="Verdana" w:hAnsi="Verdana"/>
          <w:sz w:val="20"/>
          <w:szCs w:val="20"/>
        </w:rPr>
        <w:t xml:space="preserve"> la labor jurisdiccional; y la </w:t>
      </w:r>
      <w:r w:rsidRPr="001861E5">
        <w:rPr>
          <w:rFonts w:ascii="Verdana" w:hAnsi="Verdana"/>
          <w:sz w:val="20"/>
          <w:szCs w:val="20"/>
        </w:rPr>
        <w:lastRenderedPageBreak/>
        <w:t>continuidad del trabajo a distancia como eje rector en la prestación del servicio público de impartición de justicia.</w:t>
      </w:r>
    </w:p>
    <w:p w:rsidR="001861E5" w:rsidRPr="001861E5" w:rsidRDefault="001861E5" w:rsidP="001861E5">
      <w:pPr>
        <w:rPr>
          <w:rFonts w:ascii="Verdana" w:hAnsi="Verdana"/>
          <w:sz w:val="20"/>
          <w:szCs w:val="20"/>
        </w:rPr>
      </w:pPr>
      <w:r w:rsidRPr="001861E5">
        <w:rPr>
          <w:rFonts w:ascii="Verdana" w:hAnsi="Verdana"/>
          <w:sz w:val="20"/>
          <w:szCs w:val="20"/>
        </w:rPr>
        <w:t>Como complemento, se ha mantenido la apertura total a la tramitación de casos bajo el esquema de "juicio en línea", referido a los expedientes en los que las partes actúan desde el Portal de Servicios en Línea y en los que la tramitación electrónica se erija como el eje principal.</w:t>
      </w:r>
    </w:p>
    <w:p w:rsidR="001861E5" w:rsidRPr="001861E5" w:rsidRDefault="001861E5" w:rsidP="001861E5">
      <w:pPr>
        <w:rPr>
          <w:rFonts w:ascii="Verdana" w:hAnsi="Verdana"/>
          <w:sz w:val="20"/>
          <w:szCs w:val="20"/>
        </w:rPr>
      </w:pPr>
      <w:r w:rsidRPr="001861E5">
        <w:rPr>
          <w:rFonts w:ascii="Verdana" w:hAnsi="Verdana"/>
          <w:sz w:val="20"/>
          <w:szCs w:val="20"/>
        </w:rPr>
        <w:t>Por lo anterior, con fundamento en los párrafos primero y séptimo del artículo 100 de la Constitución Política de los Estados Unidos Mexicanos, en los artículos 68 y 81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1861E5" w:rsidRPr="001861E5" w:rsidRDefault="001861E5" w:rsidP="001861E5">
      <w:pPr>
        <w:rPr>
          <w:rFonts w:ascii="Verdana" w:hAnsi="Verdana"/>
          <w:b/>
          <w:bCs/>
          <w:sz w:val="20"/>
          <w:szCs w:val="20"/>
        </w:rPr>
      </w:pPr>
      <w:r w:rsidRPr="001861E5">
        <w:rPr>
          <w:rFonts w:ascii="Verdana" w:hAnsi="Verdana"/>
          <w:b/>
          <w:bCs/>
          <w:sz w:val="20"/>
          <w:szCs w:val="20"/>
        </w:rPr>
        <w:t>ACUERDO</w:t>
      </w:r>
    </w:p>
    <w:p w:rsidR="001861E5" w:rsidRPr="001861E5" w:rsidRDefault="001861E5" w:rsidP="001861E5">
      <w:pPr>
        <w:rPr>
          <w:rFonts w:ascii="Verdana" w:hAnsi="Verdana"/>
          <w:sz w:val="20"/>
          <w:szCs w:val="20"/>
        </w:rPr>
      </w:pPr>
      <w:r w:rsidRPr="001861E5">
        <w:rPr>
          <w:rFonts w:ascii="Verdana" w:hAnsi="Verdana"/>
          <w:b/>
          <w:bCs/>
          <w:sz w:val="20"/>
          <w:szCs w:val="20"/>
        </w:rPr>
        <w:t>ARTÍCULO ÚNICO.</w:t>
      </w:r>
      <w:r w:rsidRPr="001861E5">
        <w:rPr>
          <w:rFonts w:ascii="Verdana" w:hAnsi="Verdana"/>
          <w:sz w:val="20"/>
          <w:szCs w:val="20"/>
        </w:rPr>
        <w:t> Se reforman los artículos 1 y 15 del Acuerdo General 21/2020, del Pleno del Consejo de la Judicatura Federal, relativo a la reanudación de plazos y al regreso escalonado en los órganos jurisdiccionales ante la contingencia por el virus COVID-19, para quedar como sigue:</w:t>
      </w:r>
    </w:p>
    <w:p w:rsidR="001861E5" w:rsidRPr="001861E5" w:rsidRDefault="001861E5" w:rsidP="001861E5">
      <w:pPr>
        <w:rPr>
          <w:rFonts w:ascii="Verdana" w:hAnsi="Verdana"/>
          <w:sz w:val="20"/>
          <w:szCs w:val="20"/>
        </w:rPr>
      </w:pPr>
      <w:r w:rsidRPr="001861E5">
        <w:rPr>
          <w:rFonts w:ascii="Verdana" w:hAnsi="Verdana"/>
          <w:b/>
          <w:bCs/>
          <w:sz w:val="20"/>
          <w:szCs w:val="20"/>
        </w:rPr>
        <w:t>"Artículo 1. Vigencia.</w:t>
      </w:r>
      <w:r w:rsidRPr="001861E5">
        <w:rPr>
          <w:rFonts w:ascii="Verdana" w:hAnsi="Verdana"/>
          <w:sz w:val="20"/>
          <w:szCs w:val="20"/>
        </w:rPr>
        <w:t> Con el objetivo de reanudar en su totalidad las actividades jurisdiccionales dentro del Poder Judicial de la Federación (en adelante "PJF"), mientras se garantiza la continuidad de las medidas tendientes a evitar la concentración de personas y la propagación del virus Covid-19, del 3 de agosto de 2020 al 15 de enero de 2021, la actividad jurisdiccional se sujetará a las reglas establecidas en el presente Acuerdo.</w:t>
      </w:r>
    </w:p>
    <w:p w:rsidR="001861E5" w:rsidRPr="001861E5" w:rsidRDefault="001861E5" w:rsidP="001861E5">
      <w:pPr>
        <w:rPr>
          <w:rFonts w:ascii="Verdana" w:hAnsi="Verdana"/>
          <w:sz w:val="20"/>
          <w:szCs w:val="20"/>
        </w:rPr>
      </w:pPr>
      <w:r w:rsidRPr="001861E5">
        <w:rPr>
          <w:rFonts w:ascii="Verdana" w:hAnsi="Verdana"/>
          <w:b/>
          <w:bCs/>
          <w:sz w:val="20"/>
          <w:szCs w:val="20"/>
        </w:rPr>
        <w:t>Artículo 15. Turnos y horarios escalonados para el trabajo presencial.</w:t>
      </w:r>
      <w:r w:rsidRPr="001861E5">
        <w:rPr>
          <w:rFonts w:ascii="Verdana" w:hAnsi="Verdana"/>
          <w:sz w:val="20"/>
          <w:szCs w:val="20"/>
        </w:rPr>
        <w:t> Las jornadas presenciales de todos los órganos jurisdiccionales a cargo del Consejo de la Judicatura Federal serán de seis horas. Como medida para evitar la concentración del personal, los órganos de cada edificio se dividirán hasta en ocho grupos, repartidos en dos turnos, cada uno de los cuales, a su vez, tendrá cuatro horarios de entrada y salida. Es importante enfatizar que el horario resulta aplicable al órgano jurisdiccional en su totalidad.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276"/>
        <w:gridCol w:w="1590"/>
        <w:gridCol w:w="2208"/>
        <w:gridCol w:w="2208"/>
      </w:tblGrid>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b/>
                <w:bCs/>
                <w:sz w:val="20"/>
                <w:szCs w:val="20"/>
              </w:rPr>
              <w:t>Grupo</w:t>
            </w:r>
          </w:p>
        </w:tc>
        <w:tc>
          <w:tcPr>
            <w:tcW w:w="159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b/>
                <w:bCs/>
                <w:sz w:val="20"/>
                <w:szCs w:val="20"/>
              </w:rPr>
              <w:t>Turno</w:t>
            </w:r>
          </w:p>
        </w:tc>
        <w:tc>
          <w:tcPr>
            <w:tcW w:w="22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b/>
                <w:bCs/>
                <w:sz w:val="20"/>
                <w:szCs w:val="20"/>
              </w:rPr>
              <w:t>Hora de entrada</w:t>
            </w:r>
          </w:p>
        </w:tc>
        <w:tc>
          <w:tcPr>
            <w:tcW w:w="2208"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b/>
                <w:bCs/>
                <w:sz w:val="20"/>
                <w:szCs w:val="20"/>
              </w:rPr>
              <w:t>Hora de salida</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Matutino</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7:45</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13:45</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2</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61E5" w:rsidRPr="001861E5" w:rsidRDefault="001861E5" w:rsidP="001861E5">
            <w:pPr>
              <w:rPr>
                <w:rFonts w:ascii="Verdana" w:hAnsi="Verdana"/>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8:30</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14:30</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3</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61E5" w:rsidRPr="001861E5" w:rsidRDefault="001861E5" w:rsidP="001861E5">
            <w:pPr>
              <w:rPr>
                <w:rFonts w:ascii="Verdana" w:hAnsi="Verdana"/>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9:15</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15:15</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4</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61E5" w:rsidRPr="001861E5" w:rsidRDefault="001861E5" w:rsidP="001861E5">
            <w:pPr>
              <w:rPr>
                <w:rFonts w:ascii="Verdana" w:hAnsi="Verdana"/>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10:00</w:t>
            </w:r>
          </w:p>
        </w:tc>
        <w:tc>
          <w:tcPr>
            <w:tcW w:w="220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16:00</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5</w:t>
            </w:r>
          </w:p>
        </w:tc>
        <w:tc>
          <w:tcPr>
            <w:tcW w:w="1590" w:type="dxa"/>
            <w:vMerge w:val="restart"/>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Vespertino</w:t>
            </w: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12:30</w:t>
            </w: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18:30</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lastRenderedPageBreak/>
              <w:t>6</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61E5" w:rsidRPr="001861E5" w:rsidRDefault="001861E5" w:rsidP="001861E5">
            <w:pPr>
              <w:rPr>
                <w:rFonts w:ascii="Verdana" w:hAnsi="Verdana"/>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13:15</w:t>
            </w: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19:15</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7</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61E5" w:rsidRPr="001861E5" w:rsidRDefault="001861E5" w:rsidP="001861E5">
            <w:pPr>
              <w:rPr>
                <w:rFonts w:ascii="Verdana" w:hAnsi="Verdana"/>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14:00</w:t>
            </w: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20:00</w:t>
            </w:r>
          </w:p>
        </w:tc>
      </w:tr>
      <w:tr w:rsidR="001861E5" w:rsidRPr="001861E5" w:rsidTr="001861E5">
        <w:tc>
          <w:tcPr>
            <w:tcW w:w="1276"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8</w:t>
            </w:r>
          </w:p>
        </w:tc>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861E5" w:rsidRPr="001861E5" w:rsidRDefault="001861E5" w:rsidP="001861E5">
            <w:pPr>
              <w:rPr>
                <w:rFonts w:ascii="Verdana" w:hAnsi="Verdana"/>
                <w:sz w:val="20"/>
                <w:szCs w:val="20"/>
              </w:rPr>
            </w:pP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14:45</w:t>
            </w:r>
          </w:p>
        </w:tc>
        <w:tc>
          <w:tcPr>
            <w:tcW w:w="2208" w:type="dxa"/>
            <w:tcBorders>
              <w:top w:val="single" w:sz="4" w:space="0" w:color="000000"/>
              <w:left w:val="single" w:sz="4" w:space="0" w:color="000000"/>
              <w:bottom w:val="single" w:sz="4" w:space="0" w:color="000000"/>
              <w:right w:val="single" w:sz="4" w:space="0" w:color="000000"/>
            </w:tcBorders>
            <w:shd w:val="clear" w:color="auto" w:fill="FFF2CC"/>
            <w:tcMar>
              <w:top w:w="0" w:type="dxa"/>
              <w:left w:w="108" w:type="dxa"/>
              <w:bottom w:w="0" w:type="dxa"/>
              <w:right w:w="108" w:type="dxa"/>
            </w:tcMar>
            <w:vAlign w:val="center"/>
            <w:hideMark/>
          </w:tcPr>
          <w:p w:rsidR="001861E5" w:rsidRPr="001861E5" w:rsidRDefault="001861E5" w:rsidP="001861E5">
            <w:pPr>
              <w:rPr>
                <w:rFonts w:ascii="Verdana" w:hAnsi="Verdana"/>
                <w:sz w:val="20"/>
                <w:szCs w:val="20"/>
              </w:rPr>
            </w:pPr>
            <w:r w:rsidRPr="001861E5">
              <w:rPr>
                <w:rFonts w:ascii="Verdana" w:hAnsi="Verdana"/>
                <w:sz w:val="20"/>
                <w:szCs w:val="20"/>
              </w:rPr>
              <w:t>20:45</w:t>
            </w:r>
          </w:p>
        </w:tc>
      </w:tr>
    </w:tbl>
    <w:p w:rsidR="001861E5" w:rsidRPr="001861E5" w:rsidRDefault="001861E5" w:rsidP="001861E5">
      <w:pPr>
        <w:rPr>
          <w:rFonts w:ascii="Verdana" w:hAnsi="Verdana"/>
          <w:sz w:val="20"/>
          <w:szCs w:val="20"/>
        </w:rPr>
      </w:pPr>
      <w:r w:rsidRPr="001861E5">
        <w:rPr>
          <w:rFonts w:ascii="Verdana" w:hAnsi="Verdana"/>
          <w:sz w:val="20"/>
          <w:szCs w:val="20"/>
        </w:rPr>
        <w:t> </w:t>
      </w:r>
    </w:p>
    <w:p w:rsidR="001861E5" w:rsidRPr="001861E5" w:rsidRDefault="001861E5" w:rsidP="001861E5">
      <w:pPr>
        <w:rPr>
          <w:rFonts w:ascii="Verdana" w:hAnsi="Verdana"/>
          <w:sz w:val="20"/>
          <w:szCs w:val="20"/>
        </w:rPr>
      </w:pPr>
      <w:r w:rsidRPr="001861E5">
        <w:rPr>
          <w:rFonts w:ascii="Verdana" w:hAnsi="Verdana"/>
          <w:sz w:val="20"/>
          <w:szCs w:val="20"/>
        </w:rPr>
        <w:t>En el Anexo 1 del presente Acuerdo se definirán, a propuesta de la Secretaría Ejecutiva de Creación de Nuevos Órganos, los grupos a los que pertenece cada órgano jurisdiccional, lo cual implica la asignación de</w:t>
      </w:r>
    </w:p>
    <w:p w:rsidR="001861E5" w:rsidRPr="001861E5" w:rsidRDefault="001861E5" w:rsidP="001861E5">
      <w:pPr>
        <w:rPr>
          <w:rFonts w:ascii="Verdana" w:hAnsi="Verdana"/>
          <w:sz w:val="20"/>
          <w:szCs w:val="20"/>
        </w:rPr>
      </w:pPr>
      <w:proofErr w:type="gramStart"/>
      <w:r w:rsidRPr="001861E5">
        <w:rPr>
          <w:rFonts w:ascii="Verdana" w:hAnsi="Verdana"/>
          <w:sz w:val="20"/>
          <w:szCs w:val="20"/>
        </w:rPr>
        <w:t>un</w:t>
      </w:r>
      <w:proofErr w:type="gramEnd"/>
      <w:r w:rsidRPr="001861E5">
        <w:rPr>
          <w:rFonts w:ascii="Verdana" w:hAnsi="Verdana"/>
          <w:sz w:val="20"/>
          <w:szCs w:val="20"/>
        </w:rPr>
        <w:t xml:space="preserve"> turno y horario inamovible.</w:t>
      </w:r>
      <w:r w:rsidRPr="001861E5">
        <w:rPr>
          <w:rFonts w:ascii="Verdana" w:hAnsi="Verdana"/>
          <w:b/>
          <w:bCs/>
          <w:sz w:val="20"/>
          <w:szCs w:val="20"/>
        </w:rPr>
        <w:t>"</w:t>
      </w:r>
    </w:p>
    <w:p w:rsidR="001861E5" w:rsidRPr="001861E5" w:rsidRDefault="001861E5" w:rsidP="001861E5">
      <w:pPr>
        <w:rPr>
          <w:rFonts w:ascii="Verdana" w:hAnsi="Verdana"/>
          <w:b/>
          <w:bCs/>
          <w:sz w:val="20"/>
          <w:szCs w:val="20"/>
        </w:rPr>
      </w:pPr>
      <w:r w:rsidRPr="001861E5">
        <w:rPr>
          <w:rFonts w:ascii="Verdana" w:hAnsi="Verdana"/>
          <w:b/>
          <w:bCs/>
          <w:sz w:val="20"/>
          <w:szCs w:val="20"/>
        </w:rPr>
        <w:t>TRANSITORIOS</w:t>
      </w:r>
    </w:p>
    <w:p w:rsidR="001861E5" w:rsidRPr="001861E5" w:rsidRDefault="001861E5" w:rsidP="001861E5">
      <w:pPr>
        <w:rPr>
          <w:rFonts w:ascii="Verdana" w:hAnsi="Verdana"/>
          <w:sz w:val="20"/>
          <w:szCs w:val="20"/>
        </w:rPr>
      </w:pPr>
      <w:r w:rsidRPr="001861E5">
        <w:rPr>
          <w:rFonts w:ascii="Verdana" w:hAnsi="Verdana"/>
          <w:b/>
          <w:bCs/>
          <w:sz w:val="20"/>
          <w:szCs w:val="20"/>
        </w:rPr>
        <w:t>PRIMERO.</w:t>
      </w:r>
      <w:r w:rsidRPr="001861E5">
        <w:rPr>
          <w:rFonts w:ascii="Verdana" w:hAnsi="Verdana"/>
          <w:sz w:val="20"/>
          <w:szCs w:val="20"/>
        </w:rPr>
        <w:t> El presente Acuerdo entrará en vigor el 1 de noviembre de 2020.</w:t>
      </w:r>
    </w:p>
    <w:p w:rsidR="001861E5" w:rsidRPr="001861E5" w:rsidRDefault="001861E5" w:rsidP="001861E5">
      <w:pPr>
        <w:rPr>
          <w:rFonts w:ascii="Verdana" w:hAnsi="Verdana"/>
          <w:sz w:val="20"/>
          <w:szCs w:val="20"/>
        </w:rPr>
      </w:pPr>
      <w:r w:rsidRPr="001861E5">
        <w:rPr>
          <w:rFonts w:ascii="Verdana" w:hAnsi="Verdana"/>
          <w:b/>
          <w:bCs/>
          <w:sz w:val="20"/>
          <w:szCs w:val="20"/>
        </w:rPr>
        <w:t>SEGUNDO.</w:t>
      </w:r>
      <w:r w:rsidRPr="001861E5">
        <w:rPr>
          <w:rFonts w:ascii="Verdana" w:hAnsi="Verdana"/>
          <w:sz w:val="20"/>
          <w:szCs w:val="20"/>
        </w:rPr>
        <w:t> Publíquese en el Diario Oficial de la Federación, en el Semanario Judicial de la Federación y su Gaceta, en el Sistema Integral de Seguimiento de Expedientes, así como en el portal del Consejo de la Judicatura Federal en intranet e internet.</w:t>
      </w:r>
    </w:p>
    <w:p w:rsidR="001861E5" w:rsidRPr="001861E5" w:rsidRDefault="001861E5" w:rsidP="001861E5">
      <w:pPr>
        <w:rPr>
          <w:rFonts w:ascii="Verdana" w:hAnsi="Verdana"/>
          <w:sz w:val="20"/>
          <w:szCs w:val="20"/>
        </w:rPr>
      </w:pPr>
      <w:r w:rsidRPr="001861E5">
        <w:rPr>
          <w:rFonts w:ascii="Verdana" w:hAnsi="Verdana"/>
          <w:b/>
          <w:bCs/>
          <w:sz w:val="20"/>
          <w:szCs w:val="20"/>
        </w:rPr>
        <w:t>TERCERO.</w:t>
      </w:r>
      <w:r w:rsidRPr="001861E5">
        <w:rPr>
          <w:rFonts w:ascii="Verdana" w:hAnsi="Verdana"/>
          <w:sz w:val="20"/>
          <w:szCs w:val="20"/>
        </w:rPr>
        <w:t> Se mantiene el periodo de receso previsto para la segunda quincena de diciembre de 2020, que comprende del 16 de diciembre de 2020 al 3 de enero de 2021.</w:t>
      </w:r>
    </w:p>
    <w:p w:rsidR="001861E5" w:rsidRPr="001861E5" w:rsidRDefault="001861E5" w:rsidP="001861E5">
      <w:pPr>
        <w:rPr>
          <w:rFonts w:ascii="Verdana" w:hAnsi="Verdana"/>
          <w:sz w:val="20"/>
          <w:szCs w:val="20"/>
        </w:rPr>
      </w:pPr>
      <w:r w:rsidRPr="001861E5">
        <w:rPr>
          <w:rFonts w:ascii="Verdana" w:hAnsi="Verdana"/>
          <w:b/>
          <w:bCs/>
          <w:sz w:val="20"/>
          <w:szCs w:val="20"/>
        </w:rPr>
        <w:t>CUARTO.</w:t>
      </w:r>
      <w:r w:rsidRPr="001861E5">
        <w:rPr>
          <w:rFonts w:ascii="Verdana" w:hAnsi="Verdana"/>
          <w:sz w:val="20"/>
          <w:szCs w:val="20"/>
        </w:rPr>
        <w:t> A partir del 1 de noviembre de 2020, el turno de guardia para la recepción de asuntos en días y horas inhábiles se regirá conforme al sistema de turno de guardias de juzgados de distrito publicado en el enlace: </w:t>
      </w:r>
      <w:r w:rsidRPr="001861E5">
        <w:rPr>
          <w:rFonts w:ascii="Verdana" w:hAnsi="Verdana"/>
          <w:sz w:val="20"/>
          <w:szCs w:val="20"/>
          <w:u w:val="single"/>
        </w:rPr>
        <w:t>http://www.cjf.gob.mx/sistemaTurnosGuardias.htm</w:t>
      </w:r>
    </w:p>
    <w:p w:rsidR="001861E5" w:rsidRPr="001861E5" w:rsidRDefault="001861E5" w:rsidP="001861E5">
      <w:pPr>
        <w:rPr>
          <w:rFonts w:ascii="Verdana" w:hAnsi="Verdana"/>
          <w:sz w:val="20"/>
          <w:szCs w:val="20"/>
        </w:rPr>
      </w:pPr>
      <w:r w:rsidRPr="001861E5">
        <w:rPr>
          <w:rFonts w:ascii="Verdana" w:hAnsi="Verdana"/>
          <w:b/>
          <w:bCs/>
          <w:sz w:val="20"/>
          <w:szCs w:val="20"/>
        </w:rPr>
        <w:t>QUINTO.</w:t>
      </w:r>
      <w:r w:rsidRPr="001861E5">
        <w:rPr>
          <w:rFonts w:ascii="Verdana" w:hAnsi="Verdana"/>
          <w:sz w:val="20"/>
          <w:szCs w:val="20"/>
        </w:rPr>
        <w:t> Se mantiene la distribución de los órganos jurisdiccionales en los ocho grupos generados según la división en turnos matutino y vespertino, y de cada uno en cuatro bloques de horarios, conforme al Anexo 1 del Acuerdo General 21/2020, cuyo contenido está disponible en el siguiente enlace: </w:t>
      </w:r>
      <w:r w:rsidRPr="001861E5">
        <w:rPr>
          <w:rFonts w:ascii="Verdana" w:hAnsi="Verdana"/>
          <w:sz w:val="20"/>
          <w:szCs w:val="20"/>
          <w:u w:val="single"/>
        </w:rPr>
        <w:t>https://www.cjf.gob.mx/2020/distribucionOJ.pdf</w:t>
      </w:r>
    </w:p>
    <w:p w:rsidR="001861E5" w:rsidRPr="001861E5" w:rsidRDefault="001861E5" w:rsidP="001861E5">
      <w:pPr>
        <w:rPr>
          <w:rFonts w:ascii="Verdana" w:hAnsi="Verdana"/>
          <w:sz w:val="20"/>
          <w:szCs w:val="20"/>
        </w:rPr>
      </w:pPr>
      <w:r w:rsidRPr="001861E5">
        <w:rPr>
          <w:rFonts w:ascii="Verdana" w:hAnsi="Verdana"/>
          <w:sz w:val="20"/>
          <w:szCs w:val="20"/>
        </w:rPr>
        <w:t>EL LICENCIADO </w:t>
      </w:r>
      <w:r w:rsidRPr="001861E5">
        <w:rPr>
          <w:rFonts w:ascii="Verdana" w:hAnsi="Verdana"/>
          <w:b/>
          <w:bCs/>
          <w:sz w:val="20"/>
          <w:szCs w:val="20"/>
        </w:rPr>
        <w:t>ARTURO GUERRERO ZAZUETA</w:t>
      </w:r>
      <w:r w:rsidRPr="001861E5">
        <w:rPr>
          <w:rFonts w:ascii="Verdana" w:hAnsi="Verdana"/>
          <w:sz w:val="20"/>
          <w:szCs w:val="20"/>
        </w:rPr>
        <w:t xml:space="preserve">, SECRETARIO EJECUTIVO DEL PLENO DEL CONSEJO DE LA JUDICATURA FEDERAL, CERTIFICA: Que este Acuerdo General 25/2020, del Pleno del Consejo de la Judicatura Federal, que reforma el similar 21/2020, relativo a la reanudación de plazos y al regreso escalonado en los órganos jurisdiccionales ante la contingencia por el virus COVID-19, con relación al período de vigencia, fue aprobado por el Pleno del propio Consejo, en sesión ordinaria de 21 de octubre de 2020, por unanimidad de votos de los señores Consejeros: Presidente Ministro Arturo Zaldívar Lelo de Larrea, Bernardo </w:t>
      </w:r>
      <w:proofErr w:type="spellStart"/>
      <w:r w:rsidRPr="001861E5">
        <w:rPr>
          <w:rFonts w:ascii="Verdana" w:hAnsi="Verdana"/>
          <w:sz w:val="20"/>
          <w:szCs w:val="20"/>
        </w:rPr>
        <w:t>Bátiz</w:t>
      </w:r>
      <w:proofErr w:type="spellEnd"/>
      <w:r w:rsidRPr="001861E5">
        <w:rPr>
          <w:rFonts w:ascii="Verdana" w:hAnsi="Verdana"/>
          <w:sz w:val="20"/>
          <w:szCs w:val="20"/>
        </w:rPr>
        <w:t xml:space="preserve"> Vázquez, Jorge Antonio Cruz Ramos, Eva Verónica de </w:t>
      </w:r>
      <w:proofErr w:type="spellStart"/>
      <w:r w:rsidRPr="001861E5">
        <w:rPr>
          <w:rFonts w:ascii="Verdana" w:hAnsi="Verdana"/>
          <w:sz w:val="20"/>
          <w:szCs w:val="20"/>
        </w:rPr>
        <w:t>Gyvés</w:t>
      </w:r>
      <w:proofErr w:type="spellEnd"/>
      <w:r w:rsidRPr="001861E5">
        <w:rPr>
          <w:rFonts w:ascii="Verdana" w:hAnsi="Verdana"/>
          <w:sz w:val="20"/>
          <w:szCs w:val="20"/>
        </w:rPr>
        <w:t xml:space="preserve"> Zárate, Alejandro Sergio González Bernabé y </w:t>
      </w:r>
      <w:proofErr w:type="spellStart"/>
      <w:r w:rsidRPr="001861E5">
        <w:rPr>
          <w:rFonts w:ascii="Verdana" w:hAnsi="Verdana"/>
          <w:sz w:val="20"/>
          <w:szCs w:val="20"/>
        </w:rPr>
        <w:t>Loretta</w:t>
      </w:r>
      <w:proofErr w:type="spellEnd"/>
      <w:r w:rsidRPr="001861E5">
        <w:rPr>
          <w:rFonts w:ascii="Verdana" w:hAnsi="Verdana"/>
          <w:sz w:val="20"/>
          <w:szCs w:val="20"/>
        </w:rPr>
        <w:t xml:space="preserve"> Ortiz </w:t>
      </w:r>
      <w:proofErr w:type="spellStart"/>
      <w:r w:rsidRPr="001861E5">
        <w:rPr>
          <w:rFonts w:ascii="Verdana" w:hAnsi="Verdana"/>
          <w:sz w:val="20"/>
          <w:szCs w:val="20"/>
        </w:rPr>
        <w:t>Ahlf</w:t>
      </w:r>
      <w:proofErr w:type="spellEnd"/>
      <w:r w:rsidRPr="001861E5">
        <w:rPr>
          <w:rFonts w:ascii="Verdana" w:hAnsi="Verdana"/>
          <w:sz w:val="20"/>
          <w:szCs w:val="20"/>
        </w:rPr>
        <w:t>.- Ciudad de México, a 21 de octubre de 2020.- Conste.- Rúbrica.</w:t>
      </w:r>
    </w:p>
    <w:p w:rsidR="00643FF5" w:rsidRPr="001861E5" w:rsidRDefault="001861E5">
      <w:pPr>
        <w:rPr>
          <w:rFonts w:ascii="Verdana" w:hAnsi="Verdana"/>
          <w:sz w:val="20"/>
          <w:szCs w:val="20"/>
        </w:rPr>
      </w:pPr>
    </w:p>
    <w:sectPr w:rsidR="00643FF5" w:rsidRPr="001861E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1E5"/>
    <w:rsid w:val="001861E5"/>
    <w:rsid w:val="00280F9D"/>
    <w:rsid w:val="007A4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342276">
      <w:bodyDiv w:val="1"/>
      <w:marLeft w:val="0"/>
      <w:marRight w:val="0"/>
      <w:marTop w:val="0"/>
      <w:marBottom w:val="0"/>
      <w:divBdr>
        <w:top w:val="none" w:sz="0" w:space="0" w:color="auto"/>
        <w:left w:val="none" w:sz="0" w:space="0" w:color="auto"/>
        <w:bottom w:val="none" w:sz="0" w:space="0" w:color="auto"/>
        <w:right w:val="none" w:sz="0" w:space="0" w:color="auto"/>
      </w:divBdr>
      <w:divsChild>
        <w:div w:id="1951354869">
          <w:marLeft w:val="0"/>
          <w:marRight w:val="0"/>
          <w:marTop w:val="0"/>
          <w:marBottom w:val="80"/>
          <w:divBdr>
            <w:top w:val="none" w:sz="0" w:space="0" w:color="auto"/>
            <w:left w:val="none" w:sz="0" w:space="0" w:color="auto"/>
            <w:bottom w:val="none" w:sz="0" w:space="0" w:color="auto"/>
            <w:right w:val="none" w:sz="0" w:space="0" w:color="auto"/>
          </w:divBdr>
        </w:div>
        <w:div w:id="2043819494">
          <w:marLeft w:val="0"/>
          <w:marRight w:val="0"/>
          <w:marTop w:val="101"/>
          <w:marBottom w:val="80"/>
          <w:divBdr>
            <w:top w:val="none" w:sz="0" w:space="0" w:color="auto"/>
            <w:left w:val="none" w:sz="0" w:space="0" w:color="auto"/>
            <w:bottom w:val="none" w:sz="0" w:space="0" w:color="auto"/>
            <w:right w:val="none" w:sz="0" w:space="0" w:color="auto"/>
          </w:divBdr>
        </w:div>
        <w:div w:id="1097404896">
          <w:marLeft w:val="0"/>
          <w:marRight w:val="0"/>
          <w:marTop w:val="0"/>
          <w:marBottom w:val="80"/>
          <w:divBdr>
            <w:top w:val="none" w:sz="0" w:space="0" w:color="auto"/>
            <w:left w:val="none" w:sz="0" w:space="0" w:color="auto"/>
            <w:bottom w:val="none" w:sz="0" w:space="0" w:color="auto"/>
            <w:right w:val="none" w:sz="0" w:space="0" w:color="auto"/>
          </w:divBdr>
        </w:div>
        <w:div w:id="1155216830">
          <w:marLeft w:val="0"/>
          <w:marRight w:val="0"/>
          <w:marTop w:val="0"/>
          <w:marBottom w:val="80"/>
          <w:divBdr>
            <w:top w:val="none" w:sz="0" w:space="0" w:color="auto"/>
            <w:left w:val="none" w:sz="0" w:space="0" w:color="auto"/>
            <w:bottom w:val="none" w:sz="0" w:space="0" w:color="auto"/>
            <w:right w:val="none" w:sz="0" w:space="0" w:color="auto"/>
          </w:divBdr>
        </w:div>
        <w:div w:id="1429497714">
          <w:marLeft w:val="0"/>
          <w:marRight w:val="0"/>
          <w:marTop w:val="0"/>
          <w:marBottom w:val="80"/>
          <w:divBdr>
            <w:top w:val="none" w:sz="0" w:space="0" w:color="auto"/>
            <w:left w:val="none" w:sz="0" w:space="0" w:color="auto"/>
            <w:bottom w:val="none" w:sz="0" w:space="0" w:color="auto"/>
            <w:right w:val="none" w:sz="0" w:space="0" w:color="auto"/>
          </w:divBdr>
        </w:div>
        <w:div w:id="584729270">
          <w:marLeft w:val="0"/>
          <w:marRight w:val="0"/>
          <w:marTop w:val="0"/>
          <w:marBottom w:val="80"/>
          <w:divBdr>
            <w:top w:val="none" w:sz="0" w:space="0" w:color="auto"/>
            <w:left w:val="none" w:sz="0" w:space="0" w:color="auto"/>
            <w:bottom w:val="none" w:sz="0" w:space="0" w:color="auto"/>
            <w:right w:val="none" w:sz="0" w:space="0" w:color="auto"/>
          </w:divBdr>
        </w:div>
        <w:div w:id="1500585169">
          <w:marLeft w:val="0"/>
          <w:marRight w:val="0"/>
          <w:marTop w:val="0"/>
          <w:marBottom w:val="80"/>
          <w:divBdr>
            <w:top w:val="none" w:sz="0" w:space="0" w:color="auto"/>
            <w:left w:val="none" w:sz="0" w:space="0" w:color="auto"/>
            <w:bottom w:val="none" w:sz="0" w:space="0" w:color="auto"/>
            <w:right w:val="none" w:sz="0" w:space="0" w:color="auto"/>
          </w:divBdr>
        </w:div>
        <w:div w:id="2068525176">
          <w:marLeft w:val="0"/>
          <w:marRight w:val="0"/>
          <w:marTop w:val="0"/>
          <w:marBottom w:val="80"/>
          <w:divBdr>
            <w:top w:val="none" w:sz="0" w:space="0" w:color="auto"/>
            <w:left w:val="none" w:sz="0" w:space="0" w:color="auto"/>
            <w:bottom w:val="none" w:sz="0" w:space="0" w:color="auto"/>
            <w:right w:val="none" w:sz="0" w:space="0" w:color="auto"/>
          </w:divBdr>
        </w:div>
        <w:div w:id="14236918">
          <w:marLeft w:val="0"/>
          <w:marRight w:val="0"/>
          <w:marTop w:val="0"/>
          <w:marBottom w:val="80"/>
          <w:divBdr>
            <w:top w:val="none" w:sz="0" w:space="0" w:color="auto"/>
            <w:left w:val="none" w:sz="0" w:space="0" w:color="auto"/>
            <w:bottom w:val="none" w:sz="0" w:space="0" w:color="auto"/>
            <w:right w:val="none" w:sz="0" w:space="0" w:color="auto"/>
          </w:divBdr>
        </w:div>
        <w:div w:id="943027877">
          <w:marLeft w:val="0"/>
          <w:marRight w:val="0"/>
          <w:marTop w:val="0"/>
          <w:marBottom w:val="80"/>
          <w:divBdr>
            <w:top w:val="none" w:sz="0" w:space="0" w:color="auto"/>
            <w:left w:val="none" w:sz="0" w:space="0" w:color="auto"/>
            <w:bottom w:val="none" w:sz="0" w:space="0" w:color="auto"/>
            <w:right w:val="none" w:sz="0" w:space="0" w:color="auto"/>
          </w:divBdr>
        </w:div>
        <w:div w:id="883717394">
          <w:marLeft w:val="0"/>
          <w:marRight w:val="0"/>
          <w:marTop w:val="0"/>
          <w:marBottom w:val="101"/>
          <w:divBdr>
            <w:top w:val="none" w:sz="0" w:space="0" w:color="auto"/>
            <w:left w:val="none" w:sz="0" w:space="0" w:color="auto"/>
            <w:bottom w:val="none" w:sz="0" w:space="0" w:color="auto"/>
            <w:right w:val="none" w:sz="0" w:space="0" w:color="auto"/>
          </w:divBdr>
        </w:div>
        <w:div w:id="1428690095">
          <w:marLeft w:val="0"/>
          <w:marRight w:val="0"/>
          <w:marTop w:val="0"/>
          <w:marBottom w:val="101"/>
          <w:divBdr>
            <w:top w:val="none" w:sz="0" w:space="0" w:color="auto"/>
            <w:left w:val="none" w:sz="0" w:space="0" w:color="auto"/>
            <w:bottom w:val="none" w:sz="0" w:space="0" w:color="auto"/>
            <w:right w:val="none" w:sz="0" w:space="0" w:color="auto"/>
          </w:divBdr>
        </w:div>
        <w:div w:id="198204465">
          <w:marLeft w:val="0"/>
          <w:marRight w:val="0"/>
          <w:marTop w:val="0"/>
          <w:marBottom w:val="101"/>
          <w:divBdr>
            <w:top w:val="none" w:sz="0" w:space="0" w:color="auto"/>
            <w:left w:val="none" w:sz="0" w:space="0" w:color="auto"/>
            <w:bottom w:val="none" w:sz="0" w:space="0" w:color="auto"/>
            <w:right w:val="none" w:sz="0" w:space="0" w:color="auto"/>
          </w:divBdr>
        </w:div>
        <w:div w:id="1582719727">
          <w:marLeft w:val="0"/>
          <w:marRight w:val="0"/>
          <w:marTop w:val="0"/>
          <w:marBottom w:val="101"/>
          <w:divBdr>
            <w:top w:val="none" w:sz="0" w:space="0" w:color="auto"/>
            <w:left w:val="none" w:sz="0" w:space="0" w:color="auto"/>
            <w:bottom w:val="none" w:sz="0" w:space="0" w:color="auto"/>
            <w:right w:val="none" w:sz="0" w:space="0" w:color="auto"/>
          </w:divBdr>
        </w:div>
        <w:div w:id="420953287">
          <w:marLeft w:val="0"/>
          <w:marRight w:val="0"/>
          <w:marTop w:val="101"/>
          <w:marBottom w:val="101"/>
          <w:divBdr>
            <w:top w:val="none" w:sz="0" w:space="0" w:color="auto"/>
            <w:left w:val="none" w:sz="0" w:space="0" w:color="auto"/>
            <w:bottom w:val="none" w:sz="0" w:space="0" w:color="auto"/>
            <w:right w:val="none" w:sz="0" w:space="0" w:color="auto"/>
          </w:divBdr>
        </w:div>
        <w:div w:id="885071848">
          <w:marLeft w:val="0"/>
          <w:marRight w:val="0"/>
          <w:marTop w:val="0"/>
          <w:marBottom w:val="101"/>
          <w:divBdr>
            <w:top w:val="none" w:sz="0" w:space="0" w:color="auto"/>
            <w:left w:val="none" w:sz="0" w:space="0" w:color="auto"/>
            <w:bottom w:val="none" w:sz="0" w:space="0" w:color="auto"/>
            <w:right w:val="none" w:sz="0" w:space="0" w:color="auto"/>
          </w:divBdr>
        </w:div>
        <w:div w:id="356851476">
          <w:marLeft w:val="0"/>
          <w:marRight w:val="0"/>
          <w:marTop w:val="0"/>
          <w:marBottom w:val="101"/>
          <w:divBdr>
            <w:top w:val="none" w:sz="0" w:space="0" w:color="auto"/>
            <w:left w:val="none" w:sz="0" w:space="0" w:color="auto"/>
            <w:bottom w:val="none" w:sz="0" w:space="0" w:color="auto"/>
            <w:right w:val="none" w:sz="0" w:space="0" w:color="auto"/>
          </w:divBdr>
        </w:div>
        <w:div w:id="1519270551">
          <w:marLeft w:val="0"/>
          <w:marRight w:val="0"/>
          <w:marTop w:val="0"/>
          <w:marBottom w:val="101"/>
          <w:divBdr>
            <w:top w:val="none" w:sz="0" w:space="0" w:color="auto"/>
            <w:left w:val="none" w:sz="0" w:space="0" w:color="auto"/>
            <w:bottom w:val="none" w:sz="0" w:space="0" w:color="auto"/>
            <w:right w:val="none" w:sz="0" w:space="0" w:color="auto"/>
          </w:divBdr>
        </w:div>
        <w:div w:id="1345009941">
          <w:marLeft w:val="0"/>
          <w:marRight w:val="0"/>
          <w:marTop w:val="0"/>
          <w:marBottom w:val="101"/>
          <w:divBdr>
            <w:top w:val="none" w:sz="0" w:space="0" w:color="auto"/>
            <w:left w:val="none" w:sz="0" w:space="0" w:color="auto"/>
            <w:bottom w:val="none" w:sz="0" w:space="0" w:color="auto"/>
            <w:right w:val="none" w:sz="0" w:space="0" w:color="auto"/>
          </w:divBdr>
        </w:div>
        <w:div w:id="1722316707">
          <w:marLeft w:val="0"/>
          <w:marRight w:val="0"/>
          <w:marTop w:val="0"/>
          <w:marBottom w:val="101"/>
          <w:divBdr>
            <w:top w:val="none" w:sz="0" w:space="0" w:color="auto"/>
            <w:left w:val="none" w:sz="0" w:space="0" w:color="auto"/>
            <w:bottom w:val="none" w:sz="0" w:space="0" w:color="auto"/>
            <w:right w:val="none" w:sz="0" w:space="0" w:color="auto"/>
          </w:divBdr>
        </w:div>
        <w:div w:id="1550730109">
          <w:marLeft w:val="0"/>
          <w:marRight w:val="0"/>
          <w:marTop w:val="0"/>
          <w:marBottom w:val="101"/>
          <w:divBdr>
            <w:top w:val="none" w:sz="0" w:space="0" w:color="auto"/>
            <w:left w:val="none" w:sz="0" w:space="0" w:color="auto"/>
            <w:bottom w:val="none" w:sz="0" w:space="0" w:color="auto"/>
            <w:right w:val="none" w:sz="0" w:space="0" w:color="auto"/>
          </w:divBdr>
        </w:div>
        <w:div w:id="747112162">
          <w:marLeft w:val="0"/>
          <w:marRight w:val="0"/>
          <w:marTop w:val="0"/>
          <w:marBottom w:val="101"/>
          <w:divBdr>
            <w:top w:val="none" w:sz="0" w:space="0" w:color="auto"/>
            <w:left w:val="none" w:sz="0" w:space="0" w:color="auto"/>
            <w:bottom w:val="none" w:sz="0" w:space="0" w:color="auto"/>
            <w:right w:val="none" w:sz="0" w:space="0" w:color="auto"/>
          </w:divBdr>
        </w:div>
        <w:div w:id="255134804">
          <w:marLeft w:val="0"/>
          <w:marRight w:val="0"/>
          <w:marTop w:val="0"/>
          <w:marBottom w:val="101"/>
          <w:divBdr>
            <w:top w:val="none" w:sz="0" w:space="0" w:color="auto"/>
            <w:left w:val="none" w:sz="0" w:space="0" w:color="auto"/>
            <w:bottom w:val="none" w:sz="0" w:space="0" w:color="auto"/>
            <w:right w:val="none" w:sz="0" w:space="0" w:color="auto"/>
          </w:divBdr>
        </w:div>
        <w:div w:id="68843313">
          <w:marLeft w:val="0"/>
          <w:marRight w:val="0"/>
          <w:marTop w:val="0"/>
          <w:marBottom w:val="101"/>
          <w:divBdr>
            <w:top w:val="none" w:sz="0" w:space="0" w:color="auto"/>
            <w:left w:val="none" w:sz="0" w:space="0" w:color="auto"/>
            <w:bottom w:val="none" w:sz="0" w:space="0" w:color="auto"/>
            <w:right w:val="none" w:sz="0" w:space="0" w:color="auto"/>
          </w:divBdr>
        </w:div>
        <w:div w:id="1221819657">
          <w:marLeft w:val="0"/>
          <w:marRight w:val="0"/>
          <w:marTop w:val="0"/>
          <w:marBottom w:val="101"/>
          <w:divBdr>
            <w:top w:val="none" w:sz="0" w:space="0" w:color="auto"/>
            <w:left w:val="none" w:sz="0" w:space="0" w:color="auto"/>
            <w:bottom w:val="none" w:sz="0" w:space="0" w:color="auto"/>
            <w:right w:val="none" w:sz="0" w:space="0" w:color="auto"/>
          </w:divBdr>
        </w:div>
        <w:div w:id="1733235063">
          <w:marLeft w:val="0"/>
          <w:marRight w:val="0"/>
          <w:marTop w:val="0"/>
          <w:marBottom w:val="101"/>
          <w:divBdr>
            <w:top w:val="none" w:sz="0" w:space="0" w:color="auto"/>
            <w:left w:val="none" w:sz="0" w:space="0" w:color="auto"/>
            <w:bottom w:val="none" w:sz="0" w:space="0" w:color="auto"/>
            <w:right w:val="none" w:sz="0" w:space="0" w:color="auto"/>
          </w:divBdr>
        </w:div>
        <w:div w:id="167407807">
          <w:marLeft w:val="0"/>
          <w:marRight w:val="0"/>
          <w:marTop w:val="0"/>
          <w:marBottom w:val="101"/>
          <w:divBdr>
            <w:top w:val="none" w:sz="0" w:space="0" w:color="auto"/>
            <w:left w:val="none" w:sz="0" w:space="0" w:color="auto"/>
            <w:bottom w:val="none" w:sz="0" w:space="0" w:color="auto"/>
            <w:right w:val="none" w:sz="0" w:space="0" w:color="auto"/>
          </w:divBdr>
        </w:div>
        <w:div w:id="2070491297">
          <w:marLeft w:val="0"/>
          <w:marRight w:val="0"/>
          <w:marTop w:val="0"/>
          <w:marBottom w:val="101"/>
          <w:divBdr>
            <w:top w:val="none" w:sz="0" w:space="0" w:color="auto"/>
            <w:left w:val="none" w:sz="0" w:space="0" w:color="auto"/>
            <w:bottom w:val="none" w:sz="0" w:space="0" w:color="auto"/>
            <w:right w:val="none" w:sz="0" w:space="0" w:color="auto"/>
          </w:divBdr>
        </w:div>
        <w:div w:id="813525276">
          <w:marLeft w:val="0"/>
          <w:marRight w:val="0"/>
          <w:marTop w:val="0"/>
          <w:marBottom w:val="101"/>
          <w:divBdr>
            <w:top w:val="none" w:sz="0" w:space="0" w:color="auto"/>
            <w:left w:val="none" w:sz="0" w:space="0" w:color="auto"/>
            <w:bottom w:val="none" w:sz="0" w:space="0" w:color="auto"/>
            <w:right w:val="none" w:sz="0" w:space="0" w:color="auto"/>
          </w:divBdr>
        </w:div>
        <w:div w:id="230820311">
          <w:marLeft w:val="0"/>
          <w:marRight w:val="0"/>
          <w:marTop w:val="0"/>
          <w:marBottom w:val="101"/>
          <w:divBdr>
            <w:top w:val="none" w:sz="0" w:space="0" w:color="auto"/>
            <w:left w:val="none" w:sz="0" w:space="0" w:color="auto"/>
            <w:bottom w:val="none" w:sz="0" w:space="0" w:color="auto"/>
            <w:right w:val="none" w:sz="0" w:space="0" w:color="auto"/>
          </w:divBdr>
        </w:div>
        <w:div w:id="233517029">
          <w:marLeft w:val="0"/>
          <w:marRight w:val="0"/>
          <w:marTop w:val="0"/>
          <w:marBottom w:val="101"/>
          <w:divBdr>
            <w:top w:val="none" w:sz="0" w:space="0" w:color="auto"/>
            <w:left w:val="none" w:sz="0" w:space="0" w:color="auto"/>
            <w:bottom w:val="none" w:sz="0" w:space="0" w:color="auto"/>
            <w:right w:val="none" w:sz="0" w:space="0" w:color="auto"/>
          </w:divBdr>
        </w:div>
        <w:div w:id="2009668021">
          <w:marLeft w:val="0"/>
          <w:marRight w:val="0"/>
          <w:marTop w:val="0"/>
          <w:marBottom w:val="101"/>
          <w:divBdr>
            <w:top w:val="none" w:sz="0" w:space="0" w:color="auto"/>
            <w:left w:val="none" w:sz="0" w:space="0" w:color="auto"/>
            <w:bottom w:val="none" w:sz="0" w:space="0" w:color="auto"/>
            <w:right w:val="none" w:sz="0" w:space="0" w:color="auto"/>
          </w:divBdr>
        </w:div>
        <w:div w:id="1106929767">
          <w:marLeft w:val="0"/>
          <w:marRight w:val="0"/>
          <w:marTop w:val="0"/>
          <w:marBottom w:val="101"/>
          <w:divBdr>
            <w:top w:val="none" w:sz="0" w:space="0" w:color="auto"/>
            <w:left w:val="none" w:sz="0" w:space="0" w:color="auto"/>
            <w:bottom w:val="none" w:sz="0" w:space="0" w:color="auto"/>
            <w:right w:val="none" w:sz="0" w:space="0" w:color="auto"/>
          </w:divBdr>
        </w:div>
        <w:div w:id="1736124387">
          <w:marLeft w:val="0"/>
          <w:marRight w:val="0"/>
          <w:marTop w:val="0"/>
          <w:marBottom w:val="101"/>
          <w:divBdr>
            <w:top w:val="none" w:sz="0" w:space="0" w:color="auto"/>
            <w:left w:val="none" w:sz="0" w:space="0" w:color="auto"/>
            <w:bottom w:val="none" w:sz="0" w:space="0" w:color="auto"/>
            <w:right w:val="none" w:sz="0" w:space="0" w:color="auto"/>
          </w:divBdr>
        </w:div>
        <w:div w:id="885063829">
          <w:marLeft w:val="0"/>
          <w:marRight w:val="0"/>
          <w:marTop w:val="0"/>
          <w:marBottom w:val="101"/>
          <w:divBdr>
            <w:top w:val="none" w:sz="0" w:space="0" w:color="auto"/>
            <w:left w:val="none" w:sz="0" w:space="0" w:color="auto"/>
            <w:bottom w:val="none" w:sz="0" w:space="0" w:color="auto"/>
            <w:right w:val="none" w:sz="0" w:space="0" w:color="auto"/>
          </w:divBdr>
        </w:div>
        <w:div w:id="1330597023">
          <w:marLeft w:val="0"/>
          <w:marRight w:val="0"/>
          <w:marTop w:val="0"/>
          <w:marBottom w:val="101"/>
          <w:divBdr>
            <w:top w:val="none" w:sz="0" w:space="0" w:color="auto"/>
            <w:left w:val="none" w:sz="0" w:space="0" w:color="auto"/>
            <w:bottom w:val="none" w:sz="0" w:space="0" w:color="auto"/>
            <w:right w:val="none" w:sz="0" w:space="0" w:color="auto"/>
          </w:divBdr>
        </w:div>
        <w:div w:id="158740449">
          <w:marLeft w:val="0"/>
          <w:marRight w:val="0"/>
          <w:marTop w:val="0"/>
          <w:marBottom w:val="101"/>
          <w:divBdr>
            <w:top w:val="none" w:sz="0" w:space="0" w:color="auto"/>
            <w:left w:val="none" w:sz="0" w:space="0" w:color="auto"/>
            <w:bottom w:val="none" w:sz="0" w:space="0" w:color="auto"/>
            <w:right w:val="none" w:sz="0" w:space="0" w:color="auto"/>
          </w:divBdr>
        </w:div>
        <w:div w:id="1514153185">
          <w:marLeft w:val="0"/>
          <w:marRight w:val="0"/>
          <w:marTop w:val="0"/>
          <w:marBottom w:val="101"/>
          <w:divBdr>
            <w:top w:val="none" w:sz="0" w:space="0" w:color="auto"/>
            <w:left w:val="none" w:sz="0" w:space="0" w:color="auto"/>
            <w:bottom w:val="none" w:sz="0" w:space="0" w:color="auto"/>
            <w:right w:val="none" w:sz="0" w:space="0" w:color="auto"/>
          </w:divBdr>
        </w:div>
        <w:div w:id="1352948137">
          <w:marLeft w:val="0"/>
          <w:marRight w:val="0"/>
          <w:marTop w:val="0"/>
          <w:marBottom w:val="101"/>
          <w:divBdr>
            <w:top w:val="none" w:sz="0" w:space="0" w:color="auto"/>
            <w:left w:val="none" w:sz="0" w:space="0" w:color="auto"/>
            <w:bottom w:val="none" w:sz="0" w:space="0" w:color="auto"/>
            <w:right w:val="none" w:sz="0" w:space="0" w:color="auto"/>
          </w:divBdr>
        </w:div>
        <w:div w:id="1559516213">
          <w:marLeft w:val="0"/>
          <w:marRight w:val="0"/>
          <w:marTop w:val="0"/>
          <w:marBottom w:val="101"/>
          <w:divBdr>
            <w:top w:val="none" w:sz="0" w:space="0" w:color="auto"/>
            <w:left w:val="none" w:sz="0" w:space="0" w:color="auto"/>
            <w:bottom w:val="none" w:sz="0" w:space="0" w:color="auto"/>
            <w:right w:val="none" w:sz="0" w:space="0" w:color="auto"/>
          </w:divBdr>
        </w:div>
        <w:div w:id="122816687">
          <w:marLeft w:val="0"/>
          <w:marRight w:val="0"/>
          <w:marTop w:val="0"/>
          <w:marBottom w:val="101"/>
          <w:divBdr>
            <w:top w:val="none" w:sz="0" w:space="0" w:color="auto"/>
            <w:left w:val="none" w:sz="0" w:space="0" w:color="auto"/>
            <w:bottom w:val="none" w:sz="0" w:space="0" w:color="auto"/>
            <w:right w:val="none" w:sz="0" w:space="0" w:color="auto"/>
          </w:divBdr>
        </w:div>
        <w:div w:id="797846071">
          <w:marLeft w:val="0"/>
          <w:marRight w:val="0"/>
          <w:marTop w:val="0"/>
          <w:marBottom w:val="101"/>
          <w:divBdr>
            <w:top w:val="none" w:sz="0" w:space="0" w:color="auto"/>
            <w:left w:val="none" w:sz="0" w:space="0" w:color="auto"/>
            <w:bottom w:val="none" w:sz="0" w:space="0" w:color="auto"/>
            <w:right w:val="none" w:sz="0" w:space="0" w:color="auto"/>
          </w:divBdr>
        </w:div>
        <w:div w:id="165635934">
          <w:marLeft w:val="0"/>
          <w:marRight w:val="0"/>
          <w:marTop w:val="0"/>
          <w:marBottom w:val="101"/>
          <w:divBdr>
            <w:top w:val="none" w:sz="0" w:space="0" w:color="auto"/>
            <w:left w:val="none" w:sz="0" w:space="0" w:color="auto"/>
            <w:bottom w:val="none" w:sz="0" w:space="0" w:color="auto"/>
            <w:right w:val="none" w:sz="0" w:space="0" w:color="auto"/>
          </w:divBdr>
        </w:div>
        <w:div w:id="802430939">
          <w:marLeft w:val="0"/>
          <w:marRight w:val="0"/>
          <w:marTop w:val="0"/>
          <w:marBottom w:val="101"/>
          <w:divBdr>
            <w:top w:val="none" w:sz="0" w:space="0" w:color="auto"/>
            <w:left w:val="none" w:sz="0" w:space="0" w:color="auto"/>
            <w:bottom w:val="none" w:sz="0" w:space="0" w:color="auto"/>
            <w:right w:val="none" w:sz="0" w:space="0" w:color="auto"/>
          </w:divBdr>
        </w:div>
        <w:div w:id="860704734">
          <w:marLeft w:val="0"/>
          <w:marRight w:val="0"/>
          <w:marTop w:val="0"/>
          <w:marBottom w:val="101"/>
          <w:divBdr>
            <w:top w:val="none" w:sz="0" w:space="0" w:color="auto"/>
            <w:left w:val="none" w:sz="0" w:space="0" w:color="auto"/>
            <w:bottom w:val="none" w:sz="0" w:space="0" w:color="auto"/>
            <w:right w:val="none" w:sz="0" w:space="0" w:color="auto"/>
          </w:divBdr>
        </w:div>
        <w:div w:id="512960739">
          <w:marLeft w:val="0"/>
          <w:marRight w:val="0"/>
          <w:marTop w:val="0"/>
          <w:marBottom w:val="101"/>
          <w:divBdr>
            <w:top w:val="none" w:sz="0" w:space="0" w:color="auto"/>
            <w:left w:val="none" w:sz="0" w:space="0" w:color="auto"/>
            <w:bottom w:val="none" w:sz="0" w:space="0" w:color="auto"/>
            <w:right w:val="none" w:sz="0" w:space="0" w:color="auto"/>
          </w:divBdr>
        </w:div>
        <w:div w:id="825702586">
          <w:marLeft w:val="0"/>
          <w:marRight w:val="0"/>
          <w:marTop w:val="0"/>
          <w:marBottom w:val="101"/>
          <w:divBdr>
            <w:top w:val="none" w:sz="0" w:space="0" w:color="auto"/>
            <w:left w:val="none" w:sz="0" w:space="0" w:color="auto"/>
            <w:bottom w:val="none" w:sz="0" w:space="0" w:color="auto"/>
            <w:right w:val="none" w:sz="0" w:space="0" w:color="auto"/>
          </w:divBdr>
        </w:div>
        <w:div w:id="1386369590">
          <w:marLeft w:val="0"/>
          <w:marRight w:val="0"/>
          <w:marTop w:val="0"/>
          <w:marBottom w:val="101"/>
          <w:divBdr>
            <w:top w:val="none" w:sz="0" w:space="0" w:color="auto"/>
            <w:left w:val="none" w:sz="0" w:space="0" w:color="auto"/>
            <w:bottom w:val="none" w:sz="0" w:space="0" w:color="auto"/>
            <w:right w:val="none" w:sz="0" w:space="0" w:color="auto"/>
          </w:divBdr>
        </w:div>
        <w:div w:id="192310476">
          <w:marLeft w:val="0"/>
          <w:marRight w:val="0"/>
          <w:marTop w:val="0"/>
          <w:marBottom w:val="101"/>
          <w:divBdr>
            <w:top w:val="none" w:sz="0" w:space="0" w:color="auto"/>
            <w:left w:val="none" w:sz="0" w:space="0" w:color="auto"/>
            <w:bottom w:val="none" w:sz="0" w:space="0" w:color="auto"/>
            <w:right w:val="none" w:sz="0" w:space="0" w:color="auto"/>
          </w:divBdr>
        </w:div>
        <w:div w:id="1997688668">
          <w:marLeft w:val="0"/>
          <w:marRight w:val="0"/>
          <w:marTop w:val="0"/>
          <w:marBottom w:val="101"/>
          <w:divBdr>
            <w:top w:val="none" w:sz="0" w:space="0" w:color="auto"/>
            <w:left w:val="none" w:sz="0" w:space="0" w:color="auto"/>
            <w:bottom w:val="none" w:sz="0" w:space="0" w:color="auto"/>
            <w:right w:val="none" w:sz="0" w:space="0" w:color="auto"/>
          </w:divBdr>
        </w:div>
        <w:div w:id="657538174">
          <w:marLeft w:val="0"/>
          <w:marRight w:val="0"/>
          <w:marTop w:val="0"/>
          <w:marBottom w:val="101"/>
          <w:divBdr>
            <w:top w:val="none" w:sz="0" w:space="0" w:color="auto"/>
            <w:left w:val="none" w:sz="0" w:space="0" w:color="auto"/>
            <w:bottom w:val="none" w:sz="0" w:space="0" w:color="auto"/>
            <w:right w:val="none" w:sz="0" w:space="0" w:color="auto"/>
          </w:divBdr>
        </w:div>
        <w:div w:id="1272736429">
          <w:marLeft w:val="0"/>
          <w:marRight w:val="0"/>
          <w:marTop w:val="101"/>
          <w:marBottom w:val="101"/>
          <w:divBdr>
            <w:top w:val="none" w:sz="0" w:space="0" w:color="auto"/>
            <w:left w:val="none" w:sz="0" w:space="0" w:color="auto"/>
            <w:bottom w:val="none" w:sz="0" w:space="0" w:color="auto"/>
            <w:right w:val="none" w:sz="0" w:space="0" w:color="auto"/>
          </w:divBdr>
        </w:div>
        <w:div w:id="425461458">
          <w:marLeft w:val="0"/>
          <w:marRight w:val="0"/>
          <w:marTop w:val="0"/>
          <w:marBottom w:val="101"/>
          <w:divBdr>
            <w:top w:val="none" w:sz="0" w:space="0" w:color="auto"/>
            <w:left w:val="none" w:sz="0" w:space="0" w:color="auto"/>
            <w:bottom w:val="none" w:sz="0" w:space="0" w:color="auto"/>
            <w:right w:val="none" w:sz="0" w:space="0" w:color="auto"/>
          </w:divBdr>
        </w:div>
        <w:div w:id="628317094">
          <w:marLeft w:val="0"/>
          <w:marRight w:val="0"/>
          <w:marTop w:val="0"/>
          <w:marBottom w:val="101"/>
          <w:divBdr>
            <w:top w:val="none" w:sz="0" w:space="0" w:color="auto"/>
            <w:left w:val="none" w:sz="0" w:space="0" w:color="auto"/>
            <w:bottom w:val="none" w:sz="0" w:space="0" w:color="auto"/>
            <w:right w:val="none" w:sz="0" w:space="0" w:color="auto"/>
          </w:divBdr>
        </w:div>
        <w:div w:id="62873161">
          <w:marLeft w:val="0"/>
          <w:marRight w:val="0"/>
          <w:marTop w:val="0"/>
          <w:marBottom w:val="101"/>
          <w:divBdr>
            <w:top w:val="none" w:sz="0" w:space="0" w:color="auto"/>
            <w:left w:val="none" w:sz="0" w:space="0" w:color="auto"/>
            <w:bottom w:val="none" w:sz="0" w:space="0" w:color="auto"/>
            <w:right w:val="none" w:sz="0" w:space="0" w:color="auto"/>
          </w:divBdr>
        </w:div>
        <w:div w:id="1262034853">
          <w:marLeft w:val="0"/>
          <w:marRight w:val="0"/>
          <w:marTop w:val="0"/>
          <w:marBottom w:val="101"/>
          <w:divBdr>
            <w:top w:val="none" w:sz="0" w:space="0" w:color="auto"/>
            <w:left w:val="none" w:sz="0" w:space="0" w:color="auto"/>
            <w:bottom w:val="none" w:sz="0" w:space="0" w:color="auto"/>
            <w:right w:val="none" w:sz="0" w:space="0" w:color="auto"/>
          </w:divBdr>
        </w:div>
        <w:div w:id="2133094129">
          <w:marLeft w:val="0"/>
          <w:marRight w:val="0"/>
          <w:marTop w:val="0"/>
          <w:marBottom w:val="101"/>
          <w:divBdr>
            <w:top w:val="none" w:sz="0" w:space="0" w:color="auto"/>
            <w:left w:val="none" w:sz="0" w:space="0" w:color="auto"/>
            <w:bottom w:val="none" w:sz="0" w:space="0" w:color="auto"/>
            <w:right w:val="none" w:sz="0" w:space="0" w:color="auto"/>
          </w:divBdr>
        </w:div>
        <w:div w:id="1254313229">
          <w:marLeft w:val="0"/>
          <w:marRight w:val="0"/>
          <w:marTop w:val="0"/>
          <w:marBottom w:val="101"/>
          <w:divBdr>
            <w:top w:val="none" w:sz="0" w:space="0" w:color="auto"/>
            <w:left w:val="none" w:sz="0" w:space="0" w:color="auto"/>
            <w:bottom w:val="none" w:sz="0" w:space="0" w:color="auto"/>
            <w:right w:val="none" w:sz="0" w:space="0" w:color="auto"/>
          </w:divBdr>
        </w:div>
      </w:divsChild>
    </w:div>
    <w:div w:id="1148547117">
      <w:bodyDiv w:val="1"/>
      <w:marLeft w:val="0"/>
      <w:marRight w:val="0"/>
      <w:marTop w:val="0"/>
      <w:marBottom w:val="0"/>
      <w:divBdr>
        <w:top w:val="none" w:sz="0" w:space="0" w:color="auto"/>
        <w:left w:val="none" w:sz="0" w:space="0" w:color="auto"/>
        <w:bottom w:val="none" w:sz="0" w:space="0" w:color="auto"/>
        <w:right w:val="none" w:sz="0" w:space="0" w:color="auto"/>
      </w:divBdr>
      <w:divsChild>
        <w:div w:id="2023513541">
          <w:marLeft w:val="0"/>
          <w:marRight w:val="0"/>
          <w:marTop w:val="0"/>
          <w:marBottom w:val="80"/>
          <w:divBdr>
            <w:top w:val="none" w:sz="0" w:space="0" w:color="auto"/>
            <w:left w:val="none" w:sz="0" w:space="0" w:color="auto"/>
            <w:bottom w:val="none" w:sz="0" w:space="0" w:color="auto"/>
            <w:right w:val="none" w:sz="0" w:space="0" w:color="auto"/>
          </w:divBdr>
        </w:div>
        <w:div w:id="1768036149">
          <w:marLeft w:val="0"/>
          <w:marRight w:val="0"/>
          <w:marTop w:val="101"/>
          <w:marBottom w:val="80"/>
          <w:divBdr>
            <w:top w:val="none" w:sz="0" w:space="0" w:color="auto"/>
            <w:left w:val="none" w:sz="0" w:space="0" w:color="auto"/>
            <w:bottom w:val="none" w:sz="0" w:space="0" w:color="auto"/>
            <w:right w:val="none" w:sz="0" w:space="0" w:color="auto"/>
          </w:divBdr>
        </w:div>
        <w:div w:id="1664240007">
          <w:marLeft w:val="0"/>
          <w:marRight w:val="0"/>
          <w:marTop w:val="0"/>
          <w:marBottom w:val="80"/>
          <w:divBdr>
            <w:top w:val="none" w:sz="0" w:space="0" w:color="auto"/>
            <w:left w:val="none" w:sz="0" w:space="0" w:color="auto"/>
            <w:bottom w:val="none" w:sz="0" w:space="0" w:color="auto"/>
            <w:right w:val="none" w:sz="0" w:space="0" w:color="auto"/>
          </w:divBdr>
        </w:div>
        <w:div w:id="1548419800">
          <w:marLeft w:val="0"/>
          <w:marRight w:val="0"/>
          <w:marTop w:val="0"/>
          <w:marBottom w:val="80"/>
          <w:divBdr>
            <w:top w:val="none" w:sz="0" w:space="0" w:color="auto"/>
            <w:left w:val="none" w:sz="0" w:space="0" w:color="auto"/>
            <w:bottom w:val="none" w:sz="0" w:space="0" w:color="auto"/>
            <w:right w:val="none" w:sz="0" w:space="0" w:color="auto"/>
          </w:divBdr>
        </w:div>
        <w:div w:id="811751197">
          <w:marLeft w:val="0"/>
          <w:marRight w:val="0"/>
          <w:marTop w:val="0"/>
          <w:marBottom w:val="80"/>
          <w:divBdr>
            <w:top w:val="none" w:sz="0" w:space="0" w:color="auto"/>
            <w:left w:val="none" w:sz="0" w:space="0" w:color="auto"/>
            <w:bottom w:val="none" w:sz="0" w:space="0" w:color="auto"/>
            <w:right w:val="none" w:sz="0" w:space="0" w:color="auto"/>
          </w:divBdr>
        </w:div>
        <w:div w:id="281152521">
          <w:marLeft w:val="0"/>
          <w:marRight w:val="0"/>
          <w:marTop w:val="0"/>
          <w:marBottom w:val="80"/>
          <w:divBdr>
            <w:top w:val="none" w:sz="0" w:space="0" w:color="auto"/>
            <w:left w:val="none" w:sz="0" w:space="0" w:color="auto"/>
            <w:bottom w:val="none" w:sz="0" w:space="0" w:color="auto"/>
            <w:right w:val="none" w:sz="0" w:space="0" w:color="auto"/>
          </w:divBdr>
        </w:div>
        <w:div w:id="981882059">
          <w:marLeft w:val="0"/>
          <w:marRight w:val="0"/>
          <w:marTop w:val="0"/>
          <w:marBottom w:val="80"/>
          <w:divBdr>
            <w:top w:val="none" w:sz="0" w:space="0" w:color="auto"/>
            <w:left w:val="none" w:sz="0" w:space="0" w:color="auto"/>
            <w:bottom w:val="none" w:sz="0" w:space="0" w:color="auto"/>
            <w:right w:val="none" w:sz="0" w:space="0" w:color="auto"/>
          </w:divBdr>
        </w:div>
        <w:div w:id="2125299661">
          <w:marLeft w:val="0"/>
          <w:marRight w:val="0"/>
          <w:marTop w:val="0"/>
          <w:marBottom w:val="80"/>
          <w:divBdr>
            <w:top w:val="none" w:sz="0" w:space="0" w:color="auto"/>
            <w:left w:val="none" w:sz="0" w:space="0" w:color="auto"/>
            <w:bottom w:val="none" w:sz="0" w:space="0" w:color="auto"/>
            <w:right w:val="none" w:sz="0" w:space="0" w:color="auto"/>
          </w:divBdr>
        </w:div>
        <w:div w:id="327634700">
          <w:marLeft w:val="0"/>
          <w:marRight w:val="0"/>
          <w:marTop w:val="0"/>
          <w:marBottom w:val="80"/>
          <w:divBdr>
            <w:top w:val="none" w:sz="0" w:space="0" w:color="auto"/>
            <w:left w:val="none" w:sz="0" w:space="0" w:color="auto"/>
            <w:bottom w:val="none" w:sz="0" w:space="0" w:color="auto"/>
            <w:right w:val="none" w:sz="0" w:space="0" w:color="auto"/>
          </w:divBdr>
        </w:div>
        <w:div w:id="790707468">
          <w:marLeft w:val="0"/>
          <w:marRight w:val="0"/>
          <w:marTop w:val="0"/>
          <w:marBottom w:val="80"/>
          <w:divBdr>
            <w:top w:val="none" w:sz="0" w:space="0" w:color="auto"/>
            <w:left w:val="none" w:sz="0" w:space="0" w:color="auto"/>
            <w:bottom w:val="none" w:sz="0" w:space="0" w:color="auto"/>
            <w:right w:val="none" w:sz="0" w:space="0" w:color="auto"/>
          </w:divBdr>
        </w:div>
        <w:div w:id="277612316">
          <w:marLeft w:val="0"/>
          <w:marRight w:val="0"/>
          <w:marTop w:val="0"/>
          <w:marBottom w:val="101"/>
          <w:divBdr>
            <w:top w:val="none" w:sz="0" w:space="0" w:color="auto"/>
            <w:left w:val="none" w:sz="0" w:space="0" w:color="auto"/>
            <w:bottom w:val="none" w:sz="0" w:space="0" w:color="auto"/>
            <w:right w:val="none" w:sz="0" w:space="0" w:color="auto"/>
          </w:divBdr>
        </w:div>
        <w:div w:id="1373532104">
          <w:marLeft w:val="0"/>
          <w:marRight w:val="0"/>
          <w:marTop w:val="0"/>
          <w:marBottom w:val="101"/>
          <w:divBdr>
            <w:top w:val="none" w:sz="0" w:space="0" w:color="auto"/>
            <w:left w:val="none" w:sz="0" w:space="0" w:color="auto"/>
            <w:bottom w:val="none" w:sz="0" w:space="0" w:color="auto"/>
            <w:right w:val="none" w:sz="0" w:space="0" w:color="auto"/>
          </w:divBdr>
        </w:div>
        <w:div w:id="1789930930">
          <w:marLeft w:val="0"/>
          <w:marRight w:val="0"/>
          <w:marTop w:val="0"/>
          <w:marBottom w:val="101"/>
          <w:divBdr>
            <w:top w:val="none" w:sz="0" w:space="0" w:color="auto"/>
            <w:left w:val="none" w:sz="0" w:space="0" w:color="auto"/>
            <w:bottom w:val="none" w:sz="0" w:space="0" w:color="auto"/>
            <w:right w:val="none" w:sz="0" w:space="0" w:color="auto"/>
          </w:divBdr>
        </w:div>
        <w:div w:id="714743877">
          <w:marLeft w:val="0"/>
          <w:marRight w:val="0"/>
          <w:marTop w:val="0"/>
          <w:marBottom w:val="101"/>
          <w:divBdr>
            <w:top w:val="none" w:sz="0" w:space="0" w:color="auto"/>
            <w:left w:val="none" w:sz="0" w:space="0" w:color="auto"/>
            <w:bottom w:val="none" w:sz="0" w:space="0" w:color="auto"/>
            <w:right w:val="none" w:sz="0" w:space="0" w:color="auto"/>
          </w:divBdr>
        </w:div>
        <w:div w:id="379133998">
          <w:marLeft w:val="0"/>
          <w:marRight w:val="0"/>
          <w:marTop w:val="101"/>
          <w:marBottom w:val="101"/>
          <w:divBdr>
            <w:top w:val="none" w:sz="0" w:space="0" w:color="auto"/>
            <w:left w:val="none" w:sz="0" w:space="0" w:color="auto"/>
            <w:bottom w:val="none" w:sz="0" w:space="0" w:color="auto"/>
            <w:right w:val="none" w:sz="0" w:space="0" w:color="auto"/>
          </w:divBdr>
        </w:div>
        <w:div w:id="289551833">
          <w:marLeft w:val="0"/>
          <w:marRight w:val="0"/>
          <w:marTop w:val="0"/>
          <w:marBottom w:val="101"/>
          <w:divBdr>
            <w:top w:val="none" w:sz="0" w:space="0" w:color="auto"/>
            <w:left w:val="none" w:sz="0" w:space="0" w:color="auto"/>
            <w:bottom w:val="none" w:sz="0" w:space="0" w:color="auto"/>
            <w:right w:val="none" w:sz="0" w:space="0" w:color="auto"/>
          </w:divBdr>
        </w:div>
        <w:div w:id="1893497906">
          <w:marLeft w:val="0"/>
          <w:marRight w:val="0"/>
          <w:marTop w:val="0"/>
          <w:marBottom w:val="101"/>
          <w:divBdr>
            <w:top w:val="none" w:sz="0" w:space="0" w:color="auto"/>
            <w:left w:val="none" w:sz="0" w:space="0" w:color="auto"/>
            <w:bottom w:val="none" w:sz="0" w:space="0" w:color="auto"/>
            <w:right w:val="none" w:sz="0" w:space="0" w:color="auto"/>
          </w:divBdr>
        </w:div>
        <w:div w:id="683900012">
          <w:marLeft w:val="0"/>
          <w:marRight w:val="0"/>
          <w:marTop w:val="0"/>
          <w:marBottom w:val="101"/>
          <w:divBdr>
            <w:top w:val="none" w:sz="0" w:space="0" w:color="auto"/>
            <w:left w:val="none" w:sz="0" w:space="0" w:color="auto"/>
            <w:bottom w:val="none" w:sz="0" w:space="0" w:color="auto"/>
            <w:right w:val="none" w:sz="0" w:space="0" w:color="auto"/>
          </w:divBdr>
        </w:div>
        <w:div w:id="2056196196">
          <w:marLeft w:val="0"/>
          <w:marRight w:val="0"/>
          <w:marTop w:val="0"/>
          <w:marBottom w:val="101"/>
          <w:divBdr>
            <w:top w:val="none" w:sz="0" w:space="0" w:color="auto"/>
            <w:left w:val="none" w:sz="0" w:space="0" w:color="auto"/>
            <w:bottom w:val="none" w:sz="0" w:space="0" w:color="auto"/>
            <w:right w:val="none" w:sz="0" w:space="0" w:color="auto"/>
          </w:divBdr>
        </w:div>
        <w:div w:id="1569534320">
          <w:marLeft w:val="0"/>
          <w:marRight w:val="0"/>
          <w:marTop w:val="0"/>
          <w:marBottom w:val="101"/>
          <w:divBdr>
            <w:top w:val="none" w:sz="0" w:space="0" w:color="auto"/>
            <w:left w:val="none" w:sz="0" w:space="0" w:color="auto"/>
            <w:bottom w:val="none" w:sz="0" w:space="0" w:color="auto"/>
            <w:right w:val="none" w:sz="0" w:space="0" w:color="auto"/>
          </w:divBdr>
        </w:div>
        <w:div w:id="643973856">
          <w:marLeft w:val="0"/>
          <w:marRight w:val="0"/>
          <w:marTop w:val="0"/>
          <w:marBottom w:val="101"/>
          <w:divBdr>
            <w:top w:val="none" w:sz="0" w:space="0" w:color="auto"/>
            <w:left w:val="none" w:sz="0" w:space="0" w:color="auto"/>
            <w:bottom w:val="none" w:sz="0" w:space="0" w:color="auto"/>
            <w:right w:val="none" w:sz="0" w:space="0" w:color="auto"/>
          </w:divBdr>
        </w:div>
        <w:div w:id="372315319">
          <w:marLeft w:val="0"/>
          <w:marRight w:val="0"/>
          <w:marTop w:val="0"/>
          <w:marBottom w:val="101"/>
          <w:divBdr>
            <w:top w:val="none" w:sz="0" w:space="0" w:color="auto"/>
            <w:left w:val="none" w:sz="0" w:space="0" w:color="auto"/>
            <w:bottom w:val="none" w:sz="0" w:space="0" w:color="auto"/>
            <w:right w:val="none" w:sz="0" w:space="0" w:color="auto"/>
          </w:divBdr>
        </w:div>
        <w:div w:id="775447342">
          <w:marLeft w:val="0"/>
          <w:marRight w:val="0"/>
          <w:marTop w:val="0"/>
          <w:marBottom w:val="101"/>
          <w:divBdr>
            <w:top w:val="none" w:sz="0" w:space="0" w:color="auto"/>
            <w:left w:val="none" w:sz="0" w:space="0" w:color="auto"/>
            <w:bottom w:val="none" w:sz="0" w:space="0" w:color="auto"/>
            <w:right w:val="none" w:sz="0" w:space="0" w:color="auto"/>
          </w:divBdr>
        </w:div>
        <w:div w:id="2102987844">
          <w:marLeft w:val="0"/>
          <w:marRight w:val="0"/>
          <w:marTop w:val="0"/>
          <w:marBottom w:val="101"/>
          <w:divBdr>
            <w:top w:val="none" w:sz="0" w:space="0" w:color="auto"/>
            <w:left w:val="none" w:sz="0" w:space="0" w:color="auto"/>
            <w:bottom w:val="none" w:sz="0" w:space="0" w:color="auto"/>
            <w:right w:val="none" w:sz="0" w:space="0" w:color="auto"/>
          </w:divBdr>
        </w:div>
        <w:div w:id="564266834">
          <w:marLeft w:val="0"/>
          <w:marRight w:val="0"/>
          <w:marTop w:val="0"/>
          <w:marBottom w:val="101"/>
          <w:divBdr>
            <w:top w:val="none" w:sz="0" w:space="0" w:color="auto"/>
            <w:left w:val="none" w:sz="0" w:space="0" w:color="auto"/>
            <w:bottom w:val="none" w:sz="0" w:space="0" w:color="auto"/>
            <w:right w:val="none" w:sz="0" w:space="0" w:color="auto"/>
          </w:divBdr>
        </w:div>
        <w:div w:id="1508907779">
          <w:marLeft w:val="0"/>
          <w:marRight w:val="0"/>
          <w:marTop w:val="0"/>
          <w:marBottom w:val="101"/>
          <w:divBdr>
            <w:top w:val="none" w:sz="0" w:space="0" w:color="auto"/>
            <w:left w:val="none" w:sz="0" w:space="0" w:color="auto"/>
            <w:bottom w:val="none" w:sz="0" w:space="0" w:color="auto"/>
            <w:right w:val="none" w:sz="0" w:space="0" w:color="auto"/>
          </w:divBdr>
        </w:div>
        <w:div w:id="1362631103">
          <w:marLeft w:val="0"/>
          <w:marRight w:val="0"/>
          <w:marTop w:val="0"/>
          <w:marBottom w:val="101"/>
          <w:divBdr>
            <w:top w:val="none" w:sz="0" w:space="0" w:color="auto"/>
            <w:left w:val="none" w:sz="0" w:space="0" w:color="auto"/>
            <w:bottom w:val="none" w:sz="0" w:space="0" w:color="auto"/>
            <w:right w:val="none" w:sz="0" w:space="0" w:color="auto"/>
          </w:divBdr>
        </w:div>
        <w:div w:id="1210534797">
          <w:marLeft w:val="0"/>
          <w:marRight w:val="0"/>
          <w:marTop w:val="0"/>
          <w:marBottom w:val="101"/>
          <w:divBdr>
            <w:top w:val="none" w:sz="0" w:space="0" w:color="auto"/>
            <w:left w:val="none" w:sz="0" w:space="0" w:color="auto"/>
            <w:bottom w:val="none" w:sz="0" w:space="0" w:color="auto"/>
            <w:right w:val="none" w:sz="0" w:space="0" w:color="auto"/>
          </w:divBdr>
        </w:div>
        <w:div w:id="1855533361">
          <w:marLeft w:val="0"/>
          <w:marRight w:val="0"/>
          <w:marTop w:val="0"/>
          <w:marBottom w:val="101"/>
          <w:divBdr>
            <w:top w:val="none" w:sz="0" w:space="0" w:color="auto"/>
            <w:left w:val="none" w:sz="0" w:space="0" w:color="auto"/>
            <w:bottom w:val="none" w:sz="0" w:space="0" w:color="auto"/>
            <w:right w:val="none" w:sz="0" w:space="0" w:color="auto"/>
          </w:divBdr>
        </w:div>
        <w:div w:id="1195389188">
          <w:marLeft w:val="0"/>
          <w:marRight w:val="0"/>
          <w:marTop w:val="0"/>
          <w:marBottom w:val="101"/>
          <w:divBdr>
            <w:top w:val="none" w:sz="0" w:space="0" w:color="auto"/>
            <w:left w:val="none" w:sz="0" w:space="0" w:color="auto"/>
            <w:bottom w:val="none" w:sz="0" w:space="0" w:color="auto"/>
            <w:right w:val="none" w:sz="0" w:space="0" w:color="auto"/>
          </w:divBdr>
        </w:div>
        <w:div w:id="2012414500">
          <w:marLeft w:val="0"/>
          <w:marRight w:val="0"/>
          <w:marTop w:val="0"/>
          <w:marBottom w:val="101"/>
          <w:divBdr>
            <w:top w:val="none" w:sz="0" w:space="0" w:color="auto"/>
            <w:left w:val="none" w:sz="0" w:space="0" w:color="auto"/>
            <w:bottom w:val="none" w:sz="0" w:space="0" w:color="auto"/>
            <w:right w:val="none" w:sz="0" w:space="0" w:color="auto"/>
          </w:divBdr>
        </w:div>
        <w:div w:id="773474339">
          <w:marLeft w:val="0"/>
          <w:marRight w:val="0"/>
          <w:marTop w:val="0"/>
          <w:marBottom w:val="101"/>
          <w:divBdr>
            <w:top w:val="none" w:sz="0" w:space="0" w:color="auto"/>
            <w:left w:val="none" w:sz="0" w:space="0" w:color="auto"/>
            <w:bottom w:val="none" w:sz="0" w:space="0" w:color="auto"/>
            <w:right w:val="none" w:sz="0" w:space="0" w:color="auto"/>
          </w:divBdr>
        </w:div>
        <w:div w:id="131795255">
          <w:marLeft w:val="0"/>
          <w:marRight w:val="0"/>
          <w:marTop w:val="0"/>
          <w:marBottom w:val="101"/>
          <w:divBdr>
            <w:top w:val="none" w:sz="0" w:space="0" w:color="auto"/>
            <w:left w:val="none" w:sz="0" w:space="0" w:color="auto"/>
            <w:bottom w:val="none" w:sz="0" w:space="0" w:color="auto"/>
            <w:right w:val="none" w:sz="0" w:space="0" w:color="auto"/>
          </w:divBdr>
        </w:div>
        <w:div w:id="97869012">
          <w:marLeft w:val="0"/>
          <w:marRight w:val="0"/>
          <w:marTop w:val="0"/>
          <w:marBottom w:val="101"/>
          <w:divBdr>
            <w:top w:val="none" w:sz="0" w:space="0" w:color="auto"/>
            <w:left w:val="none" w:sz="0" w:space="0" w:color="auto"/>
            <w:bottom w:val="none" w:sz="0" w:space="0" w:color="auto"/>
            <w:right w:val="none" w:sz="0" w:space="0" w:color="auto"/>
          </w:divBdr>
        </w:div>
        <w:div w:id="1299266482">
          <w:marLeft w:val="0"/>
          <w:marRight w:val="0"/>
          <w:marTop w:val="0"/>
          <w:marBottom w:val="101"/>
          <w:divBdr>
            <w:top w:val="none" w:sz="0" w:space="0" w:color="auto"/>
            <w:left w:val="none" w:sz="0" w:space="0" w:color="auto"/>
            <w:bottom w:val="none" w:sz="0" w:space="0" w:color="auto"/>
            <w:right w:val="none" w:sz="0" w:space="0" w:color="auto"/>
          </w:divBdr>
        </w:div>
        <w:div w:id="1169752264">
          <w:marLeft w:val="0"/>
          <w:marRight w:val="0"/>
          <w:marTop w:val="0"/>
          <w:marBottom w:val="101"/>
          <w:divBdr>
            <w:top w:val="none" w:sz="0" w:space="0" w:color="auto"/>
            <w:left w:val="none" w:sz="0" w:space="0" w:color="auto"/>
            <w:bottom w:val="none" w:sz="0" w:space="0" w:color="auto"/>
            <w:right w:val="none" w:sz="0" w:space="0" w:color="auto"/>
          </w:divBdr>
        </w:div>
        <w:div w:id="154031853">
          <w:marLeft w:val="0"/>
          <w:marRight w:val="0"/>
          <w:marTop w:val="0"/>
          <w:marBottom w:val="101"/>
          <w:divBdr>
            <w:top w:val="none" w:sz="0" w:space="0" w:color="auto"/>
            <w:left w:val="none" w:sz="0" w:space="0" w:color="auto"/>
            <w:bottom w:val="none" w:sz="0" w:space="0" w:color="auto"/>
            <w:right w:val="none" w:sz="0" w:space="0" w:color="auto"/>
          </w:divBdr>
        </w:div>
        <w:div w:id="1387753027">
          <w:marLeft w:val="0"/>
          <w:marRight w:val="0"/>
          <w:marTop w:val="0"/>
          <w:marBottom w:val="101"/>
          <w:divBdr>
            <w:top w:val="none" w:sz="0" w:space="0" w:color="auto"/>
            <w:left w:val="none" w:sz="0" w:space="0" w:color="auto"/>
            <w:bottom w:val="none" w:sz="0" w:space="0" w:color="auto"/>
            <w:right w:val="none" w:sz="0" w:space="0" w:color="auto"/>
          </w:divBdr>
        </w:div>
        <w:div w:id="389428038">
          <w:marLeft w:val="0"/>
          <w:marRight w:val="0"/>
          <w:marTop w:val="0"/>
          <w:marBottom w:val="101"/>
          <w:divBdr>
            <w:top w:val="none" w:sz="0" w:space="0" w:color="auto"/>
            <w:left w:val="none" w:sz="0" w:space="0" w:color="auto"/>
            <w:bottom w:val="none" w:sz="0" w:space="0" w:color="auto"/>
            <w:right w:val="none" w:sz="0" w:space="0" w:color="auto"/>
          </w:divBdr>
        </w:div>
        <w:div w:id="358431643">
          <w:marLeft w:val="0"/>
          <w:marRight w:val="0"/>
          <w:marTop w:val="0"/>
          <w:marBottom w:val="101"/>
          <w:divBdr>
            <w:top w:val="none" w:sz="0" w:space="0" w:color="auto"/>
            <w:left w:val="none" w:sz="0" w:space="0" w:color="auto"/>
            <w:bottom w:val="none" w:sz="0" w:space="0" w:color="auto"/>
            <w:right w:val="none" w:sz="0" w:space="0" w:color="auto"/>
          </w:divBdr>
        </w:div>
        <w:div w:id="1376082628">
          <w:marLeft w:val="0"/>
          <w:marRight w:val="0"/>
          <w:marTop w:val="0"/>
          <w:marBottom w:val="101"/>
          <w:divBdr>
            <w:top w:val="none" w:sz="0" w:space="0" w:color="auto"/>
            <w:left w:val="none" w:sz="0" w:space="0" w:color="auto"/>
            <w:bottom w:val="none" w:sz="0" w:space="0" w:color="auto"/>
            <w:right w:val="none" w:sz="0" w:space="0" w:color="auto"/>
          </w:divBdr>
        </w:div>
        <w:div w:id="908001352">
          <w:marLeft w:val="0"/>
          <w:marRight w:val="0"/>
          <w:marTop w:val="0"/>
          <w:marBottom w:val="101"/>
          <w:divBdr>
            <w:top w:val="none" w:sz="0" w:space="0" w:color="auto"/>
            <w:left w:val="none" w:sz="0" w:space="0" w:color="auto"/>
            <w:bottom w:val="none" w:sz="0" w:space="0" w:color="auto"/>
            <w:right w:val="none" w:sz="0" w:space="0" w:color="auto"/>
          </w:divBdr>
        </w:div>
        <w:div w:id="1598443572">
          <w:marLeft w:val="0"/>
          <w:marRight w:val="0"/>
          <w:marTop w:val="0"/>
          <w:marBottom w:val="101"/>
          <w:divBdr>
            <w:top w:val="none" w:sz="0" w:space="0" w:color="auto"/>
            <w:left w:val="none" w:sz="0" w:space="0" w:color="auto"/>
            <w:bottom w:val="none" w:sz="0" w:space="0" w:color="auto"/>
            <w:right w:val="none" w:sz="0" w:space="0" w:color="auto"/>
          </w:divBdr>
        </w:div>
        <w:div w:id="90398069">
          <w:marLeft w:val="0"/>
          <w:marRight w:val="0"/>
          <w:marTop w:val="0"/>
          <w:marBottom w:val="101"/>
          <w:divBdr>
            <w:top w:val="none" w:sz="0" w:space="0" w:color="auto"/>
            <w:left w:val="none" w:sz="0" w:space="0" w:color="auto"/>
            <w:bottom w:val="none" w:sz="0" w:space="0" w:color="auto"/>
            <w:right w:val="none" w:sz="0" w:space="0" w:color="auto"/>
          </w:divBdr>
        </w:div>
        <w:div w:id="1768303401">
          <w:marLeft w:val="0"/>
          <w:marRight w:val="0"/>
          <w:marTop w:val="0"/>
          <w:marBottom w:val="101"/>
          <w:divBdr>
            <w:top w:val="none" w:sz="0" w:space="0" w:color="auto"/>
            <w:left w:val="none" w:sz="0" w:space="0" w:color="auto"/>
            <w:bottom w:val="none" w:sz="0" w:space="0" w:color="auto"/>
            <w:right w:val="none" w:sz="0" w:space="0" w:color="auto"/>
          </w:divBdr>
        </w:div>
        <w:div w:id="1309672139">
          <w:marLeft w:val="0"/>
          <w:marRight w:val="0"/>
          <w:marTop w:val="0"/>
          <w:marBottom w:val="101"/>
          <w:divBdr>
            <w:top w:val="none" w:sz="0" w:space="0" w:color="auto"/>
            <w:left w:val="none" w:sz="0" w:space="0" w:color="auto"/>
            <w:bottom w:val="none" w:sz="0" w:space="0" w:color="auto"/>
            <w:right w:val="none" w:sz="0" w:space="0" w:color="auto"/>
          </w:divBdr>
        </w:div>
        <w:div w:id="1095590039">
          <w:marLeft w:val="0"/>
          <w:marRight w:val="0"/>
          <w:marTop w:val="0"/>
          <w:marBottom w:val="101"/>
          <w:divBdr>
            <w:top w:val="none" w:sz="0" w:space="0" w:color="auto"/>
            <w:left w:val="none" w:sz="0" w:space="0" w:color="auto"/>
            <w:bottom w:val="none" w:sz="0" w:space="0" w:color="auto"/>
            <w:right w:val="none" w:sz="0" w:space="0" w:color="auto"/>
          </w:divBdr>
        </w:div>
        <w:div w:id="441993937">
          <w:marLeft w:val="0"/>
          <w:marRight w:val="0"/>
          <w:marTop w:val="0"/>
          <w:marBottom w:val="101"/>
          <w:divBdr>
            <w:top w:val="none" w:sz="0" w:space="0" w:color="auto"/>
            <w:left w:val="none" w:sz="0" w:space="0" w:color="auto"/>
            <w:bottom w:val="none" w:sz="0" w:space="0" w:color="auto"/>
            <w:right w:val="none" w:sz="0" w:space="0" w:color="auto"/>
          </w:divBdr>
        </w:div>
        <w:div w:id="511992369">
          <w:marLeft w:val="0"/>
          <w:marRight w:val="0"/>
          <w:marTop w:val="0"/>
          <w:marBottom w:val="101"/>
          <w:divBdr>
            <w:top w:val="none" w:sz="0" w:space="0" w:color="auto"/>
            <w:left w:val="none" w:sz="0" w:space="0" w:color="auto"/>
            <w:bottom w:val="none" w:sz="0" w:space="0" w:color="auto"/>
            <w:right w:val="none" w:sz="0" w:space="0" w:color="auto"/>
          </w:divBdr>
        </w:div>
        <w:div w:id="200217494">
          <w:marLeft w:val="0"/>
          <w:marRight w:val="0"/>
          <w:marTop w:val="0"/>
          <w:marBottom w:val="101"/>
          <w:divBdr>
            <w:top w:val="none" w:sz="0" w:space="0" w:color="auto"/>
            <w:left w:val="none" w:sz="0" w:space="0" w:color="auto"/>
            <w:bottom w:val="none" w:sz="0" w:space="0" w:color="auto"/>
            <w:right w:val="none" w:sz="0" w:space="0" w:color="auto"/>
          </w:divBdr>
        </w:div>
        <w:div w:id="32194468">
          <w:marLeft w:val="0"/>
          <w:marRight w:val="0"/>
          <w:marTop w:val="0"/>
          <w:marBottom w:val="101"/>
          <w:divBdr>
            <w:top w:val="none" w:sz="0" w:space="0" w:color="auto"/>
            <w:left w:val="none" w:sz="0" w:space="0" w:color="auto"/>
            <w:bottom w:val="none" w:sz="0" w:space="0" w:color="auto"/>
            <w:right w:val="none" w:sz="0" w:space="0" w:color="auto"/>
          </w:divBdr>
        </w:div>
        <w:div w:id="561910875">
          <w:marLeft w:val="0"/>
          <w:marRight w:val="0"/>
          <w:marTop w:val="101"/>
          <w:marBottom w:val="101"/>
          <w:divBdr>
            <w:top w:val="none" w:sz="0" w:space="0" w:color="auto"/>
            <w:left w:val="none" w:sz="0" w:space="0" w:color="auto"/>
            <w:bottom w:val="none" w:sz="0" w:space="0" w:color="auto"/>
            <w:right w:val="none" w:sz="0" w:space="0" w:color="auto"/>
          </w:divBdr>
        </w:div>
        <w:div w:id="1855992488">
          <w:marLeft w:val="0"/>
          <w:marRight w:val="0"/>
          <w:marTop w:val="0"/>
          <w:marBottom w:val="101"/>
          <w:divBdr>
            <w:top w:val="none" w:sz="0" w:space="0" w:color="auto"/>
            <w:left w:val="none" w:sz="0" w:space="0" w:color="auto"/>
            <w:bottom w:val="none" w:sz="0" w:space="0" w:color="auto"/>
            <w:right w:val="none" w:sz="0" w:space="0" w:color="auto"/>
          </w:divBdr>
        </w:div>
        <w:div w:id="2059476910">
          <w:marLeft w:val="0"/>
          <w:marRight w:val="0"/>
          <w:marTop w:val="0"/>
          <w:marBottom w:val="101"/>
          <w:divBdr>
            <w:top w:val="none" w:sz="0" w:space="0" w:color="auto"/>
            <w:left w:val="none" w:sz="0" w:space="0" w:color="auto"/>
            <w:bottom w:val="none" w:sz="0" w:space="0" w:color="auto"/>
            <w:right w:val="none" w:sz="0" w:space="0" w:color="auto"/>
          </w:divBdr>
        </w:div>
        <w:div w:id="1565989972">
          <w:marLeft w:val="0"/>
          <w:marRight w:val="0"/>
          <w:marTop w:val="0"/>
          <w:marBottom w:val="101"/>
          <w:divBdr>
            <w:top w:val="none" w:sz="0" w:space="0" w:color="auto"/>
            <w:left w:val="none" w:sz="0" w:space="0" w:color="auto"/>
            <w:bottom w:val="none" w:sz="0" w:space="0" w:color="auto"/>
            <w:right w:val="none" w:sz="0" w:space="0" w:color="auto"/>
          </w:divBdr>
        </w:div>
        <w:div w:id="1305355014">
          <w:marLeft w:val="0"/>
          <w:marRight w:val="0"/>
          <w:marTop w:val="0"/>
          <w:marBottom w:val="101"/>
          <w:divBdr>
            <w:top w:val="none" w:sz="0" w:space="0" w:color="auto"/>
            <w:left w:val="none" w:sz="0" w:space="0" w:color="auto"/>
            <w:bottom w:val="none" w:sz="0" w:space="0" w:color="auto"/>
            <w:right w:val="none" w:sz="0" w:space="0" w:color="auto"/>
          </w:divBdr>
        </w:div>
        <w:div w:id="1000158062">
          <w:marLeft w:val="0"/>
          <w:marRight w:val="0"/>
          <w:marTop w:val="0"/>
          <w:marBottom w:val="101"/>
          <w:divBdr>
            <w:top w:val="none" w:sz="0" w:space="0" w:color="auto"/>
            <w:left w:val="none" w:sz="0" w:space="0" w:color="auto"/>
            <w:bottom w:val="none" w:sz="0" w:space="0" w:color="auto"/>
            <w:right w:val="none" w:sz="0" w:space="0" w:color="auto"/>
          </w:divBdr>
        </w:div>
        <w:div w:id="73243056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1601</Words>
  <Characters>8808</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2020-10-29T15:19:00Z</dcterms:created>
  <dcterms:modified xsi:type="dcterms:W3CDTF">2020-10-29T15:20:00Z</dcterms:modified>
</cp:coreProperties>
</file>