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0A" w:rsidRDefault="00A3460A" w:rsidP="00A3460A">
      <w:pPr>
        <w:jc w:val="center"/>
        <w:rPr>
          <w:rFonts w:ascii="Verdana" w:eastAsia="Verdana" w:hAnsi="Verdana" w:cs="Verdana"/>
          <w:b/>
          <w:color w:val="0000FF"/>
          <w:sz w:val="24"/>
          <w:szCs w:val="24"/>
        </w:rPr>
      </w:pPr>
      <w:r w:rsidRPr="00A3460A">
        <w:rPr>
          <w:rFonts w:ascii="Verdana" w:eastAsia="Verdana" w:hAnsi="Verdana" w:cs="Verdana"/>
          <w:b/>
          <w:color w:val="0000FF"/>
          <w:sz w:val="24"/>
          <w:szCs w:val="24"/>
        </w:rPr>
        <w:t xml:space="preserve">ACUERDO General número </w:t>
      </w:r>
      <w:bookmarkStart w:id="0" w:name="_GoBack"/>
      <w:r w:rsidRPr="00A3460A">
        <w:rPr>
          <w:rFonts w:ascii="Verdana" w:eastAsia="Verdana" w:hAnsi="Verdana" w:cs="Verdana"/>
          <w:b/>
          <w:color w:val="0000FF"/>
          <w:sz w:val="24"/>
          <w:szCs w:val="24"/>
        </w:rPr>
        <w:t xml:space="preserve">4/2022 </w:t>
      </w:r>
      <w:bookmarkEnd w:id="0"/>
      <w:r w:rsidRPr="00A3460A">
        <w:rPr>
          <w:rFonts w:ascii="Verdana" w:eastAsia="Verdana" w:hAnsi="Verdana" w:cs="Verdana"/>
          <w:b/>
          <w:color w:val="0000FF"/>
          <w:sz w:val="24"/>
          <w:szCs w:val="24"/>
        </w:rPr>
        <w:t xml:space="preserve">de veintinueve de marzo de dos mil veintidós, del Pleno de la Suprema Corte de Justicia de la Nación, por el que se levanta el aplazamiento del dictado de la resolución tanto en 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en las contradicciones de tesis de la competencia de un pleno de Circuito relacionadas con los temas relativos a: determinar si resulta válida la sentencia de amparo indirecto firmada electrónicamente, o si ello constituye una violación a las reglas del procedimiento que amerita reponerlo para el efecto de que el Juez de Distrito firme aquélla de manera autógrafa, y a: determinar si cuando el Tribunal Colegiado de Circuito advierte que el Juez de Distrito se pronunció respecto de actos que no formaron parte de la </w:t>
      </w:r>
      <w:proofErr w:type="spellStart"/>
      <w:r w:rsidRPr="00A3460A">
        <w:rPr>
          <w:rFonts w:ascii="Verdana" w:eastAsia="Verdana" w:hAnsi="Verdana" w:cs="Verdana"/>
          <w:b/>
          <w:color w:val="0000FF"/>
          <w:sz w:val="24"/>
          <w:szCs w:val="24"/>
        </w:rPr>
        <w:t>litis</w:t>
      </w:r>
      <w:proofErr w:type="spellEnd"/>
      <w:r w:rsidRPr="00A3460A">
        <w:rPr>
          <w:rFonts w:ascii="Verdana" w:eastAsia="Verdana" w:hAnsi="Verdana" w:cs="Verdana"/>
          <w:b/>
          <w:color w:val="0000FF"/>
          <w:sz w:val="24"/>
          <w:szCs w:val="24"/>
        </w:rPr>
        <w:t xml:space="preserve">, debe entrar al estudio de fondo del asunto y modificar la sentencia impugnada sin ordenar la reposición del procedimiento; relacionado con el diverso 1/2018, de trece de febrero de dos mil dieciocho. </w:t>
      </w:r>
      <w:r>
        <w:rPr>
          <w:rFonts w:ascii="Verdana" w:eastAsia="Verdana" w:hAnsi="Verdana" w:cs="Verdana"/>
          <w:b/>
          <w:color w:val="0000FF"/>
          <w:sz w:val="24"/>
          <w:szCs w:val="24"/>
        </w:rPr>
        <w:br/>
      </w:r>
      <w:r>
        <w:rPr>
          <w:rFonts w:ascii="Verdana" w:eastAsia="Verdana" w:hAnsi="Verdana" w:cs="Verdana"/>
          <w:b/>
          <w:color w:val="0000FF"/>
          <w:sz w:val="24"/>
          <w:szCs w:val="24"/>
        </w:rPr>
        <w:t>(DOF del 07 de abril de 2022</w:t>
      </w:r>
      <w:r w:rsidRPr="00575D6A">
        <w:rPr>
          <w:rFonts w:ascii="Verdana" w:eastAsia="Verdana" w:hAnsi="Verdana" w:cs="Verdana"/>
          <w:b/>
          <w:color w:val="0000FF"/>
          <w:sz w:val="24"/>
          <w:szCs w:val="24"/>
        </w:rPr>
        <w:t>)</w:t>
      </w:r>
    </w:p>
    <w:p w:rsidR="00A3460A" w:rsidRDefault="00A3460A" w:rsidP="00A3460A">
      <w:pPr>
        <w:jc w:val="both"/>
        <w:rPr>
          <w:rFonts w:ascii="Arial" w:hAnsi="Arial" w:cs="Arial"/>
          <w:b/>
          <w:color w:val="262626" w:themeColor="text1" w:themeTint="D9"/>
          <w:sz w:val="18"/>
        </w:rPr>
      </w:pPr>
      <w:r w:rsidRPr="0052567A">
        <w:rPr>
          <w:rFonts w:ascii="Arial" w:hAnsi="Arial" w:cs="Arial"/>
          <w:b/>
          <w:color w:val="262626" w:themeColor="text1" w:themeTint="D9"/>
          <w:sz w:val="18"/>
        </w:rPr>
        <w:t>Al margen un sello con el Escudo Nacional, que dice: Estados Unidos Mexicanos.- Suprema Corte de Justicia de la Nación.</w:t>
      </w:r>
    </w:p>
    <w:p w:rsidR="00A3460A" w:rsidRPr="00A3460A" w:rsidRDefault="00A3460A" w:rsidP="00A3460A">
      <w:pPr>
        <w:spacing w:after="101" w:line="240" w:lineRule="auto"/>
        <w:ind w:firstLine="288"/>
        <w:jc w:val="both"/>
        <w:rPr>
          <w:rFonts w:ascii="Arial" w:eastAsia="Times New Roman" w:hAnsi="Arial" w:cs="Arial"/>
          <w:sz w:val="18"/>
          <w:szCs w:val="18"/>
          <w:lang w:eastAsia="es-MX"/>
        </w:rPr>
      </w:pPr>
      <w:r w:rsidRPr="00A3460A">
        <w:rPr>
          <w:rFonts w:ascii="Arial" w:eastAsia="Times New Roman" w:hAnsi="Arial" w:cs="Arial"/>
          <w:sz w:val="18"/>
          <w:szCs w:val="18"/>
          <w:lang w:eastAsia="es-MX"/>
        </w:rPr>
        <w:t xml:space="preserve">ACUERDO GENERAL NÚMERO 4/2022, DE VEINTINUEVE DE MARZO DE DOS MIL VEINTIDÓS, DEL PLENO DE LA SUPREMA CORTE DE JUSTICIA DE LA NACIÓN, POR EL QUE SE LEVANTA EL APLAZAMIENTO DEL DICTADO DE LA RESOLUCIÓN TANTO EN 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EN EL DIARIO OFICIAL DE LA FEDERACIÓN DEL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EN LAS CONTRADICCIONES DE TESIS DE LA COMPETENCIA DE UN PLENO DE CIRCUITO RELACIONADAS CON LOS TEMAS RELATIVOS A: </w:t>
      </w:r>
      <w:r w:rsidRPr="00A3460A">
        <w:rPr>
          <w:rFonts w:ascii="Arial" w:eastAsia="Times New Roman" w:hAnsi="Arial" w:cs="Arial"/>
          <w:i/>
          <w:iCs/>
          <w:sz w:val="18"/>
          <w:szCs w:val="18"/>
          <w:lang w:eastAsia="es-MX"/>
        </w:rPr>
        <w:t xml:space="preserve">"DETERMINAR SI RESULTA VÁLIDA LA SENTENCIA DE AMPARO INDIRECTO FIRMADA ELECTRÓNICAMENTE, O SI ELLO </w:t>
      </w:r>
      <w:r w:rsidRPr="00A3460A">
        <w:rPr>
          <w:rFonts w:ascii="Arial" w:eastAsia="Times New Roman" w:hAnsi="Arial" w:cs="Arial"/>
          <w:i/>
          <w:iCs/>
          <w:sz w:val="18"/>
          <w:szCs w:val="18"/>
          <w:lang w:eastAsia="es-MX"/>
        </w:rPr>
        <w:lastRenderedPageBreak/>
        <w:t>CONSTITUYE UNA VIOLACIÓN A LAS REGLAS DEL PROCEDIMIENTO QUE AMERITA REPONERLO PARA EL EFECTO DE QUE EL JUEZ DE DISTRITO FIRME AQUÉLLA DE MANERA AUTÓGRAFA"</w:t>
      </w:r>
      <w:r w:rsidRPr="00A3460A">
        <w:rPr>
          <w:rFonts w:ascii="Arial" w:eastAsia="Times New Roman" w:hAnsi="Arial" w:cs="Arial"/>
          <w:sz w:val="18"/>
          <w:szCs w:val="18"/>
          <w:lang w:eastAsia="es-MX"/>
        </w:rPr>
        <w:t xml:space="preserve">, Y A: </w:t>
      </w:r>
      <w:r w:rsidRPr="00A3460A">
        <w:rPr>
          <w:rFonts w:ascii="Arial" w:eastAsia="Times New Roman" w:hAnsi="Arial" w:cs="Arial"/>
          <w:i/>
          <w:iCs/>
          <w:sz w:val="18"/>
          <w:szCs w:val="18"/>
          <w:lang w:eastAsia="es-MX"/>
        </w:rPr>
        <w:t>"DETERMINAR SI CUANDO EL TRIBUNAL COLEGIADO DE CIRCUITO ADVIERTE QUE EL JUEZ DE DISTRITO SE PRONUNCIÓ RESPECTO DE ACTOS QUE NO FORMARON PARTE DE LA LITIS, DEBE ENTRAR AL ESTUDIO DE FONDO DEL ASUNTO Y MODIFICAR LA SENTENCIA IMPUGNADA SIN ORDENAR LA REPOSICIÓN DEL PROCEDIMIENTO"</w:t>
      </w:r>
      <w:r w:rsidRPr="00A3460A">
        <w:rPr>
          <w:rFonts w:ascii="Arial" w:eastAsia="Times New Roman" w:hAnsi="Arial" w:cs="Arial"/>
          <w:sz w:val="18"/>
          <w:szCs w:val="18"/>
          <w:lang w:eastAsia="es-MX"/>
        </w:rPr>
        <w:t>; RELACIONADO CON EL DIVERSO 1/2018, DE TRECE DE FEBRERO DE DOS MIL DIECIOCHO.</w:t>
      </w:r>
    </w:p>
    <w:p w:rsidR="00A3460A" w:rsidRPr="00A3460A" w:rsidRDefault="00A3460A" w:rsidP="00A3460A">
      <w:pPr>
        <w:spacing w:after="101" w:line="240" w:lineRule="auto"/>
        <w:jc w:val="both"/>
        <w:rPr>
          <w:rFonts w:ascii="Arial" w:eastAsia="Times New Roman" w:hAnsi="Arial" w:cs="Arial"/>
          <w:sz w:val="18"/>
          <w:szCs w:val="18"/>
          <w:lang w:eastAsia="es-MX"/>
        </w:rPr>
      </w:pPr>
      <w:r w:rsidRPr="00A3460A">
        <w:rPr>
          <w:rFonts w:ascii="Arial" w:eastAsia="Times New Roman" w:hAnsi="Arial" w:cs="Arial"/>
          <w:sz w:val="18"/>
          <w:szCs w:val="18"/>
          <w:lang w:eastAsia="es-MX"/>
        </w:rPr>
        <w:t>CONSIDERANDO:</w:t>
      </w:r>
    </w:p>
    <w:p w:rsidR="00A3460A" w:rsidRPr="00A3460A" w:rsidRDefault="00A3460A" w:rsidP="00A3460A">
      <w:pPr>
        <w:spacing w:after="101" w:line="240" w:lineRule="auto"/>
        <w:ind w:firstLine="288"/>
        <w:jc w:val="both"/>
        <w:rPr>
          <w:rFonts w:ascii="Arial" w:eastAsia="Times New Roman" w:hAnsi="Arial" w:cs="Arial"/>
          <w:sz w:val="18"/>
          <w:szCs w:val="18"/>
          <w:lang w:eastAsia="es-MX"/>
        </w:rPr>
      </w:pPr>
      <w:r w:rsidRPr="00A3460A">
        <w:rPr>
          <w:rFonts w:ascii="Arial" w:eastAsia="Times New Roman" w:hAnsi="Arial" w:cs="Arial"/>
          <w:b/>
          <w:bCs/>
          <w:sz w:val="18"/>
          <w:szCs w:val="18"/>
          <w:lang w:eastAsia="es-MX"/>
        </w:rPr>
        <w:t>PRIMERO.</w:t>
      </w:r>
      <w:r w:rsidRPr="00A3460A">
        <w:rPr>
          <w:rFonts w:ascii="Arial" w:eastAsia="Times New Roman" w:hAnsi="Arial" w:cs="Arial"/>
          <w:sz w:val="18"/>
          <w:szCs w:val="18"/>
          <w:lang w:eastAsia="es-MX"/>
        </w:rPr>
        <w:t xml:space="preserve"> El artículo 94, párrafo noveno, de la Constitución Política de los Estados Unidos Mexicanos otorga al Pleno de la Suprema Corte de Justicia de la Nación la facultad para expedir acuerdos generales a fin de remitir asuntos a los Plenos Regionales y a los Tribunales Colegiados de Circuito, para mayor prontitud en su despacho;</w:t>
      </w:r>
    </w:p>
    <w:p w:rsidR="00A3460A" w:rsidRPr="00A3460A" w:rsidRDefault="00A3460A" w:rsidP="00A3460A">
      <w:pPr>
        <w:spacing w:after="101" w:line="240" w:lineRule="auto"/>
        <w:ind w:firstLine="288"/>
        <w:jc w:val="both"/>
        <w:rPr>
          <w:rFonts w:ascii="Arial" w:eastAsia="Times New Roman" w:hAnsi="Arial" w:cs="Arial"/>
          <w:sz w:val="18"/>
          <w:szCs w:val="18"/>
          <w:lang w:eastAsia="es-MX"/>
        </w:rPr>
      </w:pPr>
      <w:r w:rsidRPr="00A3460A">
        <w:rPr>
          <w:rFonts w:ascii="Arial" w:eastAsia="Times New Roman" w:hAnsi="Arial" w:cs="Arial"/>
          <w:b/>
          <w:bCs/>
          <w:sz w:val="18"/>
          <w:szCs w:val="18"/>
          <w:lang w:eastAsia="es-MX"/>
        </w:rPr>
        <w:t>SEGUNDO.</w:t>
      </w:r>
      <w:r w:rsidRPr="00A3460A">
        <w:rPr>
          <w:rFonts w:ascii="Arial" w:eastAsia="Times New Roman" w:hAnsi="Arial" w:cs="Arial"/>
          <w:sz w:val="18"/>
          <w:szCs w:val="18"/>
          <w:lang w:eastAsia="es-MX"/>
        </w:rPr>
        <w:t xml:space="preserve"> En términos de lo establecido en los artículos 11, fracciones IX y XIV, y 38, fracción IX, de la Ley Orgánica del Poder Judicial de la Federación, el Tribunal Pleno puede, remitir asuntos para su resolución a los plenos regionales o a los tribunales colegiados de circuito, con fundamento en los acuerdos generales que emita;</w:t>
      </w:r>
    </w:p>
    <w:p w:rsidR="00A3460A" w:rsidRPr="00A3460A" w:rsidRDefault="00A3460A" w:rsidP="00A3460A">
      <w:pPr>
        <w:spacing w:after="101" w:line="240" w:lineRule="auto"/>
        <w:ind w:firstLine="288"/>
        <w:jc w:val="both"/>
        <w:rPr>
          <w:rFonts w:ascii="Arial" w:eastAsia="Times New Roman" w:hAnsi="Arial" w:cs="Arial"/>
          <w:sz w:val="18"/>
          <w:szCs w:val="18"/>
          <w:lang w:eastAsia="es-MX"/>
        </w:rPr>
      </w:pPr>
      <w:r w:rsidRPr="00A3460A">
        <w:rPr>
          <w:rFonts w:ascii="Arial" w:eastAsia="Times New Roman" w:hAnsi="Arial" w:cs="Arial"/>
          <w:b/>
          <w:bCs/>
          <w:sz w:val="18"/>
          <w:szCs w:val="18"/>
          <w:lang w:eastAsia="es-MX"/>
        </w:rPr>
        <w:t xml:space="preserve">TERCERO. </w:t>
      </w:r>
      <w:r w:rsidRPr="00A3460A">
        <w:rPr>
          <w:rFonts w:ascii="Arial" w:eastAsia="Times New Roman" w:hAnsi="Arial" w:cs="Arial"/>
          <w:sz w:val="18"/>
          <w:szCs w:val="18"/>
          <w:lang w:eastAsia="es-MX"/>
        </w:rPr>
        <w:t>Conforme a lo previsto en los artículos 94, párrafo quinto, de la Constitución Política de los Estados Unidos Mexicanos; 11, fracción XXI, de la Ley Orgánica del Poder Judicial de la Federación, así como 37 de la Ley Reglamentaria de las Fracciones I y II del Artículo 105 de la Constitución Política de los Estados Unidos Mexicanos, el Pleno de esta Suprema Corte de Justicia de la Nación emitió el Acuerdo General Plenario 1/2018, de trece de febrero de dos mil dieciocho, en el cual se determinó:</w:t>
      </w:r>
    </w:p>
    <w:p w:rsidR="00A3460A" w:rsidRPr="00A3460A" w:rsidRDefault="00A3460A" w:rsidP="00A3460A">
      <w:pPr>
        <w:spacing w:after="101" w:line="240" w:lineRule="auto"/>
        <w:ind w:firstLine="288"/>
        <w:jc w:val="both"/>
        <w:rPr>
          <w:rFonts w:ascii="Arial" w:eastAsia="Times New Roman" w:hAnsi="Arial" w:cs="Arial"/>
          <w:sz w:val="18"/>
          <w:szCs w:val="18"/>
          <w:lang w:eastAsia="es-MX"/>
        </w:rPr>
      </w:pPr>
      <w:r w:rsidRPr="00A3460A">
        <w:rPr>
          <w:rFonts w:ascii="Arial" w:eastAsia="Times New Roman" w:hAnsi="Arial" w:cs="Arial"/>
          <w:i/>
          <w:iCs/>
          <w:sz w:val="18"/>
          <w:szCs w:val="18"/>
          <w:lang w:eastAsia="es-MX"/>
        </w:rPr>
        <w:t>"(</w:t>
      </w:r>
      <w:r w:rsidRPr="00A3460A">
        <w:rPr>
          <w:rFonts w:ascii="Arial" w:eastAsia="Times New Roman" w:hAnsi="Arial" w:cs="Arial"/>
          <w:b/>
          <w:bCs/>
          <w:i/>
          <w:iCs/>
          <w:sz w:val="18"/>
          <w:szCs w:val="18"/>
          <w:lang w:eastAsia="es-MX"/>
        </w:rPr>
        <w:t>...</w:t>
      </w:r>
      <w:r w:rsidRPr="00A3460A">
        <w:rPr>
          <w:rFonts w:ascii="Arial" w:eastAsia="Times New Roman" w:hAnsi="Arial" w:cs="Arial"/>
          <w:i/>
          <w:iCs/>
          <w:sz w:val="18"/>
          <w:szCs w:val="18"/>
          <w:lang w:eastAsia="es-MX"/>
        </w:rPr>
        <w:t xml:space="preserve">) ÚNICO. En tanto el Pleno de la Suprema Corte de Justicia de la Nación resuelve las contradicciones de tesis 29/2018 y 30/2018 referidas en el Considerando Tercero de este instrumento normativo, y se emite el Acuerdo General Plenario que corresponda, tanto en 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en el Diario Oficial de la Federación del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en las contradicciones de tesis de la competencia de un Pleno de Circuito relacionadas con los temas relativos a: "determinar si resulta válida la sentencia de amparo indirecto firmada electrónicamente, o si ello constituye una violación a las reglas del procedimiento que amerita reponerlo para el efecto de que el Juez de Distrito firme aquélla de manera autógrafa", y a: "determinar si cuando el Tribunal Colegiado de Circuito advierte que el Juez de Distrito se pronunció respecto de actos que no formaron parte de la </w:t>
      </w:r>
      <w:proofErr w:type="spellStart"/>
      <w:r w:rsidRPr="00A3460A">
        <w:rPr>
          <w:rFonts w:ascii="Arial" w:eastAsia="Times New Roman" w:hAnsi="Arial" w:cs="Arial"/>
          <w:i/>
          <w:iCs/>
          <w:sz w:val="18"/>
          <w:szCs w:val="18"/>
          <w:lang w:eastAsia="es-MX"/>
        </w:rPr>
        <w:t>litis</w:t>
      </w:r>
      <w:proofErr w:type="spellEnd"/>
      <w:r w:rsidRPr="00A3460A">
        <w:rPr>
          <w:rFonts w:ascii="Arial" w:eastAsia="Times New Roman" w:hAnsi="Arial" w:cs="Arial"/>
          <w:i/>
          <w:iCs/>
          <w:sz w:val="18"/>
          <w:szCs w:val="18"/>
          <w:lang w:eastAsia="es-MX"/>
        </w:rPr>
        <w:t>, debe entrar al estudio de fondo del asunto y modificar la sentencia impugnada sin ordenar la reposición del procedimiento", se deberá continuar el trámite hasta el estado de resolución y aplazar el dictado de ésta. (</w:t>
      </w:r>
      <w:r w:rsidRPr="00A3460A">
        <w:rPr>
          <w:rFonts w:ascii="Arial" w:eastAsia="Times New Roman" w:hAnsi="Arial" w:cs="Arial"/>
          <w:b/>
          <w:bCs/>
          <w:i/>
          <w:iCs/>
          <w:sz w:val="18"/>
          <w:szCs w:val="18"/>
          <w:lang w:eastAsia="es-MX"/>
        </w:rPr>
        <w:t>...</w:t>
      </w:r>
      <w:r w:rsidRPr="00A3460A">
        <w:rPr>
          <w:rFonts w:ascii="Arial" w:eastAsia="Times New Roman" w:hAnsi="Arial" w:cs="Arial"/>
          <w:i/>
          <w:iCs/>
          <w:sz w:val="18"/>
          <w:szCs w:val="18"/>
          <w:lang w:eastAsia="es-MX"/>
        </w:rPr>
        <w:t>)"</w:t>
      </w:r>
      <w:r w:rsidRPr="00A3460A">
        <w:rPr>
          <w:rFonts w:ascii="Arial" w:eastAsia="Times New Roman" w:hAnsi="Arial" w:cs="Arial"/>
          <w:sz w:val="18"/>
          <w:szCs w:val="18"/>
          <w:lang w:eastAsia="es-MX"/>
        </w:rPr>
        <w:t>;</w:t>
      </w:r>
    </w:p>
    <w:p w:rsidR="00A3460A" w:rsidRPr="00A3460A" w:rsidRDefault="00A3460A" w:rsidP="00A3460A">
      <w:pPr>
        <w:spacing w:after="101" w:line="240" w:lineRule="auto"/>
        <w:ind w:firstLine="288"/>
        <w:jc w:val="both"/>
        <w:rPr>
          <w:rFonts w:ascii="Arial" w:eastAsia="Times New Roman" w:hAnsi="Arial" w:cs="Arial"/>
          <w:sz w:val="18"/>
          <w:szCs w:val="18"/>
          <w:lang w:eastAsia="es-MX"/>
        </w:rPr>
      </w:pPr>
      <w:r w:rsidRPr="00A3460A">
        <w:rPr>
          <w:rFonts w:ascii="Arial" w:eastAsia="Times New Roman" w:hAnsi="Arial" w:cs="Arial"/>
          <w:b/>
          <w:bCs/>
          <w:sz w:val="18"/>
          <w:szCs w:val="18"/>
          <w:lang w:eastAsia="es-MX"/>
        </w:rPr>
        <w:t>CUARTO.</w:t>
      </w:r>
      <w:r w:rsidRPr="00A3460A">
        <w:rPr>
          <w:rFonts w:ascii="Arial" w:eastAsia="Times New Roman" w:hAnsi="Arial" w:cs="Arial"/>
          <w:sz w:val="18"/>
          <w:szCs w:val="18"/>
          <w:lang w:eastAsia="es-MX"/>
        </w:rPr>
        <w:t xml:space="preserve"> En sesión celebrada el quince de agosto de dos mil dieciocho, la Segunda Sala de este Alto Tribunal resolvió la </w:t>
      </w:r>
      <w:r w:rsidRPr="00A3460A">
        <w:rPr>
          <w:rFonts w:ascii="Arial" w:eastAsia="Times New Roman" w:hAnsi="Arial" w:cs="Arial"/>
          <w:i/>
          <w:iCs/>
          <w:sz w:val="18"/>
          <w:szCs w:val="18"/>
          <w:lang w:eastAsia="es-MX"/>
        </w:rPr>
        <w:t>contradicción de tesis 30/2018</w:t>
      </w:r>
      <w:r w:rsidRPr="00A3460A">
        <w:rPr>
          <w:rFonts w:ascii="Arial" w:eastAsia="Times New Roman" w:hAnsi="Arial" w:cs="Arial"/>
          <w:sz w:val="18"/>
          <w:szCs w:val="18"/>
          <w:lang w:eastAsia="es-MX"/>
        </w:rPr>
        <w:t xml:space="preserve">, declarándola inexistente. Por su parte, el Tribunal Pleno en sesión virtual celebrada el uno de julio de dos mil veintiuno, resolvió la </w:t>
      </w:r>
      <w:r w:rsidRPr="00A3460A">
        <w:rPr>
          <w:rFonts w:ascii="Arial" w:eastAsia="Times New Roman" w:hAnsi="Arial" w:cs="Arial"/>
          <w:i/>
          <w:iCs/>
          <w:sz w:val="18"/>
          <w:szCs w:val="18"/>
          <w:lang w:eastAsia="es-MX"/>
        </w:rPr>
        <w:t>contradicción de tesis 29/2018</w:t>
      </w:r>
      <w:r w:rsidRPr="00A3460A">
        <w:rPr>
          <w:rFonts w:ascii="Arial" w:eastAsia="Times New Roman" w:hAnsi="Arial" w:cs="Arial"/>
          <w:sz w:val="18"/>
          <w:szCs w:val="18"/>
          <w:lang w:eastAsia="es-MX"/>
        </w:rPr>
        <w:t xml:space="preserve">, y determinó que deben prevalecer, con carácter de jurisprudencia, en términos del artículo 217 de la Ley de Amparo, las </w:t>
      </w:r>
      <w:r w:rsidRPr="00A3460A">
        <w:rPr>
          <w:rFonts w:ascii="Arial" w:eastAsia="Times New Roman" w:hAnsi="Arial" w:cs="Arial"/>
          <w:i/>
          <w:iCs/>
          <w:sz w:val="18"/>
          <w:szCs w:val="18"/>
          <w:lang w:eastAsia="es-MX"/>
        </w:rPr>
        <w:t>tesis</w:t>
      </w:r>
      <w:r w:rsidRPr="00A3460A">
        <w:rPr>
          <w:rFonts w:ascii="Arial" w:eastAsia="Times New Roman" w:hAnsi="Arial" w:cs="Arial"/>
          <w:sz w:val="18"/>
          <w:szCs w:val="18"/>
          <w:lang w:eastAsia="es-MX"/>
        </w:rPr>
        <w:t xml:space="preserve"> </w:t>
      </w:r>
      <w:r w:rsidRPr="00A3460A">
        <w:rPr>
          <w:rFonts w:ascii="Arial" w:eastAsia="Times New Roman" w:hAnsi="Arial" w:cs="Arial"/>
          <w:i/>
          <w:iCs/>
          <w:sz w:val="18"/>
          <w:szCs w:val="18"/>
          <w:lang w:eastAsia="es-MX"/>
        </w:rPr>
        <w:t>P./J. 5/2021 (11a.), P./J. 6/2021 (11a.), P./J. 7/2021 (11a.), P./J. 8/2021 (11a.), y P./J. 9/2021 (11a.)</w:t>
      </w:r>
      <w:r w:rsidRPr="00A3460A">
        <w:rPr>
          <w:rFonts w:ascii="Arial" w:eastAsia="Times New Roman" w:hAnsi="Arial" w:cs="Arial"/>
          <w:sz w:val="18"/>
          <w:szCs w:val="18"/>
          <w:lang w:eastAsia="es-MX"/>
        </w:rPr>
        <w:t xml:space="preserve">, de rubros: </w:t>
      </w:r>
      <w:r w:rsidRPr="00A3460A">
        <w:rPr>
          <w:rFonts w:ascii="Arial" w:eastAsia="Times New Roman" w:hAnsi="Arial" w:cs="Arial"/>
          <w:i/>
          <w:iCs/>
          <w:sz w:val="18"/>
          <w:szCs w:val="18"/>
          <w:lang w:eastAsia="es-MX"/>
        </w:rPr>
        <w:t>"FIRMA ELECTRÓNICA CERTIFICADA DEL PODER JUDICIAL DE LA FEDERACIÓN (FIREL). LOS SERVIDORES PÚBLICOS DE LOS ÓRGANOS DE DICHO PODER PUEDEN UTILIZARLA EN SUSTITUCIÓN DE LA FIRMA AUTÓGRAFA DENTRO DE LAS ACTUACIONES Y RESOLUCIONES JUDICIALES QUE EMITAN."</w:t>
      </w:r>
      <w:r w:rsidRPr="00A3460A">
        <w:rPr>
          <w:rFonts w:ascii="Arial" w:eastAsia="Times New Roman" w:hAnsi="Arial" w:cs="Arial"/>
          <w:sz w:val="18"/>
          <w:szCs w:val="18"/>
          <w:lang w:eastAsia="es-MX"/>
        </w:rPr>
        <w:t>;</w:t>
      </w:r>
      <w:r w:rsidRPr="00A3460A">
        <w:rPr>
          <w:rFonts w:ascii="Arial" w:eastAsia="Times New Roman" w:hAnsi="Arial" w:cs="Arial"/>
          <w:i/>
          <w:iCs/>
          <w:sz w:val="18"/>
          <w:szCs w:val="18"/>
          <w:lang w:eastAsia="es-MX"/>
        </w:rPr>
        <w:t xml:space="preserve"> "FIRMA ELECTRÓNICA CERTIFICADA DEL PODER JUDICIAL DE LA FEDERACIÓN (FIREL). LA EVIDENCIA CRIPTOGRÁFICA PLASMADA EN LAS RESOLUCIONES AGREGADAS EN LOS EXPEDIENTES FÍSICOS, VALIDA EL USO DE AQUÉLLA POR LOS SERVIDORES PÚBLICOS DE LOS ÓRGANOS DE DICHO PODER ÚNICAMENTE EN EL DOCUMENTO EN QUE SE GENERÓ PARA UN EXPEDIENTE DETERMINADO."</w:t>
      </w:r>
      <w:r w:rsidRPr="00A3460A">
        <w:rPr>
          <w:rFonts w:ascii="Arial" w:eastAsia="Times New Roman" w:hAnsi="Arial" w:cs="Arial"/>
          <w:sz w:val="18"/>
          <w:szCs w:val="18"/>
          <w:lang w:eastAsia="es-MX"/>
        </w:rPr>
        <w:t xml:space="preserve">; </w:t>
      </w:r>
      <w:r w:rsidRPr="00A3460A">
        <w:rPr>
          <w:rFonts w:ascii="Arial" w:eastAsia="Times New Roman" w:hAnsi="Arial" w:cs="Arial"/>
          <w:i/>
          <w:iCs/>
          <w:sz w:val="18"/>
          <w:szCs w:val="18"/>
          <w:lang w:eastAsia="es-MX"/>
        </w:rPr>
        <w:t>"FIRMA ELECTRÓNICA CERTIFICADA DEL PODER JUDICIAL DE LA FEDERACIÓN (FIREL). TODO DOCUMENTO ELECTRÓNICO QUE SE FIRME A TRAVÉS DE ELLA, DEBE GENERAR UNA REPRESENTACIÓN GRÁFICA PROPIA, A FIN DE VINCULAR SU AUTORÍA Y PRODUCIR EFECTOS JURÍDICOS."</w:t>
      </w:r>
      <w:r w:rsidRPr="00A3460A">
        <w:rPr>
          <w:rFonts w:ascii="Arial" w:eastAsia="Times New Roman" w:hAnsi="Arial" w:cs="Arial"/>
          <w:sz w:val="18"/>
          <w:szCs w:val="18"/>
          <w:lang w:eastAsia="es-MX"/>
        </w:rPr>
        <w:t xml:space="preserve">; </w:t>
      </w:r>
      <w:r w:rsidRPr="00A3460A">
        <w:rPr>
          <w:rFonts w:ascii="Arial" w:eastAsia="Times New Roman" w:hAnsi="Arial" w:cs="Arial"/>
          <w:i/>
          <w:iCs/>
          <w:sz w:val="18"/>
          <w:szCs w:val="18"/>
          <w:lang w:eastAsia="es-MX"/>
        </w:rPr>
        <w:t>"SENTENCIA GENÉRICA. NO ES VÁLIDA PARA RESOLVER DISTINTOS JUICIOS DE AMPARO DESVINCULADOS ENTRE SÍ, AUNQUE LA TEMÁTICA PUEDA SER SIMILAR."</w:t>
      </w:r>
      <w:r w:rsidRPr="00A3460A">
        <w:rPr>
          <w:rFonts w:ascii="Arial" w:eastAsia="Times New Roman" w:hAnsi="Arial" w:cs="Arial"/>
          <w:sz w:val="18"/>
          <w:szCs w:val="18"/>
          <w:lang w:eastAsia="es-MX"/>
        </w:rPr>
        <w:t xml:space="preserve">, y </w:t>
      </w:r>
      <w:r w:rsidRPr="00A3460A">
        <w:rPr>
          <w:rFonts w:ascii="Arial" w:eastAsia="Times New Roman" w:hAnsi="Arial" w:cs="Arial"/>
          <w:i/>
          <w:iCs/>
          <w:sz w:val="18"/>
          <w:szCs w:val="18"/>
          <w:lang w:eastAsia="es-MX"/>
        </w:rPr>
        <w:t>"SENTENCIA DICTADA EN UN CUADERNO VARIOS. NO PUEDE SER UTILIZADA PARA RESOLVER DIVERSOS JUICIOS DE AMPARO, AUN CUANDO PUDIERAN COINCIDIR SOBRE UNA MISMA TEMÁTICA." (</w:t>
      </w:r>
      <w:proofErr w:type="gramStart"/>
      <w:r w:rsidRPr="00A3460A">
        <w:rPr>
          <w:rFonts w:ascii="Arial" w:eastAsia="Times New Roman" w:hAnsi="Arial" w:cs="Arial"/>
          <w:i/>
          <w:iCs/>
          <w:sz w:val="18"/>
          <w:szCs w:val="18"/>
          <w:lang w:eastAsia="es-MX"/>
        </w:rPr>
        <w:t>todas</w:t>
      </w:r>
      <w:proofErr w:type="gramEnd"/>
      <w:r w:rsidRPr="00A3460A">
        <w:rPr>
          <w:rFonts w:ascii="Arial" w:eastAsia="Times New Roman" w:hAnsi="Arial" w:cs="Arial"/>
          <w:i/>
          <w:iCs/>
          <w:sz w:val="18"/>
          <w:szCs w:val="18"/>
          <w:lang w:eastAsia="es-MX"/>
        </w:rPr>
        <w:t xml:space="preserve"> publicadas el viernes 10 de diciembre de 2021 a las 10:22 horas en el Semanario Judicial de la Federación)</w:t>
      </w:r>
      <w:r w:rsidRPr="00A3460A">
        <w:rPr>
          <w:rFonts w:ascii="Arial" w:eastAsia="Times New Roman" w:hAnsi="Arial" w:cs="Arial"/>
          <w:sz w:val="18"/>
          <w:szCs w:val="18"/>
          <w:lang w:eastAsia="es-MX"/>
        </w:rPr>
        <w:t>, y</w:t>
      </w:r>
    </w:p>
    <w:p w:rsidR="00A3460A" w:rsidRPr="00A3460A" w:rsidRDefault="00A3460A" w:rsidP="00A3460A">
      <w:pPr>
        <w:spacing w:after="101" w:line="240" w:lineRule="auto"/>
        <w:ind w:firstLine="288"/>
        <w:jc w:val="both"/>
        <w:rPr>
          <w:rFonts w:ascii="Arial" w:eastAsia="Times New Roman" w:hAnsi="Arial" w:cs="Arial"/>
          <w:sz w:val="18"/>
          <w:szCs w:val="18"/>
          <w:lang w:eastAsia="es-MX"/>
        </w:rPr>
      </w:pPr>
      <w:r w:rsidRPr="00A3460A">
        <w:rPr>
          <w:rFonts w:ascii="Arial" w:eastAsia="Times New Roman" w:hAnsi="Arial" w:cs="Arial"/>
          <w:b/>
          <w:bCs/>
          <w:sz w:val="18"/>
          <w:szCs w:val="18"/>
          <w:lang w:eastAsia="es-MX"/>
        </w:rPr>
        <w:lastRenderedPageBreak/>
        <w:t>QUINTO.</w:t>
      </w:r>
      <w:r w:rsidRPr="00A3460A">
        <w:rPr>
          <w:rFonts w:ascii="Arial" w:eastAsia="Times New Roman" w:hAnsi="Arial" w:cs="Arial"/>
          <w:sz w:val="18"/>
          <w:szCs w:val="18"/>
          <w:lang w:eastAsia="es-MX"/>
        </w:rPr>
        <w:t xml:space="preserve"> Por tanto, se estima que ha dejado de existir la razón que motivó el aplazamiento decretado en el Acuerdo General 1/2018 citado en el Considerando Tercero de este instrumento normativo, por lo que deben resolverse </w:t>
      </w:r>
      <w:r w:rsidRPr="00A3460A">
        <w:rPr>
          <w:rFonts w:ascii="Arial" w:eastAsia="Times New Roman" w:hAnsi="Arial" w:cs="Arial"/>
          <w:i/>
          <w:iCs/>
          <w:sz w:val="18"/>
          <w:szCs w:val="18"/>
          <w:lang w:eastAsia="es-MX"/>
        </w:rPr>
        <w:t xml:space="preserve">tanto 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en el Diario Oficial de la Federación del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las contradicciones de tesis de la competencia de un Pleno de Circuito relacionadas con los temas relativos a: "determinar si resulta válida la sentencia de amparo indirecto firmada electrónicamente, o si ello constituye una violación a las reglas del procedimiento que amerita reponerlo para el efecto de que el Juez de Distrito firme aquélla de manera autógrafa", y a: "determinar si cuando el Tribunal Colegiado de Circuito advierte que el Juez de Distrito se pronunció respecto de actos que no formaron parte de la </w:t>
      </w:r>
      <w:proofErr w:type="spellStart"/>
      <w:r w:rsidRPr="00A3460A">
        <w:rPr>
          <w:rFonts w:ascii="Arial" w:eastAsia="Times New Roman" w:hAnsi="Arial" w:cs="Arial"/>
          <w:i/>
          <w:iCs/>
          <w:sz w:val="18"/>
          <w:szCs w:val="18"/>
          <w:lang w:eastAsia="es-MX"/>
        </w:rPr>
        <w:t>litis</w:t>
      </w:r>
      <w:proofErr w:type="spellEnd"/>
      <w:r w:rsidRPr="00A3460A">
        <w:rPr>
          <w:rFonts w:ascii="Arial" w:eastAsia="Times New Roman" w:hAnsi="Arial" w:cs="Arial"/>
          <w:i/>
          <w:iCs/>
          <w:sz w:val="18"/>
          <w:szCs w:val="18"/>
          <w:lang w:eastAsia="es-MX"/>
        </w:rPr>
        <w:t>, debe entrar al estudio de fondo del asunto y modificar la sentencia impugnada sin ordenar la reposición del procedimiento"</w:t>
      </w:r>
      <w:r w:rsidRPr="00A3460A">
        <w:rPr>
          <w:rFonts w:ascii="Arial" w:eastAsia="Times New Roman" w:hAnsi="Arial" w:cs="Arial"/>
          <w:sz w:val="18"/>
          <w:szCs w:val="18"/>
          <w:lang w:eastAsia="es-MX"/>
        </w:rPr>
        <w:t>.</w:t>
      </w:r>
    </w:p>
    <w:p w:rsidR="00A3460A" w:rsidRPr="00A3460A" w:rsidRDefault="00A3460A" w:rsidP="00A3460A">
      <w:pPr>
        <w:spacing w:after="80" w:line="240" w:lineRule="auto"/>
        <w:ind w:firstLine="288"/>
        <w:jc w:val="both"/>
        <w:rPr>
          <w:rFonts w:ascii="Arial" w:eastAsia="Times New Roman" w:hAnsi="Arial" w:cs="Arial"/>
          <w:sz w:val="18"/>
          <w:szCs w:val="18"/>
          <w:lang w:eastAsia="es-MX"/>
        </w:rPr>
      </w:pPr>
      <w:r w:rsidRPr="00A3460A">
        <w:rPr>
          <w:rFonts w:ascii="Arial" w:eastAsia="Times New Roman" w:hAnsi="Arial" w:cs="Arial"/>
          <w:sz w:val="18"/>
          <w:szCs w:val="18"/>
          <w:lang w:eastAsia="es-MX"/>
        </w:rPr>
        <w:t>En consecuencia, con fundamento en lo antes señalado, el Pleno de la Suprema Corte de Justicia de la Nación expide el siguiente:</w:t>
      </w:r>
    </w:p>
    <w:p w:rsidR="00A3460A" w:rsidRPr="00A3460A" w:rsidRDefault="00A3460A" w:rsidP="00A3460A">
      <w:pPr>
        <w:spacing w:after="80" w:line="240" w:lineRule="auto"/>
        <w:jc w:val="both"/>
        <w:rPr>
          <w:rFonts w:ascii="Arial" w:eastAsia="Times New Roman" w:hAnsi="Arial" w:cs="Arial"/>
          <w:sz w:val="18"/>
          <w:szCs w:val="18"/>
          <w:lang w:eastAsia="es-MX"/>
        </w:rPr>
      </w:pPr>
      <w:r w:rsidRPr="00A3460A">
        <w:rPr>
          <w:rFonts w:ascii="Arial" w:eastAsia="Times New Roman" w:hAnsi="Arial" w:cs="Arial"/>
          <w:sz w:val="18"/>
          <w:szCs w:val="18"/>
          <w:lang w:eastAsia="es-MX"/>
        </w:rPr>
        <w:t> </w:t>
      </w:r>
    </w:p>
    <w:p w:rsidR="00A3460A" w:rsidRPr="00A3460A" w:rsidRDefault="00A3460A" w:rsidP="00A3460A">
      <w:pPr>
        <w:spacing w:after="80" w:line="240" w:lineRule="auto"/>
        <w:jc w:val="both"/>
        <w:rPr>
          <w:rFonts w:ascii="Arial" w:eastAsia="Times New Roman" w:hAnsi="Arial" w:cs="Arial"/>
          <w:sz w:val="18"/>
          <w:szCs w:val="18"/>
          <w:lang w:eastAsia="es-MX"/>
        </w:rPr>
      </w:pPr>
      <w:r w:rsidRPr="00A3460A">
        <w:rPr>
          <w:rFonts w:ascii="Arial" w:eastAsia="Times New Roman" w:hAnsi="Arial" w:cs="Arial"/>
          <w:sz w:val="18"/>
          <w:szCs w:val="18"/>
          <w:lang w:eastAsia="es-MX"/>
        </w:rPr>
        <w:t>ACUERDO:</w:t>
      </w:r>
    </w:p>
    <w:p w:rsidR="00A3460A" w:rsidRPr="00A3460A" w:rsidRDefault="00A3460A" w:rsidP="00A3460A">
      <w:pPr>
        <w:spacing w:after="80" w:line="240" w:lineRule="auto"/>
        <w:ind w:firstLine="288"/>
        <w:jc w:val="both"/>
        <w:rPr>
          <w:rFonts w:ascii="Arial" w:eastAsia="Times New Roman" w:hAnsi="Arial" w:cs="Arial"/>
          <w:sz w:val="18"/>
          <w:szCs w:val="18"/>
          <w:lang w:eastAsia="es-MX"/>
        </w:rPr>
      </w:pPr>
      <w:r w:rsidRPr="00A3460A">
        <w:rPr>
          <w:rFonts w:ascii="Arial" w:eastAsia="Times New Roman" w:hAnsi="Arial" w:cs="Arial"/>
          <w:b/>
          <w:bCs/>
          <w:sz w:val="18"/>
          <w:szCs w:val="18"/>
          <w:lang w:eastAsia="es-MX"/>
        </w:rPr>
        <w:t>PRIMERO.</w:t>
      </w:r>
      <w:r w:rsidRPr="00A3460A">
        <w:rPr>
          <w:rFonts w:ascii="Arial" w:eastAsia="Times New Roman" w:hAnsi="Arial" w:cs="Arial"/>
          <w:sz w:val="18"/>
          <w:szCs w:val="18"/>
          <w:lang w:eastAsia="es-MX"/>
        </w:rPr>
        <w:t xml:space="preserve"> Se levanta el aplazamiento dispuesto en el Acuerdo General Plenario 1/2018, de trece de febrero de dos mil dieciocho, del dictado de la resolución tanto en 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en el Diario Oficial de la Federación del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en las contradicciones de tesis de la competencia de un Pleno de Circuito relacionadas con los temas relativos a: </w:t>
      </w:r>
      <w:r w:rsidRPr="00A3460A">
        <w:rPr>
          <w:rFonts w:ascii="Arial" w:eastAsia="Times New Roman" w:hAnsi="Arial" w:cs="Arial"/>
          <w:i/>
          <w:iCs/>
          <w:sz w:val="18"/>
          <w:szCs w:val="18"/>
          <w:lang w:eastAsia="es-MX"/>
        </w:rPr>
        <w:t>"determinar si resulta válida la sentencia de amparo indirecto firmada electrónicamente, o si ello constituye una violación a las reglas del procedimiento que amerita reponerlo para el efecto de que el Juez de Distrito firme aquélla de manera autógrafa"</w:t>
      </w:r>
      <w:r w:rsidRPr="00A3460A">
        <w:rPr>
          <w:rFonts w:ascii="Arial" w:eastAsia="Times New Roman" w:hAnsi="Arial" w:cs="Arial"/>
          <w:sz w:val="18"/>
          <w:szCs w:val="18"/>
          <w:lang w:eastAsia="es-MX"/>
        </w:rPr>
        <w:t>, y a:</w:t>
      </w:r>
      <w:r w:rsidRPr="00A3460A">
        <w:rPr>
          <w:rFonts w:ascii="Arial" w:eastAsia="Times New Roman" w:hAnsi="Arial" w:cs="Arial"/>
          <w:i/>
          <w:iCs/>
          <w:sz w:val="18"/>
          <w:szCs w:val="18"/>
          <w:lang w:eastAsia="es-MX"/>
        </w:rPr>
        <w:t xml:space="preserve"> "determinar si cuando el Tribunal Colegiado de Circuito advierte que el Juez de Distrito se pronunció respecto de actos que no formaron parte de la </w:t>
      </w:r>
      <w:proofErr w:type="spellStart"/>
      <w:r w:rsidRPr="00A3460A">
        <w:rPr>
          <w:rFonts w:ascii="Arial" w:eastAsia="Times New Roman" w:hAnsi="Arial" w:cs="Arial"/>
          <w:i/>
          <w:iCs/>
          <w:sz w:val="18"/>
          <w:szCs w:val="18"/>
          <w:lang w:eastAsia="es-MX"/>
        </w:rPr>
        <w:t>litis</w:t>
      </w:r>
      <w:proofErr w:type="spellEnd"/>
      <w:r w:rsidRPr="00A3460A">
        <w:rPr>
          <w:rFonts w:ascii="Arial" w:eastAsia="Times New Roman" w:hAnsi="Arial" w:cs="Arial"/>
          <w:i/>
          <w:iCs/>
          <w:sz w:val="18"/>
          <w:szCs w:val="18"/>
          <w:lang w:eastAsia="es-MX"/>
        </w:rPr>
        <w:t>, debe entrar al estudio de fondo del asunto y modificar la sentencia impugnada sin ordenar la reposición del procedimiento"</w:t>
      </w:r>
      <w:r w:rsidRPr="00A3460A">
        <w:rPr>
          <w:rFonts w:ascii="Arial" w:eastAsia="Times New Roman" w:hAnsi="Arial" w:cs="Arial"/>
          <w:sz w:val="18"/>
          <w:szCs w:val="18"/>
          <w:lang w:eastAsia="es-MX"/>
        </w:rPr>
        <w:t>.</w:t>
      </w:r>
    </w:p>
    <w:p w:rsidR="00A3460A" w:rsidRPr="00A3460A" w:rsidRDefault="00A3460A" w:rsidP="00A3460A">
      <w:pPr>
        <w:spacing w:after="80" w:line="240" w:lineRule="auto"/>
        <w:ind w:firstLine="288"/>
        <w:jc w:val="both"/>
        <w:rPr>
          <w:rFonts w:ascii="Arial" w:eastAsia="Times New Roman" w:hAnsi="Arial" w:cs="Arial"/>
          <w:sz w:val="18"/>
          <w:szCs w:val="18"/>
          <w:lang w:eastAsia="es-MX"/>
        </w:rPr>
      </w:pPr>
      <w:r w:rsidRPr="00A3460A">
        <w:rPr>
          <w:rFonts w:ascii="Arial" w:eastAsia="Times New Roman" w:hAnsi="Arial" w:cs="Arial"/>
          <w:b/>
          <w:bCs/>
          <w:sz w:val="18"/>
          <w:szCs w:val="18"/>
          <w:lang w:eastAsia="es-MX"/>
        </w:rPr>
        <w:t>SEGUNDO.</w:t>
      </w:r>
      <w:r w:rsidRPr="00A3460A">
        <w:rPr>
          <w:rFonts w:ascii="Arial" w:eastAsia="Times New Roman" w:hAnsi="Arial" w:cs="Arial"/>
          <w:sz w:val="18"/>
          <w:szCs w:val="18"/>
          <w:lang w:eastAsia="es-MX"/>
        </w:rPr>
        <w:t xml:space="preserve"> Los asuntos a que se refiere el Punto inmediato anterior pendientes de resolución en los Tribunales Colegiados de Circuito y en los Plenos de Circuito, deberán ser resueltos por éstos aplicando las tesis jurisprudenciales citadas en el Considerando Cuarto del presente Acuerdo General.</w:t>
      </w:r>
    </w:p>
    <w:p w:rsidR="00A3460A" w:rsidRPr="00A3460A" w:rsidRDefault="00A3460A" w:rsidP="00A3460A">
      <w:pPr>
        <w:spacing w:after="80" w:line="240" w:lineRule="auto"/>
        <w:jc w:val="both"/>
        <w:rPr>
          <w:rFonts w:ascii="Arial" w:eastAsia="Times New Roman" w:hAnsi="Arial" w:cs="Arial"/>
          <w:sz w:val="18"/>
          <w:szCs w:val="18"/>
          <w:lang w:eastAsia="es-MX"/>
        </w:rPr>
      </w:pPr>
      <w:r w:rsidRPr="00A3460A">
        <w:rPr>
          <w:rFonts w:ascii="Arial" w:eastAsia="Times New Roman" w:hAnsi="Arial" w:cs="Arial"/>
          <w:sz w:val="18"/>
          <w:szCs w:val="18"/>
          <w:lang w:eastAsia="es-MX"/>
        </w:rPr>
        <w:t>TRANSITORIOS:</w:t>
      </w:r>
    </w:p>
    <w:p w:rsidR="00A3460A" w:rsidRPr="00A3460A" w:rsidRDefault="00A3460A" w:rsidP="00A3460A">
      <w:pPr>
        <w:spacing w:after="80" w:line="240" w:lineRule="auto"/>
        <w:ind w:firstLine="288"/>
        <w:jc w:val="both"/>
        <w:rPr>
          <w:rFonts w:ascii="Arial" w:eastAsia="Times New Roman" w:hAnsi="Arial" w:cs="Arial"/>
          <w:sz w:val="18"/>
          <w:szCs w:val="18"/>
          <w:lang w:eastAsia="es-MX"/>
        </w:rPr>
      </w:pPr>
      <w:r w:rsidRPr="00A3460A">
        <w:rPr>
          <w:rFonts w:ascii="Arial" w:eastAsia="Times New Roman" w:hAnsi="Arial" w:cs="Arial"/>
          <w:b/>
          <w:bCs/>
          <w:sz w:val="18"/>
          <w:szCs w:val="18"/>
          <w:lang w:eastAsia="es-MX"/>
        </w:rPr>
        <w:t>PRIMERO.</w:t>
      </w:r>
      <w:r w:rsidRPr="00A3460A">
        <w:rPr>
          <w:rFonts w:ascii="Arial" w:eastAsia="Times New Roman" w:hAnsi="Arial" w:cs="Arial"/>
          <w:sz w:val="18"/>
          <w:szCs w:val="18"/>
          <w:lang w:eastAsia="es-MX"/>
        </w:rPr>
        <w:t xml:space="preserve"> Este Acuerdo General entrará en vigor al día siguiente de su publicación en el Diario Oficial de la Federación.</w:t>
      </w:r>
    </w:p>
    <w:p w:rsidR="00A3460A" w:rsidRPr="00A3460A" w:rsidRDefault="00A3460A" w:rsidP="00A3460A">
      <w:pPr>
        <w:spacing w:after="80" w:line="240" w:lineRule="auto"/>
        <w:ind w:firstLine="288"/>
        <w:jc w:val="both"/>
        <w:rPr>
          <w:rFonts w:ascii="Arial" w:eastAsia="Times New Roman" w:hAnsi="Arial" w:cs="Arial"/>
          <w:sz w:val="18"/>
          <w:szCs w:val="18"/>
          <w:lang w:eastAsia="es-MX"/>
        </w:rPr>
      </w:pPr>
      <w:r w:rsidRPr="00A3460A">
        <w:rPr>
          <w:rFonts w:ascii="Arial" w:eastAsia="Times New Roman" w:hAnsi="Arial" w:cs="Arial"/>
          <w:b/>
          <w:bCs/>
          <w:sz w:val="18"/>
          <w:szCs w:val="18"/>
          <w:lang w:eastAsia="es-MX"/>
        </w:rPr>
        <w:t>SEGUNDO.</w:t>
      </w:r>
      <w:r w:rsidRPr="00A3460A">
        <w:rPr>
          <w:rFonts w:ascii="Arial" w:eastAsia="Times New Roman" w:hAnsi="Arial" w:cs="Arial"/>
          <w:sz w:val="18"/>
          <w:szCs w:val="18"/>
          <w:lang w:eastAsia="es-MX"/>
        </w:rPr>
        <w:t xml:space="preserve">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p>
    <w:p w:rsidR="00A3460A" w:rsidRPr="00A3460A" w:rsidRDefault="00A3460A" w:rsidP="00A3460A">
      <w:pPr>
        <w:spacing w:after="80" w:line="240" w:lineRule="auto"/>
        <w:ind w:firstLine="288"/>
        <w:jc w:val="both"/>
        <w:rPr>
          <w:rFonts w:ascii="Arial" w:eastAsia="Times New Roman" w:hAnsi="Arial" w:cs="Arial"/>
          <w:sz w:val="18"/>
          <w:szCs w:val="18"/>
          <w:lang w:eastAsia="es-MX"/>
        </w:rPr>
      </w:pPr>
      <w:r w:rsidRPr="00A3460A">
        <w:rPr>
          <w:rFonts w:ascii="Arial" w:eastAsia="Times New Roman" w:hAnsi="Arial" w:cs="Arial"/>
          <w:sz w:val="18"/>
          <w:szCs w:val="18"/>
          <w:lang w:eastAsia="es-MX"/>
        </w:rPr>
        <w:t>El Presidente de la Suprema Corte de Justicia de la Nación, Ministro</w:t>
      </w:r>
      <w:r w:rsidRPr="00A3460A">
        <w:rPr>
          <w:rFonts w:ascii="Arial" w:eastAsia="Times New Roman" w:hAnsi="Arial" w:cs="Arial"/>
          <w:b/>
          <w:bCs/>
          <w:sz w:val="18"/>
          <w:szCs w:val="18"/>
          <w:lang w:eastAsia="es-MX"/>
        </w:rPr>
        <w:t xml:space="preserve"> Arturo Zaldívar Lelo de Larrea</w:t>
      </w:r>
      <w:r w:rsidRPr="00A3460A">
        <w:rPr>
          <w:rFonts w:ascii="Arial" w:eastAsia="Times New Roman" w:hAnsi="Arial" w:cs="Arial"/>
          <w:sz w:val="18"/>
          <w:szCs w:val="18"/>
          <w:lang w:eastAsia="es-MX"/>
        </w:rPr>
        <w:t>.- Rúbrica.- El Secretario General de Acuerdos, Lic.</w:t>
      </w:r>
      <w:r w:rsidRPr="00A3460A">
        <w:rPr>
          <w:rFonts w:ascii="Arial" w:eastAsia="Times New Roman" w:hAnsi="Arial" w:cs="Arial"/>
          <w:b/>
          <w:bCs/>
          <w:sz w:val="18"/>
          <w:szCs w:val="18"/>
          <w:lang w:eastAsia="es-MX"/>
        </w:rPr>
        <w:t xml:space="preserve"> Rafael Coello Cetina</w:t>
      </w:r>
      <w:r w:rsidRPr="00A3460A">
        <w:rPr>
          <w:rFonts w:ascii="Arial" w:eastAsia="Times New Roman" w:hAnsi="Arial" w:cs="Arial"/>
          <w:sz w:val="18"/>
          <w:szCs w:val="18"/>
          <w:lang w:eastAsia="es-MX"/>
        </w:rPr>
        <w:t>.- Rúbrica.</w:t>
      </w:r>
    </w:p>
    <w:p w:rsidR="00A3460A" w:rsidRPr="00A3460A" w:rsidRDefault="00A3460A" w:rsidP="00A3460A">
      <w:pPr>
        <w:spacing w:after="80" w:line="240" w:lineRule="auto"/>
        <w:ind w:firstLine="288"/>
        <w:jc w:val="both"/>
        <w:rPr>
          <w:rFonts w:ascii="Arial" w:eastAsia="Times New Roman" w:hAnsi="Arial" w:cs="Arial"/>
          <w:sz w:val="18"/>
          <w:szCs w:val="18"/>
          <w:lang w:eastAsia="es-MX"/>
        </w:rPr>
      </w:pPr>
      <w:r w:rsidRPr="00A3460A">
        <w:rPr>
          <w:rFonts w:ascii="Arial" w:eastAsia="Times New Roman" w:hAnsi="Arial" w:cs="Arial"/>
          <w:sz w:val="18"/>
          <w:szCs w:val="18"/>
          <w:lang w:eastAsia="es-MX"/>
        </w:rPr>
        <w:t xml:space="preserve">El licenciado </w:t>
      </w:r>
      <w:r w:rsidRPr="00A3460A">
        <w:rPr>
          <w:rFonts w:ascii="Arial" w:eastAsia="Times New Roman" w:hAnsi="Arial" w:cs="Arial"/>
          <w:b/>
          <w:bCs/>
          <w:sz w:val="18"/>
          <w:szCs w:val="18"/>
          <w:lang w:eastAsia="es-MX"/>
        </w:rPr>
        <w:t>Rafael Coello Cetina</w:t>
      </w:r>
      <w:r w:rsidRPr="00A3460A">
        <w:rPr>
          <w:rFonts w:ascii="Arial" w:eastAsia="Times New Roman" w:hAnsi="Arial" w:cs="Arial"/>
          <w:sz w:val="18"/>
          <w:szCs w:val="18"/>
          <w:lang w:eastAsia="es-MX"/>
        </w:rPr>
        <w:t xml:space="preserve">, Secretario General de Acuerdos de la Suprema Corte de Justicia de la Nación, CERTIFICA: Este ACUERDO GENERAL NÚMERO 4/2022, DE VEINTINUEVE DE MARZO DE DOS MIL VEINTIDÓS, DEL PLENO DE LA SUPREMA CORTE DE JUSTICIA DE LA NACIÓN, POR EL QUE SE LEVANTA EL APLAZAMIENTO DEL DICTADO DE LA RESOLUCIÓN TANTO EN 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EN EL DIARIO OFICIAL DE LA FEDERACIÓN DEL NUEVE DE DICIEMBRE DE DOS MIL TRECE, DEL DIVERSO 22, FRACCIONES IV Y VI, DE LA LEY DE INGRESOS DE LA FEDERACIÓN PARA EL EJERCICIO FISCAL DE 2015, ASÍ COMO DE LAS DIVERSAS DISPOSICIONES DE OBSERVANCIA GENERAL QUE REGULAN LO </w:t>
      </w:r>
      <w:r w:rsidRPr="00A3460A">
        <w:rPr>
          <w:rFonts w:ascii="Arial" w:eastAsia="Times New Roman" w:hAnsi="Arial" w:cs="Arial"/>
          <w:sz w:val="18"/>
          <w:szCs w:val="18"/>
          <w:lang w:eastAsia="es-MX"/>
        </w:rPr>
        <w:lastRenderedPageBreak/>
        <w:t xml:space="preserve">PREVISTO EN LOS REFERIDOS PRECEPTOS EN RELACIÓN CON EL BUZÓN TRIBUTARIO Y LA CONTABILIDAD EN MEDIOS ELECTRÓNICOS, COMO EN LAS CONTRADICCIONES DE TESIS DE LA COMPETENCIA DE UN PLENO DE CIRCUITO RELACIONADAS CON LOS TEMAS RELATIVOS A: </w:t>
      </w:r>
      <w:r w:rsidRPr="00A3460A">
        <w:rPr>
          <w:rFonts w:ascii="Arial" w:eastAsia="Times New Roman" w:hAnsi="Arial" w:cs="Arial"/>
          <w:i/>
          <w:iCs/>
          <w:sz w:val="18"/>
          <w:szCs w:val="18"/>
          <w:lang w:eastAsia="es-MX"/>
        </w:rPr>
        <w:t>"DETERMINAR SI RESULTA VÁLIDA LA SENTENCIA DE AMPARO INDIRECTO FIRMADA ELECTRÓNICAMENTE, O SI ELLO CONSTITUYE UNA VIOLACIÓN A LAS REGLAS DEL PROCEDIMIENTO QUE AMERITA REPONERLO PARA EL EFECTO DE QUE EL JUEZ DE DISTRITO FIRME AQUÉLLA DE MANERA AUTÓGRAFA"</w:t>
      </w:r>
      <w:r w:rsidRPr="00A3460A">
        <w:rPr>
          <w:rFonts w:ascii="Arial" w:eastAsia="Times New Roman" w:hAnsi="Arial" w:cs="Arial"/>
          <w:sz w:val="18"/>
          <w:szCs w:val="18"/>
          <w:lang w:eastAsia="es-MX"/>
        </w:rPr>
        <w:t xml:space="preserve">, Y A: </w:t>
      </w:r>
      <w:r w:rsidRPr="00A3460A">
        <w:rPr>
          <w:rFonts w:ascii="Arial" w:eastAsia="Times New Roman" w:hAnsi="Arial" w:cs="Arial"/>
          <w:i/>
          <w:iCs/>
          <w:sz w:val="18"/>
          <w:szCs w:val="18"/>
          <w:lang w:eastAsia="es-MX"/>
        </w:rPr>
        <w:t>"DETERMINAR SI CUANDO EL TRIBUNAL COLEGIADO DE CIRCUITO ADVIERTE QUE EL JUEZ DE DISTRITO SE PRONUNCIÓ RESPECTO DE ACTOS QUE NO FORMARON PARTE DE LA LITIS, DEBE ENTRAR AL ESTUDIO DE FONDO DEL ASUNTO Y MODIFICAR LA SENTENCIA IMPUGNADA SIN ORDENAR LA REPOSICIÓN DEL PROCEDIMIENTO"</w:t>
      </w:r>
      <w:r w:rsidRPr="00A3460A">
        <w:rPr>
          <w:rFonts w:ascii="Arial" w:eastAsia="Times New Roman" w:hAnsi="Arial" w:cs="Arial"/>
          <w:sz w:val="18"/>
          <w:szCs w:val="18"/>
          <w:lang w:eastAsia="es-MX"/>
        </w:rPr>
        <w:t xml:space="preserve">; RELACIONADO CON EL DIVERSO 1/2018, DE TRECE DE FEBRERO DE DOS MIL DIECIOCHO, fue emitido por el Tribunal Pleno en Sesión Privada celebrada el día de hoy, por unanimidad de nueve votos de las señoras Ministras y de los señores Ministros Alfredo Gutiérrez Ortiz Mena, Juan Luis González Alcántara </w:t>
      </w:r>
      <w:proofErr w:type="spellStart"/>
      <w:r w:rsidRPr="00A3460A">
        <w:rPr>
          <w:rFonts w:ascii="Arial" w:eastAsia="Times New Roman" w:hAnsi="Arial" w:cs="Arial"/>
          <w:sz w:val="18"/>
          <w:szCs w:val="18"/>
          <w:lang w:eastAsia="es-MX"/>
        </w:rPr>
        <w:t>Carrancá</w:t>
      </w:r>
      <w:proofErr w:type="spellEnd"/>
      <w:r w:rsidRPr="00A3460A">
        <w:rPr>
          <w:rFonts w:ascii="Arial" w:eastAsia="Times New Roman" w:hAnsi="Arial" w:cs="Arial"/>
          <w:sz w:val="18"/>
          <w:szCs w:val="18"/>
          <w:lang w:eastAsia="es-MX"/>
        </w:rPr>
        <w:t xml:space="preserve">, </w:t>
      </w:r>
      <w:proofErr w:type="spellStart"/>
      <w:r w:rsidRPr="00A3460A">
        <w:rPr>
          <w:rFonts w:ascii="Arial" w:eastAsia="Times New Roman" w:hAnsi="Arial" w:cs="Arial"/>
          <w:sz w:val="18"/>
          <w:szCs w:val="18"/>
          <w:lang w:eastAsia="es-MX"/>
        </w:rPr>
        <w:t>Yasmín</w:t>
      </w:r>
      <w:proofErr w:type="spellEnd"/>
      <w:r w:rsidRPr="00A3460A">
        <w:rPr>
          <w:rFonts w:ascii="Arial" w:eastAsia="Times New Roman" w:hAnsi="Arial" w:cs="Arial"/>
          <w:sz w:val="18"/>
          <w:szCs w:val="18"/>
          <w:lang w:eastAsia="es-MX"/>
        </w:rPr>
        <w:t xml:space="preserve"> Esquivel </w:t>
      </w:r>
      <w:proofErr w:type="spellStart"/>
      <w:r w:rsidRPr="00A3460A">
        <w:rPr>
          <w:rFonts w:ascii="Arial" w:eastAsia="Times New Roman" w:hAnsi="Arial" w:cs="Arial"/>
          <w:sz w:val="18"/>
          <w:szCs w:val="18"/>
          <w:lang w:eastAsia="es-MX"/>
        </w:rPr>
        <w:t>Mossa</w:t>
      </w:r>
      <w:proofErr w:type="spellEnd"/>
      <w:r w:rsidRPr="00A3460A">
        <w:rPr>
          <w:rFonts w:ascii="Arial" w:eastAsia="Times New Roman" w:hAnsi="Arial" w:cs="Arial"/>
          <w:sz w:val="18"/>
          <w:szCs w:val="18"/>
          <w:lang w:eastAsia="es-MX"/>
        </w:rPr>
        <w:t xml:space="preserve">, </w:t>
      </w:r>
      <w:proofErr w:type="spellStart"/>
      <w:r w:rsidRPr="00A3460A">
        <w:rPr>
          <w:rFonts w:ascii="Arial" w:eastAsia="Times New Roman" w:hAnsi="Arial" w:cs="Arial"/>
          <w:sz w:val="18"/>
          <w:szCs w:val="18"/>
          <w:lang w:eastAsia="es-MX"/>
        </w:rPr>
        <w:t>Loretta</w:t>
      </w:r>
      <w:proofErr w:type="spellEnd"/>
      <w:r w:rsidRPr="00A3460A">
        <w:rPr>
          <w:rFonts w:ascii="Arial" w:eastAsia="Times New Roman" w:hAnsi="Arial" w:cs="Arial"/>
          <w:sz w:val="18"/>
          <w:szCs w:val="18"/>
          <w:lang w:eastAsia="es-MX"/>
        </w:rPr>
        <w:t xml:space="preserve"> Ortiz </w:t>
      </w:r>
      <w:proofErr w:type="spellStart"/>
      <w:r w:rsidRPr="00A3460A">
        <w:rPr>
          <w:rFonts w:ascii="Arial" w:eastAsia="Times New Roman" w:hAnsi="Arial" w:cs="Arial"/>
          <w:sz w:val="18"/>
          <w:szCs w:val="18"/>
          <w:lang w:eastAsia="es-MX"/>
        </w:rPr>
        <w:t>Ahlf</w:t>
      </w:r>
      <w:proofErr w:type="spellEnd"/>
      <w:r w:rsidRPr="00A3460A">
        <w:rPr>
          <w:rFonts w:ascii="Arial" w:eastAsia="Times New Roman" w:hAnsi="Arial" w:cs="Arial"/>
          <w:sz w:val="18"/>
          <w:szCs w:val="18"/>
          <w:lang w:eastAsia="es-MX"/>
        </w:rPr>
        <w:t xml:space="preserve">, Luis María Aguilar Morales, Jorge Mario Pardo Rebolledo, Norma Lucía Piña Hernández, Alberto Pérez </w:t>
      </w:r>
      <w:proofErr w:type="spellStart"/>
      <w:r w:rsidRPr="00A3460A">
        <w:rPr>
          <w:rFonts w:ascii="Arial" w:eastAsia="Times New Roman" w:hAnsi="Arial" w:cs="Arial"/>
          <w:sz w:val="18"/>
          <w:szCs w:val="18"/>
          <w:lang w:eastAsia="es-MX"/>
        </w:rPr>
        <w:t>Dayán</w:t>
      </w:r>
      <w:proofErr w:type="spellEnd"/>
      <w:r w:rsidRPr="00A3460A">
        <w:rPr>
          <w:rFonts w:ascii="Arial" w:eastAsia="Times New Roman" w:hAnsi="Arial" w:cs="Arial"/>
          <w:sz w:val="18"/>
          <w:szCs w:val="18"/>
          <w:lang w:eastAsia="es-MX"/>
        </w:rPr>
        <w:t xml:space="preserve"> y Presidente Arturo Zaldívar Lelo de Larrea. La señora Ministra Ana Margarita Ríos </w:t>
      </w:r>
      <w:proofErr w:type="spellStart"/>
      <w:r w:rsidRPr="00A3460A">
        <w:rPr>
          <w:rFonts w:ascii="Arial" w:eastAsia="Times New Roman" w:hAnsi="Arial" w:cs="Arial"/>
          <w:sz w:val="18"/>
          <w:szCs w:val="18"/>
          <w:lang w:eastAsia="es-MX"/>
        </w:rPr>
        <w:t>Farjat</w:t>
      </w:r>
      <w:proofErr w:type="spellEnd"/>
      <w:r w:rsidRPr="00A3460A">
        <w:rPr>
          <w:rFonts w:ascii="Arial" w:eastAsia="Times New Roman" w:hAnsi="Arial" w:cs="Arial"/>
          <w:sz w:val="18"/>
          <w:szCs w:val="18"/>
          <w:lang w:eastAsia="es-MX"/>
        </w:rPr>
        <w:t xml:space="preserve"> y el señor Ministro Javier </w:t>
      </w:r>
      <w:proofErr w:type="spellStart"/>
      <w:r w:rsidRPr="00A3460A">
        <w:rPr>
          <w:rFonts w:ascii="Arial" w:eastAsia="Times New Roman" w:hAnsi="Arial" w:cs="Arial"/>
          <w:sz w:val="18"/>
          <w:szCs w:val="18"/>
          <w:lang w:eastAsia="es-MX"/>
        </w:rPr>
        <w:t>Laynez</w:t>
      </w:r>
      <w:proofErr w:type="spellEnd"/>
      <w:r w:rsidRPr="00A3460A">
        <w:rPr>
          <w:rFonts w:ascii="Arial" w:eastAsia="Times New Roman" w:hAnsi="Arial" w:cs="Arial"/>
          <w:sz w:val="18"/>
          <w:szCs w:val="18"/>
          <w:lang w:eastAsia="es-MX"/>
        </w:rPr>
        <w:t xml:space="preserve"> </w:t>
      </w:r>
      <w:proofErr w:type="spellStart"/>
      <w:r w:rsidRPr="00A3460A">
        <w:rPr>
          <w:rFonts w:ascii="Arial" w:eastAsia="Times New Roman" w:hAnsi="Arial" w:cs="Arial"/>
          <w:sz w:val="18"/>
          <w:szCs w:val="18"/>
          <w:lang w:eastAsia="es-MX"/>
        </w:rPr>
        <w:t>Potisek</w:t>
      </w:r>
      <w:proofErr w:type="spellEnd"/>
      <w:r w:rsidRPr="00A3460A">
        <w:rPr>
          <w:rFonts w:ascii="Arial" w:eastAsia="Times New Roman" w:hAnsi="Arial" w:cs="Arial"/>
          <w:sz w:val="18"/>
          <w:szCs w:val="18"/>
          <w:lang w:eastAsia="es-MX"/>
        </w:rPr>
        <w:t xml:space="preserve"> estuvieron ausentes, previo aviso.- Ciudad de México, a veintinueve de marzo de dos mil veintidós.- Rúbrica.</w:t>
      </w:r>
    </w:p>
    <w:p w:rsidR="00976270" w:rsidRPr="00A3460A" w:rsidRDefault="00A3460A" w:rsidP="00A3460A">
      <w:pPr>
        <w:spacing w:after="101" w:line="240" w:lineRule="auto"/>
        <w:ind w:firstLine="288"/>
        <w:rPr>
          <w:rFonts w:ascii="Times New Roman" w:eastAsia="Times New Roman" w:hAnsi="Times New Roman" w:cs="Times New Roman"/>
          <w:sz w:val="24"/>
          <w:szCs w:val="24"/>
          <w:lang w:eastAsia="es-MX"/>
        </w:rPr>
      </w:pPr>
    </w:p>
    <w:sectPr w:rsidR="00976270" w:rsidRPr="00A346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0A"/>
    <w:rsid w:val="005152B3"/>
    <w:rsid w:val="00A3460A"/>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6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6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00988">
      <w:bodyDiv w:val="1"/>
      <w:marLeft w:val="0"/>
      <w:marRight w:val="0"/>
      <w:marTop w:val="0"/>
      <w:marBottom w:val="0"/>
      <w:divBdr>
        <w:top w:val="none" w:sz="0" w:space="0" w:color="auto"/>
        <w:left w:val="none" w:sz="0" w:space="0" w:color="auto"/>
        <w:bottom w:val="none" w:sz="0" w:space="0" w:color="auto"/>
        <w:right w:val="none" w:sz="0" w:space="0" w:color="auto"/>
      </w:divBdr>
      <w:divsChild>
        <w:div w:id="2070152813">
          <w:marLeft w:val="0"/>
          <w:marRight w:val="0"/>
          <w:marTop w:val="0"/>
          <w:marBottom w:val="101"/>
          <w:divBdr>
            <w:top w:val="none" w:sz="0" w:space="0" w:color="auto"/>
            <w:left w:val="none" w:sz="0" w:space="0" w:color="auto"/>
            <w:bottom w:val="none" w:sz="0" w:space="0" w:color="auto"/>
            <w:right w:val="none" w:sz="0" w:space="0" w:color="auto"/>
          </w:divBdr>
        </w:div>
        <w:div w:id="105466241">
          <w:marLeft w:val="0"/>
          <w:marRight w:val="0"/>
          <w:marTop w:val="101"/>
          <w:marBottom w:val="101"/>
          <w:divBdr>
            <w:top w:val="none" w:sz="0" w:space="0" w:color="auto"/>
            <w:left w:val="none" w:sz="0" w:space="0" w:color="auto"/>
            <w:bottom w:val="none" w:sz="0" w:space="0" w:color="auto"/>
            <w:right w:val="none" w:sz="0" w:space="0" w:color="auto"/>
          </w:divBdr>
        </w:div>
        <w:div w:id="1915621662">
          <w:marLeft w:val="0"/>
          <w:marRight w:val="0"/>
          <w:marTop w:val="0"/>
          <w:marBottom w:val="101"/>
          <w:divBdr>
            <w:top w:val="none" w:sz="0" w:space="0" w:color="auto"/>
            <w:left w:val="none" w:sz="0" w:space="0" w:color="auto"/>
            <w:bottom w:val="none" w:sz="0" w:space="0" w:color="auto"/>
            <w:right w:val="none" w:sz="0" w:space="0" w:color="auto"/>
          </w:divBdr>
        </w:div>
        <w:div w:id="1054503081">
          <w:marLeft w:val="0"/>
          <w:marRight w:val="0"/>
          <w:marTop w:val="0"/>
          <w:marBottom w:val="101"/>
          <w:divBdr>
            <w:top w:val="none" w:sz="0" w:space="0" w:color="auto"/>
            <w:left w:val="none" w:sz="0" w:space="0" w:color="auto"/>
            <w:bottom w:val="none" w:sz="0" w:space="0" w:color="auto"/>
            <w:right w:val="none" w:sz="0" w:space="0" w:color="auto"/>
          </w:divBdr>
        </w:div>
        <w:div w:id="808597418">
          <w:marLeft w:val="0"/>
          <w:marRight w:val="0"/>
          <w:marTop w:val="0"/>
          <w:marBottom w:val="101"/>
          <w:divBdr>
            <w:top w:val="none" w:sz="0" w:space="0" w:color="auto"/>
            <w:left w:val="none" w:sz="0" w:space="0" w:color="auto"/>
            <w:bottom w:val="none" w:sz="0" w:space="0" w:color="auto"/>
            <w:right w:val="none" w:sz="0" w:space="0" w:color="auto"/>
          </w:divBdr>
        </w:div>
        <w:div w:id="169106278">
          <w:marLeft w:val="0"/>
          <w:marRight w:val="0"/>
          <w:marTop w:val="0"/>
          <w:marBottom w:val="101"/>
          <w:divBdr>
            <w:top w:val="none" w:sz="0" w:space="0" w:color="auto"/>
            <w:left w:val="none" w:sz="0" w:space="0" w:color="auto"/>
            <w:bottom w:val="none" w:sz="0" w:space="0" w:color="auto"/>
            <w:right w:val="none" w:sz="0" w:space="0" w:color="auto"/>
          </w:divBdr>
        </w:div>
        <w:div w:id="185600768">
          <w:marLeft w:val="0"/>
          <w:marRight w:val="0"/>
          <w:marTop w:val="0"/>
          <w:marBottom w:val="101"/>
          <w:divBdr>
            <w:top w:val="none" w:sz="0" w:space="0" w:color="auto"/>
            <w:left w:val="none" w:sz="0" w:space="0" w:color="auto"/>
            <w:bottom w:val="none" w:sz="0" w:space="0" w:color="auto"/>
            <w:right w:val="none" w:sz="0" w:space="0" w:color="auto"/>
          </w:divBdr>
        </w:div>
        <w:div w:id="248852920">
          <w:marLeft w:val="0"/>
          <w:marRight w:val="0"/>
          <w:marTop w:val="0"/>
          <w:marBottom w:val="101"/>
          <w:divBdr>
            <w:top w:val="none" w:sz="0" w:space="0" w:color="auto"/>
            <w:left w:val="none" w:sz="0" w:space="0" w:color="auto"/>
            <w:bottom w:val="none" w:sz="0" w:space="0" w:color="auto"/>
            <w:right w:val="none" w:sz="0" w:space="0" w:color="auto"/>
          </w:divBdr>
        </w:div>
        <w:div w:id="1797024629">
          <w:marLeft w:val="0"/>
          <w:marRight w:val="0"/>
          <w:marTop w:val="0"/>
          <w:marBottom w:val="80"/>
          <w:divBdr>
            <w:top w:val="none" w:sz="0" w:space="0" w:color="auto"/>
            <w:left w:val="none" w:sz="0" w:space="0" w:color="auto"/>
            <w:bottom w:val="none" w:sz="0" w:space="0" w:color="auto"/>
            <w:right w:val="none" w:sz="0" w:space="0" w:color="auto"/>
          </w:divBdr>
        </w:div>
        <w:div w:id="132914944">
          <w:marLeft w:val="0"/>
          <w:marRight w:val="0"/>
          <w:marTop w:val="0"/>
          <w:marBottom w:val="80"/>
          <w:divBdr>
            <w:top w:val="none" w:sz="0" w:space="0" w:color="auto"/>
            <w:left w:val="none" w:sz="0" w:space="0" w:color="auto"/>
            <w:bottom w:val="none" w:sz="0" w:space="0" w:color="auto"/>
            <w:right w:val="none" w:sz="0" w:space="0" w:color="auto"/>
          </w:divBdr>
        </w:div>
        <w:div w:id="1655836062">
          <w:marLeft w:val="0"/>
          <w:marRight w:val="0"/>
          <w:marTop w:val="0"/>
          <w:marBottom w:val="80"/>
          <w:divBdr>
            <w:top w:val="none" w:sz="0" w:space="0" w:color="auto"/>
            <w:left w:val="none" w:sz="0" w:space="0" w:color="auto"/>
            <w:bottom w:val="none" w:sz="0" w:space="0" w:color="auto"/>
            <w:right w:val="none" w:sz="0" w:space="0" w:color="auto"/>
          </w:divBdr>
        </w:div>
        <w:div w:id="2045783345">
          <w:marLeft w:val="0"/>
          <w:marRight w:val="0"/>
          <w:marTop w:val="0"/>
          <w:marBottom w:val="80"/>
          <w:divBdr>
            <w:top w:val="none" w:sz="0" w:space="0" w:color="auto"/>
            <w:left w:val="none" w:sz="0" w:space="0" w:color="auto"/>
            <w:bottom w:val="none" w:sz="0" w:space="0" w:color="auto"/>
            <w:right w:val="none" w:sz="0" w:space="0" w:color="auto"/>
          </w:divBdr>
        </w:div>
        <w:div w:id="1349329579">
          <w:marLeft w:val="0"/>
          <w:marRight w:val="0"/>
          <w:marTop w:val="0"/>
          <w:marBottom w:val="80"/>
          <w:divBdr>
            <w:top w:val="none" w:sz="0" w:space="0" w:color="auto"/>
            <w:left w:val="none" w:sz="0" w:space="0" w:color="auto"/>
            <w:bottom w:val="none" w:sz="0" w:space="0" w:color="auto"/>
            <w:right w:val="none" w:sz="0" w:space="0" w:color="auto"/>
          </w:divBdr>
        </w:div>
        <w:div w:id="156849687">
          <w:marLeft w:val="0"/>
          <w:marRight w:val="0"/>
          <w:marTop w:val="0"/>
          <w:marBottom w:val="80"/>
          <w:divBdr>
            <w:top w:val="none" w:sz="0" w:space="0" w:color="auto"/>
            <w:left w:val="none" w:sz="0" w:space="0" w:color="auto"/>
            <w:bottom w:val="none" w:sz="0" w:space="0" w:color="auto"/>
            <w:right w:val="none" w:sz="0" w:space="0" w:color="auto"/>
          </w:divBdr>
        </w:div>
        <w:div w:id="1441490848">
          <w:marLeft w:val="0"/>
          <w:marRight w:val="0"/>
          <w:marTop w:val="0"/>
          <w:marBottom w:val="80"/>
          <w:divBdr>
            <w:top w:val="none" w:sz="0" w:space="0" w:color="auto"/>
            <w:left w:val="none" w:sz="0" w:space="0" w:color="auto"/>
            <w:bottom w:val="none" w:sz="0" w:space="0" w:color="auto"/>
            <w:right w:val="none" w:sz="0" w:space="0" w:color="auto"/>
          </w:divBdr>
        </w:div>
        <w:div w:id="2060784383">
          <w:marLeft w:val="0"/>
          <w:marRight w:val="0"/>
          <w:marTop w:val="0"/>
          <w:marBottom w:val="80"/>
          <w:divBdr>
            <w:top w:val="none" w:sz="0" w:space="0" w:color="auto"/>
            <w:left w:val="none" w:sz="0" w:space="0" w:color="auto"/>
            <w:bottom w:val="none" w:sz="0" w:space="0" w:color="auto"/>
            <w:right w:val="none" w:sz="0" w:space="0" w:color="auto"/>
          </w:divBdr>
        </w:div>
        <w:div w:id="1628003695">
          <w:marLeft w:val="0"/>
          <w:marRight w:val="0"/>
          <w:marTop w:val="0"/>
          <w:marBottom w:val="80"/>
          <w:divBdr>
            <w:top w:val="none" w:sz="0" w:space="0" w:color="auto"/>
            <w:left w:val="none" w:sz="0" w:space="0" w:color="auto"/>
            <w:bottom w:val="none" w:sz="0" w:space="0" w:color="auto"/>
            <w:right w:val="none" w:sz="0" w:space="0" w:color="auto"/>
          </w:divBdr>
        </w:div>
        <w:div w:id="261765945">
          <w:marLeft w:val="0"/>
          <w:marRight w:val="0"/>
          <w:marTop w:val="0"/>
          <w:marBottom w:val="80"/>
          <w:divBdr>
            <w:top w:val="none" w:sz="0" w:space="0" w:color="auto"/>
            <w:left w:val="none" w:sz="0" w:space="0" w:color="auto"/>
            <w:bottom w:val="none" w:sz="0" w:space="0" w:color="auto"/>
            <w:right w:val="none" w:sz="0" w:space="0" w:color="auto"/>
          </w:divBdr>
        </w:div>
        <w:div w:id="3012045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2308</Words>
  <Characters>12694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2022-04-07T14:20:00Z</dcterms:created>
  <dcterms:modified xsi:type="dcterms:W3CDTF">2022-04-07T14:22:00Z</dcterms:modified>
</cp:coreProperties>
</file>