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99" w:rsidRDefault="00287199" w:rsidP="00287199">
      <w:pPr>
        <w:jc w:val="center"/>
        <w:rPr>
          <w:rFonts w:ascii="Verdana" w:hAnsi="Verdana"/>
          <w:b/>
          <w:color w:val="0070C0"/>
          <w:sz w:val="24"/>
        </w:rPr>
      </w:pPr>
      <w:r w:rsidRPr="00287199">
        <w:rPr>
          <w:rFonts w:ascii="Verdana" w:hAnsi="Verdana"/>
          <w:b/>
          <w:color w:val="0070C0"/>
          <w:sz w:val="24"/>
        </w:rPr>
        <w:t>Acuerdo por el que se modifican los formatos AC-1, AC-2, AC-3, AC-4, AC-5, AC-6, AC-7 y AC-8 del Acuerdo por el que se dan a conocer los Lineamientos de operación y los formatos para la realización de los trámites administrativos a que se refiere el Reglamento de Agencias de Colocación de Trabajadores, p</w:t>
      </w:r>
      <w:r>
        <w:rPr>
          <w:rFonts w:ascii="Verdana" w:hAnsi="Verdana"/>
          <w:b/>
          <w:color w:val="0070C0"/>
          <w:sz w:val="24"/>
        </w:rPr>
        <w:t>ublicado el 20 de marzo de 2015</w:t>
      </w:r>
    </w:p>
    <w:p w:rsidR="00287199" w:rsidRDefault="00287199" w:rsidP="00287199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26 de marzo de 2018)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Al margen un sello con el Escudo Nacional, que dice: Estados Unidos Mexicanos.- Secretaría del Trabajo y Previsión Social.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ROBERTO RAFAEL CAMPA CIFRIÁN, Secretario del Trabajo y Previsión Social, con fundamento en los artículos 2, 12, 26 y 40 de la Ley Orgánica de la Administración Pública Federal; 28, 28-A, 28-B, 29, 537, fracción II, 538, 539, fracción II, 539-C, 539-D, 539-E y 539-F de la Ley Federal del Trabajo; 4, 69-M y 69-O de la Ley Federal de Procedimiento Administrativo, y 1, 2, 4, 5, 6 fracción IX, 11, 14, 31, 32 y 33 del Reglamento Interior de la Secretaría del Trabajo y Previsión Social, y</w:t>
      </w:r>
    </w:p>
    <w:p w:rsidR="00287199" w:rsidRPr="00287199" w:rsidRDefault="00287199" w:rsidP="00287199">
      <w:pPr>
        <w:jc w:val="both"/>
        <w:rPr>
          <w:rFonts w:ascii="Verdana" w:hAnsi="Verdana"/>
          <w:b/>
          <w:bCs/>
          <w:sz w:val="20"/>
        </w:rPr>
      </w:pPr>
      <w:r w:rsidRPr="00287199">
        <w:rPr>
          <w:rFonts w:ascii="Verdana" w:hAnsi="Verdana"/>
          <w:b/>
          <w:bCs/>
          <w:sz w:val="20"/>
          <w:lang w:val="es-ES_tradnl"/>
        </w:rPr>
        <w:t>CONSIDERANDO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Que el Decreto por el que se aprueba el Plan Nacional de Desarrollo 2013-2018, publicado en el Diario Oficial de la Federación el 20 de mayo de 2013, establece que las estrategias transversales se aplicarán normativamente a través de programas especiales; y, por ello, el 30 de agosto de 2013, se publicó en dicho medio de difusión oficial, el Programa para un Gobierno Cercano y Moderno 2013-2018, el cual incorpora, entre otros, el objetivo de "Establecer una Estrategia Digital Nacional que acelere la inserción de México en la Sociedad de la Información y del Conocimiento";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Que el Decreto por el que se establece la Ventanilla Única Nacional para los Trámites e Información del Gobierno, publicado en el Diario Oficial de la Federación el 3 de febrero de 2015, señala que ésta se establece como el punto de contacto digital a través del portal de Internet www.gob.mx, la cual propiciará la interoperabilidad con los sistemas electrónicos de las dependencias y entidades de la Administración Pública Federal y de las empresas productivas del Estado, en términos de las disposiciones jurídicas aplicables a éstas y en el ámbito de sus respectivas atribuciones;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Que en atención a lo dispuesto por los artículos Sexto y Séptimo del Decreto por el que se establece la Ventanilla Única Nacional para los Trámites e Información del Gobierno, las dependencias, entidades y empresas productivas del Estado deberán observar los criterios técnicos, metodologías, guías, instructivos, manuales, estándares, principios de homologación y demás instrumentos que emita la Unidad de Gobierno Digital, en los que se establecerán las directrices y definiciones necesarias para la implementación, operación y funcionamiento de la Ventanilla Única Nacional, del Catálogo y del Sistema Nacional de Trámites y Servicios;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Que el 20 de marzo de 2015, se publicó en el Diario Oficial de la Federación el Acuerdo por el que se dan a conocer los lineamientos de operación y los formatos para la realización de los trámites administrativos, a que se refiere el Reglamento de Agencias de Colocación de Trabajadores;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Que para acercar a la ciudadanía los medios suficientes para solicitar y gestionar trámites y servicios gubernamentales, resulta necesario dar a conocer los formatos oficiales de los trámites denominados: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a)      </w:t>
      </w:r>
      <w:r w:rsidRPr="00287199">
        <w:rPr>
          <w:rFonts w:ascii="Verdana" w:hAnsi="Verdana"/>
          <w:sz w:val="20"/>
        </w:rPr>
        <w:t>Solicitud de Autorización y Registro de Funcionamiento de las Agencias de Colocación de Trabajadores con Fines de Lucro;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b)      </w:t>
      </w:r>
      <w:r w:rsidRPr="00287199">
        <w:rPr>
          <w:rFonts w:ascii="Verdana" w:hAnsi="Verdana"/>
          <w:sz w:val="20"/>
        </w:rPr>
        <w:t>Aviso de Constitución e Inicio de Funcionamiento de las Agencias de Trabajadores sin Fines de Lucro;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c)      </w:t>
      </w:r>
      <w:r w:rsidRPr="00287199">
        <w:rPr>
          <w:rFonts w:ascii="Verdana" w:hAnsi="Verdana"/>
          <w:sz w:val="20"/>
        </w:rPr>
        <w:t>Inscripción de Sucursales de las Agencias de Colocación de Trabajadores;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d)      </w:t>
      </w:r>
      <w:r w:rsidRPr="00287199">
        <w:rPr>
          <w:rFonts w:ascii="Verdana" w:hAnsi="Verdana"/>
          <w:sz w:val="20"/>
        </w:rPr>
        <w:t>Solicitud de Prórroga de Autorización y Registro de las Agencias de Colocación de Trabajadores con Fines de Lucro;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e)      </w:t>
      </w:r>
      <w:r w:rsidRPr="00287199">
        <w:rPr>
          <w:rFonts w:ascii="Verdana" w:hAnsi="Verdana"/>
          <w:sz w:val="20"/>
        </w:rPr>
        <w:t>Solicitud de Modificación de Tarifa de las Agencias de Colocación de Trabajadores con Fines de Lucro;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f)       </w:t>
      </w:r>
      <w:r w:rsidRPr="00287199">
        <w:rPr>
          <w:rFonts w:ascii="Verdana" w:hAnsi="Verdana"/>
          <w:sz w:val="20"/>
        </w:rPr>
        <w:t>Aviso de Cambio de Domicilio de las Agencias de Colocación de Trabajadores;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g)      </w:t>
      </w:r>
      <w:r w:rsidRPr="00287199">
        <w:rPr>
          <w:rFonts w:ascii="Verdana" w:hAnsi="Verdana"/>
          <w:sz w:val="20"/>
        </w:rPr>
        <w:t>Aviso de Suspensión Temporal de Actividades o Cierre Definitivo de las Agencias de Colocación de Trabajadores, y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h)      </w:t>
      </w:r>
      <w:r w:rsidRPr="00287199">
        <w:rPr>
          <w:rFonts w:ascii="Verdana" w:hAnsi="Verdana"/>
          <w:sz w:val="20"/>
        </w:rPr>
        <w:t>Informe sobre la Participación en el Mercado de Trabajo de las Agencias de Colocación de Trabajadores.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Que de conformidad con lo señalado por el artículo 4o. de la Ley Federal de Procedimiento Administrativo, los instructivos, manuales y formatos que expidan las dependencias de la Administración Pública Federal, deberán publicarse previamente a su aplicación, en el Diario Oficial de la Federación, he tenido a bien expedir el siguiente</w:t>
      </w:r>
    </w:p>
    <w:p w:rsidR="00287199" w:rsidRPr="00287199" w:rsidRDefault="00287199" w:rsidP="00287199">
      <w:pPr>
        <w:jc w:val="both"/>
        <w:rPr>
          <w:rFonts w:ascii="Verdana" w:hAnsi="Verdana"/>
          <w:b/>
          <w:bCs/>
          <w:sz w:val="20"/>
        </w:rPr>
      </w:pPr>
      <w:r w:rsidRPr="00287199">
        <w:rPr>
          <w:rFonts w:ascii="Verdana" w:hAnsi="Verdana"/>
          <w:b/>
          <w:bCs/>
          <w:sz w:val="20"/>
          <w:lang w:val="es-ES_tradnl"/>
        </w:rPr>
        <w:t>ACUERDO POR EL QUE SE MODIFICAN LOS FORMATOS AC-1, AC-2, AC-3, AC-4, AC-5, AC-6, AC-7 Y AC-8 DEL ACUERDO POR EL QUE SE DAN A CONOCER LOS LINEAMIENTOS DE OPERACIÓN Y LOS FORMATOS PARA LA REALIZACIÓN DE LOS TRÁMITES ADMINISTRATIVOS A QUE SE REFIERE EL REGLAMENTO DE AGENCIAS DE COLOCACIÓN DE TRABAJADORES, PUBLICADO EL 20 DE MARZO DE 2015 EN EL DIARIO OFICIAL DE LA FEDERACIÓN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ARTÍCULO PRIMERO. </w:t>
      </w:r>
      <w:r w:rsidRPr="00287199">
        <w:rPr>
          <w:rFonts w:ascii="Verdana" w:hAnsi="Verdana"/>
          <w:sz w:val="20"/>
        </w:rPr>
        <w:t>Se dan a conocer los formatos para realizar los trámites administrativos a que se refiere el Reglamento de Agencias de Colocación de Trabajadores ante la Secretaría del Trabajo y Previsión Social, que se señalan a continuación:</w:t>
      </w:r>
    </w:p>
    <w:tbl>
      <w:tblPr>
        <w:tblW w:w="871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184"/>
      </w:tblGrid>
      <w:tr w:rsidR="00287199" w:rsidRPr="00287199" w:rsidTr="00287199">
        <w:trPr>
          <w:trHeight w:val="20"/>
        </w:trPr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TRÁMITE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FORMATO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lastRenderedPageBreak/>
              <w:t>Solicitud de Autorización y Registro de Funcionamiento de las Agencias de Colocación de Trabajadores con Fines de Lucro.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AC-1 </w:t>
            </w:r>
            <w:r w:rsidRPr="00287199">
              <w:rPr>
                <w:rFonts w:ascii="Verdana" w:hAnsi="Verdana"/>
                <w:sz w:val="20"/>
              </w:rPr>
              <w:t>Solicitud de Autorización y Registro de Funcionamiento de las Agencias de Colocación de Trabajadores con Fines de Lucro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Aviso de Constitución e Inicio de Funcionamiento de las Agencias de Trabajadores sin Fines de Lucro.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AC-2 </w:t>
            </w:r>
            <w:r w:rsidRPr="00287199">
              <w:rPr>
                <w:rFonts w:ascii="Verdana" w:hAnsi="Verdana"/>
                <w:sz w:val="20"/>
              </w:rPr>
              <w:t>Aviso de Constitución e Inicio de Funcionamiento de las Agencias de Trabajadores sin Fines de Lucro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Inscripción de Sucursales de las Agencias de Colocación de Trabajadores.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AC-3 </w:t>
            </w:r>
            <w:r w:rsidRPr="00287199">
              <w:rPr>
                <w:rFonts w:ascii="Verdana" w:hAnsi="Verdana"/>
                <w:sz w:val="20"/>
              </w:rPr>
              <w:t>Inscripción de Sucursales de las Agencias de Colocación de Trabajadores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Solicitud de Prórroga de Autorización y Registro de las Agencias de Colocación de Trabajadores con Fines de Lucro.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AC-4 </w:t>
            </w:r>
            <w:r w:rsidRPr="00287199">
              <w:rPr>
                <w:rFonts w:ascii="Verdana" w:hAnsi="Verdana"/>
                <w:sz w:val="20"/>
              </w:rPr>
              <w:t>Solicitud de Prórroga de Autorización y Registro de las Agencias de Colocación de Trabajadores con Fines de Lucro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Solicitud de Modificación de Tarifa de las Agencias de Colocación de Trabajadores con Fines de Lucro.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AC-5 </w:t>
            </w:r>
            <w:r w:rsidRPr="00287199">
              <w:rPr>
                <w:rFonts w:ascii="Verdana" w:hAnsi="Verdana"/>
                <w:sz w:val="20"/>
              </w:rPr>
              <w:t>Solicitud de Modificación de Tarifa de las Agencias de Colocación de Trabajadores con Fines de Lucro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Aviso de Cambio de Domicilio de las Agencias de Colocación de Trabajadores.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AC-6 </w:t>
            </w:r>
            <w:r w:rsidRPr="00287199">
              <w:rPr>
                <w:rFonts w:ascii="Verdana" w:hAnsi="Verdana"/>
                <w:sz w:val="20"/>
              </w:rPr>
              <w:t>Aviso de Cambio de Domicilio de las Agencias de Colocación de Trabajadores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Aviso de Suspensión Temporal de Actividades o Cierre Definitivo de las Agencias de Colocación de Trabajadores.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AC-7 </w:t>
            </w:r>
            <w:r w:rsidRPr="00287199">
              <w:rPr>
                <w:rFonts w:ascii="Verdana" w:hAnsi="Verdana"/>
                <w:sz w:val="20"/>
              </w:rPr>
              <w:t>Aviso de Suspensión Temporal de Actividades o Cierre Definitivo de las Agencias de Colocación de Trabajadores</w:t>
            </w:r>
          </w:p>
        </w:tc>
      </w:tr>
      <w:tr w:rsidR="00287199" w:rsidRPr="00287199" w:rsidTr="00287199">
        <w:trPr>
          <w:trHeight w:val="20"/>
        </w:trPr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sz w:val="20"/>
              </w:rPr>
              <w:t>Informe sobre la Participación en el Mercado de Trabajo de las Agencias de Colocación de Trabajadores.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00000" w:rsidRPr="00287199" w:rsidRDefault="00287199" w:rsidP="00287199">
            <w:pPr>
              <w:jc w:val="both"/>
              <w:rPr>
                <w:rFonts w:ascii="Verdana" w:hAnsi="Verdana"/>
                <w:sz w:val="20"/>
              </w:rPr>
            </w:pPr>
            <w:r w:rsidRPr="00287199">
              <w:rPr>
                <w:rFonts w:ascii="Verdana" w:hAnsi="Verdana"/>
                <w:b/>
                <w:bCs/>
                <w:sz w:val="20"/>
              </w:rPr>
              <w:t>AC-8 </w:t>
            </w:r>
            <w:r w:rsidRPr="00287199">
              <w:rPr>
                <w:rFonts w:ascii="Verdana" w:hAnsi="Verdana"/>
                <w:sz w:val="20"/>
              </w:rPr>
              <w:t>Informe sobre la Participación en el Mercado de Trabajo de las Agencias de Colocación de Trabajadores</w:t>
            </w:r>
          </w:p>
        </w:tc>
      </w:tr>
    </w:tbl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ARTÍCULO SEGUNDO.</w:t>
      </w:r>
      <w:r w:rsidRPr="00287199">
        <w:rPr>
          <w:rFonts w:ascii="Verdana" w:hAnsi="Verdana"/>
          <w:sz w:val="20"/>
        </w:rPr>
        <w:t> La información que deben proporcionar las empresas, con arreglo a los criterios a que se refiere el "Acuerdo por el que se dan a conocer los lineamientos de operación y los formatos para la realización de los trámites administrativos, a que se refiere el Reglamento de Agencias de Colocación de Trabajadores”, publicado en el Diario Oficial de la Federación el 20 de marzo de 2015, deberá presentarse a la Secretaría del Trabajo y Previsión Social en los formatos a que se refiere el presente instrumento.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 xml:space="preserve">Los formatos podrán reproducirse libremente en cualquier medio, siempre y cuando no se altere su contenido y en su caso, la impresión de los mismos se deberá hacer en </w:t>
      </w:r>
      <w:r w:rsidRPr="00287199">
        <w:rPr>
          <w:rFonts w:ascii="Verdana" w:hAnsi="Verdana"/>
          <w:sz w:val="20"/>
        </w:rPr>
        <w:lastRenderedPageBreak/>
        <w:t>hojas blancas tamaño carta. Los interesados podrán consultar los formatos a través de medios electrónicos.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ARTÍCULO TERCERO.</w:t>
      </w:r>
      <w:r w:rsidRPr="00287199">
        <w:rPr>
          <w:rFonts w:ascii="Verdana" w:hAnsi="Verdana"/>
          <w:sz w:val="20"/>
        </w:rPr>
        <w:t> El personal de atención al público deberá proporcionar a los solicitantes de cualquiera de los trámites a que se refiere este Acuerdo, la orientación e información necesarios para el llenado del formato respectivo.</w:t>
      </w:r>
    </w:p>
    <w:p w:rsidR="00287199" w:rsidRPr="00287199" w:rsidRDefault="00287199" w:rsidP="00287199">
      <w:pPr>
        <w:jc w:val="both"/>
        <w:rPr>
          <w:rFonts w:ascii="Verdana" w:hAnsi="Verdana"/>
          <w:b/>
          <w:bCs/>
          <w:sz w:val="20"/>
        </w:rPr>
      </w:pPr>
      <w:r w:rsidRPr="00287199">
        <w:rPr>
          <w:rFonts w:ascii="Verdana" w:hAnsi="Verdana"/>
          <w:b/>
          <w:bCs/>
          <w:sz w:val="20"/>
          <w:lang w:val="es-ES_tradnl"/>
        </w:rPr>
        <w:t>TRANSITORIOS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PRIMERO.</w:t>
      </w:r>
      <w:r w:rsidRPr="00287199">
        <w:rPr>
          <w:rFonts w:ascii="Verdana" w:hAnsi="Verdana"/>
          <w:sz w:val="20"/>
        </w:rPr>
        <w:t> El presente Acuerdo entrará en vigor al día siguiente de su publicación en el Diario Oficial de la Federación.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SEGUNDO. </w:t>
      </w:r>
      <w:r w:rsidRPr="00287199">
        <w:rPr>
          <w:rFonts w:ascii="Verdana" w:hAnsi="Verdana"/>
          <w:sz w:val="20"/>
        </w:rPr>
        <w:t>Los formatos a que se refiere el presente Acuerdo, deberán utilizarse a partir del día siguiente de su publicación en el Diario Oficial de la Federación.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b/>
          <w:bCs/>
          <w:sz w:val="20"/>
        </w:rPr>
        <w:t>TERCERO.</w:t>
      </w:r>
      <w:r w:rsidRPr="00287199">
        <w:rPr>
          <w:rFonts w:ascii="Verdana" w:hAnsi="Verdana"/>
          <w:sz w:val="20"/>
        </w:rPr>
        <w:t> Los trámites que se encuentren pendientes de atención a la entrada en vigor del presente Acuerdo, serán resueltos por las unidades administrativas de la Secretaría del Trabajo y Previsión Social, conforme a los formatos vigentes al momento de la solicitud.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Dado en la Ciudad de México, a siete de marzo de dos mil dieciocho.- El Secretario del Trabajo y Previsión Social, </w:t>
      </w:r>
      <w:r w:rsidRPr="00287199">
        <w:rPr>
          <w:rFonts w:ascii="Verdana" w:hAnsi="Verdana"/>
          <w:b/>
          <w:bCs/>
          <w:sz w:val="20"/>
        </w:rPr>
        <w:t>Roberto Rafael Campa Cifrián</w:t>
      </w:r>
      <w:r w:rsidRPr="00287199">
        <w:rPr>
          <w:rFonts w:ascii="Verdana" w:hAnsi="Verdana"/>
          <w:sz w:val="20"/>
        </w:rPr>
        <w:t>.- Rúbrica.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16825"/>
            <wp:effectExtent l="0" t="0" r="6985" b="3175"/>
            <wp:docPr id="21" name="Imagen 21" descr="http://200.66.72.182/dof/2018/03/26/STPS-1_arch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0.66.72.182/dof/2018/03/26/STPS-1_archivo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br/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drawing>
          <wp:inline distT="0" distB="0" distL="0" distR="0">
            <wp:extent cx="5612765" cy="7626350"/>
            <wp:effectExtent l="0" t="0" r="6985" b="0"/>
            <wp:docPr id="20" name="Imagen 20" descr="http://200.66.72.182/dof/2018/03/26/STPS-1_archivo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0.66.72.182/dof/2018/03/26/STPS-1_archivo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587615"/>
            <wp:effectExtent l="0" t="0" r="6985" b="0"/>
            <wp:docPr id="19" name="Imagen 19" descr="http://200.66.72.182/dof/2018/03/26/STPS-1_archivo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00.66.72.182/dof/2018/03/26/STPS-1_archivo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65085"/>
            <wp:effectExtent l="0" t="0" r="6985" b="0"/>
            <wp:docPr id="18" name="Imagen 18" descr="http://200.66.72.182/dof/2018/03/26/STPS-1_archivo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00.66.72.182/dof/2018/03/26/STPS-1_archivo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br/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drawing>
          <wp:inline distT="0" distB="0" distL="0" distR="0">
            <wp:extent cx="5612765" cy="7636510"/>
            <wp:effectExtent l="0" t="0" r="6985" b="2540"/>
            <wp:docPr id="17" name="Imagen 17" descr="http://200.66.72.182/dof/2018/03/26/STPS-1_archivo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00.66.72.182/dof/2018/03/26/STPS-1_archivo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16825"/>
            <wp:effectExtent l="0" t="0" r="6985" b="3175"/>
            <wp:docPr id="16" name="Imagen 16" descr="http://200.66.72.182/dof/2018/03/26/STPS-1_archivo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00.66.72.182/dof/2018/03/26/STPS-1_archivo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55560"/>
            <wp:effectExtent l="0" t="0" r="6985" b="2540"/>
            <wp:docPr id="15" name="Imagen 15" descr="http://200.66.72.182/dof/2018/03/26/STPS-1_archivo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00.66.72.182/dof/2018/03/26/STPS-1_archivo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55560"/>
            <wp:effectExtent l="0" t="0" r="6985" b="2540"/>
            <wp:docPr id="14" name="Imagen 14" descr="http://200.66.72.182/dof/2018/03/26/STPS-1_archivo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00.66.72.182/dof/2018/03/26/STPS-1_archivo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36510"/>
            <wp:effectExtent l="0" t="0" r="6985" b="2540"/>
            <wp:docPr id="13" name="Imagen 13" descr="http://200.66.72.182/dof/2018/03/26/STPS-1_archivo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00.66.72.182/dof/2018/03/26/STPS-1_archivos/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75245"/>
            <wp:effectExtent l="0" t="0" r="6985" b="1905"/>
            <wp:docPr id="12" name="Imagen 12" descr="http://200.66.72.182/dof/2018/03/26/STPS-1_archivo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00.66.72.182/dof/2018/03/26/STPS-1_archivo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44820" cy="7704455"/>
            <wp:effectExtent l="0" t="0" r="0" b="0"/>
            <wp:docPr id="11" name="Imagen 11" descr="http://200.66.72.182/dof/2018/03/26/STPS-1_archivo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00.66.72.182/dof/2018/03/26/STPS-1_archivos/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54345" cy="7665085"/>
            <wp:effectExtent l="0" t="0" r="8255" b="0"/>
            <wp:docPr id="10" name="Imagen 10" descr="http://200.66.72.182/dof/2018/03/26/STPS-1_archivo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00.66.72.182/dof/2018/03/26/STPS-1_archivos/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55560"/>
            <wp:effectExtent l="0" t="0" r="6985" b="2540"/>
            <wp:docPr id="9" name="Imagen 9" descr="http://200.66.72.182/dof/2018/03/26/STPS-1_archivo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00.66.72.182/dof/2018/03/26/STPS-1_archivos/image0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46035"/>
            <wp:effectExtent l="0" t="0" r="6985" b="0"/>
            <wp:docPr id="8" name="Imagen 8" descr="http://200.66.72.182/dof/2018/03/26/STPS-1_archivo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00.66.72.182/dof/2018/03/26/STPS-1_archivos/image02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drawing>
          <wp:inline distT="0" distB="0" distL="0" distR="0">
            <wp:extent cx="5612765" cy="7636510"/>
            <wp:effectExtent l="0" t="0" r="6985" b="2540"/>
            <wp:docPr id="7" name="Imagen 7" descr="http://200.66.72.182/dof/2018/03/26/STPS-1_archivo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00.66.72.182/dof/2018/03/26/STPS-1_archivos/image03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612765" cy="7675245"/>
            <wp:effectExtent l="0" t="0" r="6985" b="1905"/>
            <wp:docPr id="6" name="Imagen 6" descr="http://200.66.72.182/dof/2018/03/26/STPS-1_archivo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00.66.72.182/dof/2018/03/26/STPS-1_archivos/image03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35295" cy="7713980"/>
            <wp:effectExtent l="0" t="0" r="8255" b="1270"/>
            <wp:docPr id="5" name="Imagen 5" descr="http://200.66.72.182/dof/2018/03/26/STPS-1_archivo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00.66.72.182/dof/2018/03/26/STPS-1_archivos/image03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7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35295" cy="7684770"/>
            <wp:effectExtent l="0" t="0" r="8255" b="0"/>
            <wp:docPr id="4" name="Imagen 4" descr="http://200.66.72.182/dof/2018/03/26/STPS-1_archivo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00.66.72.182/dof/2018/03/26/STPS-1_archivos/image0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25135" cy="7665085"/>
            <wp:effectExtent l="0" t="0" r="0" b="0"/>
            <wp:docPr id="3" name="Imagen 3" descr="http://200.66.72.182/dof/2018/03/26/STPS-1_archivo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00.66.72.182/dof/2018/03/26/STPS-1_archivos/image03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35295" cy="7675245"/>
            <wp:effectExtent l="0" t="0" r="8255" b="1905"/>
            <wp:docPr id="2" name="Imagen 2" descr="http://200.66.72.182/dof/2018/03/26/STPS-1_archivo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00.66.72.182/dof/2018/03/26/STPS-1_archivos/image04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t> </w:t>
      </w:r>
    </w:p>
    <w:p w:rsidR="00287199" w:rsidRPr="00287199" w:rsidRDefault="00287199" w:rsidP="00287199">
      <w:pPr>
        <w:jc w:val="both"/>
        <w:rPr>
          <w:rFonts w:ascii="Verdana" w:hAnsi="Verdana"/>
          <w:sz w:val="20"/>
        </w:rPr>
      </w:pPr>
      <w:r w:rsidRPr="00287199">
        <w:rPr>
          <w:rFonts w:ascii="Verdana" w:hAnsi="Verdana"/>
          <w:sz w:val="20"/>
        </w:rPr>
        <w:lastRenderedPageBreak/>
        <w:drawing>
          <wp:inline distT="0" distB="0" distL="0" distR="0">
            <wp:extent cx="5515610" cy="7655560"/>
            <wp:effectExtent l="0" t="0" r="8890" b="2540"/>
            <wp:docPr id="1" name="Imagen 1" descr="http://200.66.72.182/dof/2018/03/26/STPS-1_archivo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00.66.72.182/dof/2018/03/26/STPS-1_archivos/image04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EB" w:rsidRDefault="00287199">
      <w:bookmarkStart w:id="0" w:name="_GoBack"/>
      <w:bookmarkEnd w:id="0"/>
    </w:p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9"/>
    <w:rsid w:val="002228FA"/>
    <w:rsid w:val="00287199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3541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2018-03-26T14:24:00Z</dcterms:created>
  <dcterms:modified xsi:type="dcterms:W3CDTF">2018-03-26T14:30:00Z</dcterms:modified>
</cp:coreProperties>
</file>