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58A" w:rsidRPr="00841D9A" w:rsidRDefault="000C258A" w:rsidP="000C258A">
      <w:pPr>
        <w:jc w:val="center"/>
        <w:rPr>
          <w:rFonts w:ascii="Verdana" w:eastAsia="Verdana" w:hAnsi="Verdana" w:cs="Verdana"/>
          <w:b/>
          <w:color w:val="0000FF"/>
          <w:sz w:val="24"/>
          <w:szCs w:val="24"/>
        </w:rPr>
      </w:pPr>
      <w:r w:rsidRPr="000C258A">
        <w:rPr>
          <w:rFonts w:ascii="Verdana" w:eastAsia="Verdana" w:hAnsi="Verdana" w:cs="Verdana"/>
          <w:b/>
          <w:color w:val="0000FF"/>
          <w:sz w:val="24"/>
          <w:szCs w:val="24"/>
        </w:rPr>
        <w:t>ACUERDO Núm. A/007/2023 por el que la Comisión Reguladora de Energía modifica el Acuerdo A/037/2016, por el que se expiden los criterios y la metodología para determinar las visitas de verificación o inspección que deberán llevarse a cabo y se establecen los criterios y la metodología para determinar las visitas de verificación que deberán llevarse a cabo en materia de electricidad.</w:t>
      </w:r>
      <w:r>
        <w:rPr>
          <w:rFonts w:ascii="Verdana" w:eastAsia="Verdana" w:hAnsi="Verdana" w:cs="Verdana"/>
          <w:b/>
          <w:color w:val="0000FF"/>
          <w:sz w:val="24"/>
          <w:szCs w:val="24"/>
        </w:rPr>
        <w:br/>
      </w:r>
      <w:bookmarkStart w:id="0" w:name="_GoBack"/>
      <w:r>
        <w:rPr>
          <w:rFonts w:ascii="Verdana" w:eastAsia="Verdana" w:hAnsi="Verdana" w:cs="Verdana"/>
          <w:b/>
          <w:color w:val="0000FF"/>
          <w:sz w:val="24"/>
          <w:szCs w:val="24"/>
        </w:rPr>
        <w:t>(DOF del 08 de mayo de 2023</w:t>
      </w:r>
      <w:r w:rsidRPr="0099730F">
        <w:rPr>
          <w:rFonts w:ascii="Verdana" w:eastAsia="Verdana" w:hAnsi="Verdana" w:cs="Verdana"/>
          <w:b/>
          <w:color w:val="0000FF"/>
          <w:sz w:val="24"/>
          <w:szCs w:val="24"/>
        </w:rPr>
        <w:t>)</w:t>
      </w:r>
      <w:bookmarkEnd w:id="0"/>
    </w:p>
    <w:p w:rsidR="00A82E73" w:rsidRDefault="000C258A" w:rsidP="000C258A">
      <w:pPr>
        <w:jc w:val="both"/>
        <w:rPr>
          <w:rFonts w:ascii="Arial" w:hAnsi="Arial" w:cs="Arial"/>
          <w:b/>
          <w:color w:val="2F2F2F"/>
          <w:sz w:val="18"/>
          <w:szCs w:val="18"/>
          <w:shd w:val="clear" w:color="auto" w:fill="FFFFFF"/>
        </w:rPr>
      </w:pPr>
      <w:r w:rsidRPr="000C258A">
        <w:rPr>
          <w:rFonts w:ascii="Arial" w:hAnsi="Arial" w:cs="Arial"/>
          <w:b/>
          <w:color w:val="2F2F2F"/>
          <w:sz w:val="18"/>
          <w:szCs w:val="18"/>
          <w:shd w:val="clear" w:color="auto" w:fill="FFFFFF"/>
        </w:rPr>
        <w:t>Al margen un sello con el Escudo Nacional, que dice: Estados Unidos Mexicanos.- Comisión Reguladora de Energía.</w:t>
      </w:r>
    </w:p>
    <w:p w:rsidR="000C258A" w:rsidRPr="000C258A" w:rsidRDefault="000C258A" w:rsidP="000C258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0C258A">
        <w:rPr>
          <w:rFonts w:ascii="Times" w:eastAsia="Times New Roman" w:hAnsi="Times" w:cs="Times"/>
          <w:b/>
          <w:bCs/>
          <w:color w:val="2F2F2F"/>
          <w:sz w:val="18"/>
          <w:szCs w:val="18"/>
          <w:lang w:eastAsia="es-MX"/>
        </w:rPr>
        <w:t>ACUERDO Núm. A/007/2023</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6"/>
          <w:szCs w:val="16"/>
          <w:lang w:eastAsia="es-MX"/>
        </w:rPr>
      </w:pPr>
      <w:r w:rsidRPr="000C258A">
        <w:rPr>
          <w:rFonts w:ascii="Arial" w:eastAsia="Times New Roman" w:hAnsi="Arial" w:cs="Arial"/>
          <w:color w:val="2F2F2F"/>
          <w:sz w:val="16"/>
          <w:szCs w:val="16"/>
          <w:lang w:eastAsia="es-MX"/>
        </w:rPr>
        <w:t>ACUERDO POR EL QUE LA COMISIÓN REGULADORA DE ENERGÍA MODIFICA EL ACUERDO A/037/2016, POR EL QUE SE EXPIDEN LOS CRITERIOS Y LA METODOLOGÍA PARA DETERMINAR LAS VISITAS DE VERIFICACIÓN O INSPECCIÓN QUE DEBERÁN LLEVARSE A CABO Y SE ESTABLECEN LOS CRITERIOS Y LA METODOLOGÍA PARA DETERMINAR LAS VISITAS DE VERIFICACIÓN QUE DEBERÁN LLEVARSE A CABO EN MATERIA DE ELECTRICIDAD</w:t>
      </w:r>
    </w:p>
    <w:p w:rsidR="000C258A" w:rsidRPr="000C258A" w:rsidRDefault="000C258A" w:rsidP="000C258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0C258A">
        <w:rPr>
          <w:rFonts w:ascii="Times" w:eastAsia="Times New Roman" w:hAnsi="Times" w:cs="Times"/>
          <w:b/>
          <w:bCs/>
          <w:color w:val="2F2F2F"/>
          <w:sz w:val="18"/>
          <w:szCs w:val="18"/>
          <w:lang w:eastAsia="es-MX"/>
        </w:rPr>
        <w:t>CONSIDERANDO</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PRIMERO.</w:t>
      </w:r>
      <w:r w:rsidRPr="000C258A">
        <w:rPr>
          <w:rFonts w:ascii="Arial" w:eastAsia="Times New Roman" w:hAnsi="Arial" w:cs="Arial"/>
          <w:color w:val="2F2F2F"/>
          <w:sz w:val="18"/>
          <w:szCs w:val="18"/>
          <w:lang w:eastAsia="es-MX"/>
        </w:rPr>
        <w:t> Que la Comisión Reguladora de Energía (la Comisión) es una dependencia de la Administración Pública Federal, con autonomía técnica, operativa y de gestión, con personalidad jurídica y con carácter de Órgano Regulador Coordinado en Materia Energética, tal como lo disponen los artículos 28, párrafo octavo de la Constitución Política de los Estados Unidos Mexicanos, 2, fracción III y 43 Ter de la Ley Orgánica de la Administración Pública Federal y 2, fracción II, 3 y 4 de la Ley de los Órganos Reguladores Coordinados en Materia Energética (LORCME).</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SEGUNDO.</w:t>
      </w:r>
      <w:r w:rsidRPr="000C258A">
        <w:rPr>
          <w:rFonts w:ascii="Arial" w:eastAsia="Times New Roman" w:hAnsi="Arial" w:cs="Arial"/>
          <w:color w:val="2F2F2F"/>
          <w:sz w:val="18"/>
          <w:szCs w:val="18"/>
          <w:lang w:eastAsia="es-MX"/>
        </w:rPr>
        <w:t> Que, de conformidad con el artículo 22, fracciones II, X, XI y XIII de la LORCME, corresponde a la Comisión, entre otras atribuciones, expedir, supervisar y vigilar el cumplimiento de la regulación y de las disposiciones administrativas de carácter general (DACG´S) otorgar permisos, autorizaciones y emitir los demás actos administrativos vinculados con las materias reguladas; solicitar a los sujetos regulados todo tipo de información o documentación y verificar la misma respecto de las actividades reguladas; y ordenar y realizar visitas de verificación, a fin de supervisar y vigilar el cumplimiento de las disposiciones jurídicas aplicables, entre las que se encuentran la Ley de la Industria Eléctrica (LIE), Ley de la Infraestructura de la Calidad (LIC), las Normas Oficiales Mexicanas y DACG´S.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TERCERO. </w:t>
      </w:r>
      <w:r w:rsidRPr="000C258A">
        <w:rPr>
          <w:rFonts w:ascii="Arial" w:eastAsia="Times New Roman" w:hAnsi="Arial" w:cs="Arial"/>
          <w:color w:val="2F2F2F"/>
          <w:sz w:val="18"/>
          <w:szCs w:val="18"/>
          <w:lang w:eastAsia="es-MX"/>
        </w:rPr>
        <w:t>Que el artículo 41, fracción III de la LORCME establece que la Comisión debe regular y promover el desarrollo eficiente de, entre otras, las actividades de generación de electricidad, los servicios públicos de transmisión y distribución eléctrica que no forman parte del servicio público y la comercialización de electricidad.</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CUARTO.</w:t>
      </w:r>
      <w:r w:rsidRPr="000C258A">
        <w:rPr>
          <w:rFonts w:ascii="Arial" w:eastAsia="Times New Roman" w:hAnsi="Arial" w:cs="Arial"/>
          <w:color w:val="2F2F2F"/>
          <w:sz w:val="18"/>
          <w:szCs w:val="18"/>
          <w:lang w:eastAsia="es-MX"/>
        </w:rPr>
        <w:t> Que de acuerdo con el artículo 42 de la LORCME, la Comisión debe fomentar el desarrollo eficiente de la industria, promover la competencia en el sector, proteger los intereses de los usuarios, proporcionar una adecuada cobertura nacional y atender a la confiabilidad, estabilidad y seguridad en el suministro y la prestación de los servicios.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QUINTO.</w:t>
      </w:r>
      <w:r w:rsidRPr="000C258A">
        <w:rPr>
          <w:rFonts w:ascii="Arial" w:eastAsia="Times New Roman" w:hAnsi="Arial" w:cs="Arial"/>
          <w:color w:val="2F2F2F"/>
          <w:sz w:val="18"/>
          <w:szCs w:val="18"/>
          <w:lang w:eastAsia="es-MX"/>
        </w:rPr>
        <w:t> Que con fundamento en el artículo 34, fracciones X, XI, XII, XIII, XVIII y XXXVIII del Reglamento Interno de la Comisión Reguladora de Energía (RICRE), le corresponde al Jefe de la Unidad de Electricidad proponer al Órgano de Gobierno el programa anual de visitas de verificación ordinarias y extraordinarias.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000000"/>
          <w:sz w:val="18"/>
          <w:szCs w:val="18"/>
          <w:lang w:eastAsia="es-MX"/>
        </w:rPr>
        <w:t>SEXTO. </w:t>
      </w:r>
      <w:r w:rsidRPr="000C258A">
        <w:rPr>
          <w:rFonts w:ascii="Arial" w:eastAsia="Times New Roman" w:hAnsi="Arial" w:cs="Arial"/>
          <w:color w:val="000000"/>
          <w:sz w:val="18"/>
          <w:szCs w:val="18"/>
          <w:lang w:eastAsia="es-MX"/>
        </w:rPr>
        <w:t>Que de acuerdo con el artículo 18 fracción XVI del RICRE, le corresponde al Órgano de Gobierno de la Comisión, aprobar el programa anual de visitas de verificación, inspección y supervisión ordinarias, así como las visitas de verificación, inspección y supervisión extraordinarias.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SÉPTIMO. </w:t>
      </w:r>
      <w:r w:rsidRPr="000C258A">
        <w:rPr>
          <w:rFonts w:ascii="Arial" w:eastAsia="Times New Roman" w:hAnsi="Arial" w:cs="Arial"/>
          <w:color w:val="2F2F2F"/>
          <w:sz w:val="18"/>
          <w:szCs w:val="18"/>
          <w:lang w:eastAsia="es-MX"/>
        </w:rPr>
        <w:t>Que el 11 de noviembre de 2016 se publicó en el Diario Oficial de la Federación (DOF) el Acuerdo A/037/2016 por el que la Comisión Reguladora de Energía expide los criterios y la metodología para determinar las visitas de verificación o inspección que deberán llevarse a cabo. Dicho Acuerdo se presentó a la entonces Comisión Federal de Mejora Regulatoria (COFEMER) mediante el Oficio Numero COFEME/16/3375, en el que se solicitó la exención de la Manifestación de Impacto Regulatorio (MIR). La citada Comisión dictaminó que era procedente la solicitud de exención de presentar la MIR, toda vez que se trataba en esencia de una Regulación Interna que no crea cargas Administrativas al Particular y permite a la Comisión determinar los Per</w:t>
      </w:r>
      <w:r w:rsidRPr="000C258A">
        <w:rPr>
          <w:rFonts w:ascii="Arial" w:eastAsia="Times New Roman" w:hAnsi="Arial" w:cs="Arial"/>
          <w:color w:val="2F2F2F"/>
          <w:sz w:val="18"/>
          <w:szCs w:val="18"/>
          <w:lang w:eastAsia="es-MX"/>
        </w:rPr>
        <w:lastRenderedPageBreak/>
        <w:t>misionarios que serán sujetos a una visita de verificación, además se indicó que el anteproyecto, no obligaba a los particulares a presentar información adicional.</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000000"/>
          <w:sz w:val="18"/>
          <w:szCs w:val="18"/>
          <w:lang w:eastAsia="es-MX"/>
        </w:rPr>
        <w:t>OCTAVO.</w:t>
      </w:r>
      <w:r w:rsidRPr="000C258A">
        <w:rPr>
          <w:rFonts w:ascii="Arial" w:eastAsia="Times New Roman" w:hAnsi="Arial" w:cs="Arial"/>
          <w:color w:val="000000"/>
          <w:sz w:val="18"/>
          <w:szCs w:val="18"/>
          <w:lang w:eastAsia="es-MX"/>
        </w:rPr>
        <w:t> </w:t>
      </w:r>
      <w:r w:rsidRPr="000C258A">
        <w:rPr>
          <w:rFonts w:ascii="Arial" w:eastAsia="Times New Roman" w:hAnsi="Arial" w:cs="Arial"/>
          <w:color w:val="2F2F2F"/>
          <w:sz w:val="18"/>
          <w:szCs w:val="18"/>
          <w:lang w:eastAsia="es-MX"/>
        </w:rPr>
        <w:t>Que para el diseño y elaboración del Programa Anual de Visitas de Verificación se consideran los 12 criterios establecidos en la Guía de la Organización para la Cooperación y el Desarrollo Económicos (OCDE) para el cumplimiento regulatorio y las inspecciones </w:t>
      </w:r>
      <w:r w:rsidRPr="000C258A">
        <w:rPr>
          <w:rFonts w:ascii="Arial" w:eastAsia="Times New Roman" w:hAnsi="Arial" w:cs="Arial"/>
          <w:i/>
          <w:iCs/>
          <w:color w:val="2F2F2F"/>
          <w:sz w:val="18"/>
          <w:szCs w:val="18"/>
          <w:lang w:eastAsia="es-MX"/>
        </w:rPr>
        <w:t>(OECD Regulatory Enforcement and Inspections Toolkit</w:t>
      </w:r>
      <w:r w:rsidRPr="000C258A">
        <w:rPr>
          <w:rFonts w:ascii="Arial" w:eastAsia="Times New Roman" w:hAnsi="Arial" w:cs="Arial"/>
          <w:color w:val="2F2F2F"/>
          <w:sz w:val="18"/>
          <w:szCs w:val="18"/>
          <w:lang w:eastAsia="es-MX"/>
        </w:rPr>
        <w:t>, </w:t>
      </w:r>
      <w:r w:rsidRPr="000C258A">
        <w:rPr>
          <w:rFonts w:ascii="Arial" w:eastAsia="Times New Roman" w:hAnsi="Arial" w:cs="Arial"/>
          <w:i/>
          <w:iCs/>
          <w:color w:val="2F2F2F"/>
          <w:sz w:val="18"/>
          <w:szCs w:val="18"/>
          <w:lang w:eastAsia="es-MX"/>
        </w:rPr>
        <w:t>OECD</w:t>
      </w:r>
      <w:r w:rsidRPr="000C258A">
        <w:rPr>
          <w:rFonts w:ascii="Arial" w:eastAsia="Times New Roman" w:hAnsi="Arial" w:cs="Arial"/>
          <w:color w:val="2F2F2F"/>
          <w:sz w:val="18"/>
          <w:szCs w:val="18"/>
          <w:lang w:eastAsia="es-MX"/>
        </w:rPr>
        <w:t> 2018), los cuales son: cumplimiento basado en la evidencia, selectividad, enfoque de riesgo y proporcionalidad, regulación responsiva, visión a largo plazo, coordinación y consolidación, gobernanza transparente, integración de la información, procesos claros y justos, promoción del cumplimiento, profesionalismo y poniendo los pies sobre la tierra.</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Dichos discernimientos que están considerados en los </w:t>
      </w:r>
      <w:r w:rsidRPr="000C258A">
        <w:rPr>
          <w:rFonts w:ascii="Arial" w:eastAsia="Times New Roman" w:hAnsi="Arial" w:cs="Arial"/>
          <w:i/>
          <w:iCs/>
          <w:color w:val="2F2F2F"/>
          <w:sz w:val="18"/>
          <w:szCs w:val="18"/>
          <w:lang w:eastAsia="es-MX"/>
        </w:rPr>
        <w:t>Lineamientos sobre las buenas prácticas de selección estratégica en materia de inspecciones, verificaciones y visitas domiciliarias</w:t>
      </w:r>
      <w:r w:rsidRPr="000C258A">
        <w:rPr>
          <w:rFonts w:ascii="Arial" w:eastAsia="Times New Roman" w:hAnsi="Arial" w:cs="Arial"/>
          <w:color w:val="2F2F2F"/>
          <w:sz w:val="18"/>
          <w:szCs w:val="18"/>
          <w:lang w:eastAsia="es-MX"/>
        </w:rPr>
        <w:t> (los Lineamientos), publicados en el DOF el 13 de julio de 2020, los cuales tienen por objeto los criterios sobre las buenas prácticas de selección estratégica en materia de inspecciones, verificaciones y visitas domiciliarias en los ámbitos a que se refiere la Ley de Fomento a la Confianza Ciudadana, sin menoscabo de las disposiciones jurídicas que regulen dichas actividades en lo particular, así como el contenido mínimo de una política de carácter general a cargo de los sujetos obligados de la Administración Pública Federal. Asimismo, con fundamento en los preceptos: numeral Séptimo: Enfoque de riesgo; numeral octavo: Riesgo asociado; numeral noveno: número de sujetos regulados; numeral décimo: Clasificación subjetiva; numeral décimo primero: Selección estratégica; numeral décimo segundo: Temporalidad y; numeral décimo tercero: Evaluación, cuyo ámbito de aplicación es obligatoria para las dependencias y entidades a que refieren los artículos 2, 3 y 17 de la Ley Orgánica de la Administración Pública Federal.</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NOVENO.</w:t>
      </w:r>
      <w:r w:rsidRPr="000C258A">
        <w:rPr>
          <w:rFonts w:ascii="Arial" w:eastAsia="Times New Roman" w:hAnsi="Arial" w:cs="Arial"/>
          <w:color w:val="2F2F2F"/>
          <w:sz w:val="18"/>
          <w:szCs w:val="18"/>
          <w:lang w:eastAsia="es-MX"/>
        </w:rPr>
        <w:t> </w:t>
      </w:r>
      <w:r w:rsidRPr="000C258A">
        <w:rPr>
          <w:rFonts w:ascii="Arial" w:eastAsia="Times New Roman" w:hAnsi="Arial" w:cs="Arial"/>
          <w:color w:val="000000"/>
          <w:sz w:val="18"/>
          <w:szCs w:val="18"/>
          <w:lang w:eastAsia="es-MX"/>
        </w:rPr>
        <w:t>Que con base en las mejores prácticas internacionales referidas en el considerando anterior, las visitas de verificación que efectúe la Comisión deberán realizarse de forma transparente, equitativa, selectiva y estar basadas en un proceso claro e imparcial, así como contar con una visión a largo plazo; ser ejecutadas de forma coordinada, con profesionalismo y apegadas a la ley, verificando en todo momento y promoviendo el cumplimiento regulatorio en el desarrollo de las actividades reguladas, redundando en un mejor uso de los recursos, siendo contundentes con los resultados de dichas verificaciones, contribuyendo al desarrollo eficiente de la industria energética, dando certidumbre y minimizando costos y cargas tanto para el regulador como para el regulado.</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DÉCIMO.</w:t>
      </w:r>
      <w:r w:rsidRPr="000C258A">
        <w:rPr>
          <w:rFonts w:ascii="Arial" w:eastAsia="Times New Roman" w:hAnsi="Arial" w:cs="Arial"/>
          <w:color w:val="2F2F2F"/>
          <w:sz w:val="18"/>
          <w:szCs w:val="18"/>
          <w:lang w:eastAsia="es-MX"/>
        </w:rPr>
        <w:t> Que los principales criterios que la Comisión considera aplicables para determinar las visitas de verificación son:</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La disponibilidad de los recursos humanos y financieros con los que cuenta la Comisión.</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El porcentaje de cumplimiento de las obligaciones por parte de los permisionarios.</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III.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El número de denuncias y quejas que tienen los permisionarios.</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IV.</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Otros factores, por ejemplo, condiciones de mercado y sistemáticas.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Conforme a lo establecido en el ANEXO I, METODOLOGÍA PARA DETERMINAR QUÉ PERMISIONARIOS ESTARÁN SUJETOS A UNA VISITA DE VERIFICACIÓN EN MATERIA DE ELECTRICIDAD.</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DÉCIMO PRIMERO. </w:t>
      </w:r>
      <w:r w:rsidRPr="000C258A">
        <w:rPr>
          <w:rFonts w:ascii="Arial" w:eastAsia="Times New Roman" w:hAnsi="Arial" w:cs="Arial"/>
          <w:color w:val="2F2F2F"/>
          <w:sz w:val="18"/>
          <w:szCs w:val="18"/>
          <w:lang w:eastAsia="es-MX"/>
        </w:rPr>
        <w:t>Que la Comisión considera necesario llevar a cabo visitas de verificación con el propósito de corroborar el cumplimiento de las obligaciones por parte de los permisionarios y, a su vez, darles un seguimiento de supervisión regulatoria adecuado para promover el cumplimiento de sus obligaciones.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DÉCIMO SEGUNDO. </w:t>
      </w:r>
      <w:r w:rsidRPr="000C258A">
        <w:rPr>
          <w:rFonts w:ascii="Arial" w:eastAsia="Times New Roman" w:hAnsi="Arial" w:cs="Arial"/>
          <w:color w:val="2F2F2F"/>
          <w:sz w:val="18"/>
          <w:szCs w:val="18"/>
          <w:lang w:eastAsia="es-MX"/>
        </w:rPr>
        <w:t>Que, para fomentar el cumplimiento de las obligaciones por parte de los permisionarios, es necesario que:</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Conozcan la regulación y las obligaciones a las que están sujetas las actividades permisionadas que llevan a cabo.</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Conozcan cuáles son las consecuencias por incumplir con la regulación y con sus obligaciones, así como los tipos de sanciones a los que pueden hacerse acreedores.</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III.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Se incentive el cumplimiento de las obligaciones por parte de los permisionarios.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DÉCIMO TERCERO. </w:t>
      </w:r>
      <w:r w:rsidRPr="000C258A">
        <w:rPr>
          <w:rFonts w:ascii="Arial" w:eastAsia="Times New Roman" w:hAnsi="Arial" w:cs="Arial"/>
          <w:color w:val="2F2F2F"/>
          <w:sz w:val="18"/>
          <w:szCs w:val="18"/>
          <w:lang w:eastAsia="es-MX"/>
        </w:rPr>
        <w:t>Que las visitas de verificación deben realizarse no sólo a los permisionarios que incumplen con sus obligaciones, sino también a aquellos que cumplen de manera sistemática; mediante una técnica adecuada de muestreo en un proceso de evaluación en el que se deberán satisfacer los requerimientos de la norma aplicable de acuerdo con lo establecido en el </w:t>
      </w:r>
      <w:r w:rsidRPr="000C258A">
        <w:rPr>
          <w:rFonts w:ascii="Arial" w:eastAsia="Times New Roman" w:hAnsi="Arial" w:cs="Arial"/>
          <w:b/>
          <w:bCs/>
          <w:color w:val="2F2F2F"/>
          <w:sz w:val="18"/>
          <w:szCs w:val="18"/>
          <w:lang w:eastAsia="es-MX"/>
        </w:rPr>
        <w:t>inciso B, repartición de visitas, del Anexo I</w:t>
      </w:r>
      <w:r w:rsidRPr="000C258A">
        <w:rPr>
          <w:rFonts w:ascii="Arial" w:eastAsia="Times New Roman" w:hAnsi="Arial" w:cs="Arial"/>
          <w:color w:val="2F2F2F"/>
          <w:sz w:val="18"/>
          <w:szCs w:val="18"/>
          <w:lang w:eastAsia="es-MX"/>
        </w:rPr>
        <w:t>. Determinación de los permisionarios a los que se les realizarán visitas de verificación o inspección.</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lastRenderedPageBreak/>
        <w:t>DÉCIMO CUARTO.</w:t>
      </w:r>
      <w:r w:rsidRPr="000C258A">
        <w:rPr>
          <w:rFonts w:ascii="Arial" w:eastAsia="Times New Roman" w:hAnsi="Arial" w:cs="Arial"/>
          <w:color w:val="2F2F2F"/>
          <w:sz w:val="18"/>
          <w:szCs w:val="18"/>
          <w:lang w:eastAsia="es-MX"/>
        </w:rPr>
        <w:t> Que con el objeto de implementar la verificación del cumplimiento de obligaciones de los títulos de permiso para la realización de actividades reguladas y optimizar la disponibilidad de recursos humanos y presupuestales asignados para dichas actividades, la Comisión podrá auxiliarse de unidades de verificación, terceros especialistas y empresas especializadas, elegidas mediante procesos competitivos que garanticen las mejores condiciones, tanto de experiencia como de capacidad técnica y económica.</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DÉCIMO QUINTO.</w:t>
      </w:r>
      <w:r w:rsidRPr="000C258A">
        <w:rPr>
          <w:rFonts w:ascii="Arial" w:eastAsia="Times New Roman" w:hAnsi="Arial" w:cs="Arial"/>
          <w:color w:val="2F2F2F"/>
          <w:sz w:val="18"/>
          <w:szCs w:val="18"/>
          <w:lang w:eastAsia="es-MX"/>
        </w:rPr>
        <w:t> Que, de acuerdo con las atribuciones establecidas en el RICRE, le corresponde a la Unidad de Electricidad, analizar el número de visitas de verificación propuestas por las unidades sustantivas de la Comisión, tomando en consideración la disponibilidad de los recursos humanos y el presupuesto destinado para el rubro correspondiente, conforme a lo siguiente:</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Determinará el número de visitas que podrán realizarse a partir de los recursos humanos disponibles, del desempeño histórico de las modalidades sujetas a visita, del número de permisos vigentes en cada unidad administrativa y del índice de verificación establecido por la metodología del presente Acuerdo. Dicho proceso se llevará a cabo en el siguiente orden:</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a)</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Visitas Ordinarias: En primera instancia, se programarán visitas a aquellos permisionarios que después de haber aplicado la metodología de este Acuerdo, tengan resultados que deriven en una visita conforme a la metodología del Anexo I.</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b)</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Una vez determinadas las visitas ordinarias, se determinará un número de visitas de verificación a permisionarios no incluidos en el inciso A anterior con base en un muestreo aleatorio simple.</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c)</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En caso de que al final del año hubiese un remanente del presupuesto, y en función de la disponibilidad de recursos humanos, se podrán realizar otras visitas de verificación adicionales.</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Una vez realizada una visita de verificación aprobada por la Comisión en el programa anual de visitas de verificación, se realizarán las acciones siguientes:</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a)</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Una vez integrado el expediente de la visita se elaborará un informe incluyendo la información que haya sido ingresada por el permisionario dentro del plazo legal que establece el artículo 110, fracción V del Reglamento de la Ley de la Industria Eléctrica.</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b)</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Se realiza una evaluación técnica de lo contenido en el acta circunstanciada, el informe y la información presentada por la permisionaria, así como la evidencia fotográfica y documental de la visita.</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c)</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Finalmente, según el resultado de la evaluación se realiza el cierre del procedimiento administrativo o se remite al área jurídica en caso de incumplimientos.</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d)</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Cada dos meses la Unidad de Electricidad, elaborará un reporte al Órgano de Gobierno mediante el cual, informe las visitas de verificación realizadas en dicho periodo y los hallazgos encontrados; se hará énfasis en los incumplimientos y observaciones detectados con objeto de dar puntual seguimiento e implementar las medidas a que haya lugar. El reporte deberá incluir, para cada visita cómo se procedió ante los hallazgos, ya sea de manera directa por las unidades administrativas o por medio de resoluciones propuestas al Órgano de Gobierno. Indicando en cada caso el tipo de medida que se haya tomado, como pueden ser, entre otras; observaciones, aplicación de medidas inmediatas por razones de seguridad, dictámenes de inicio de procedimientos de sanción o recomendaciones de sanciones al Órgano de Gobierno.</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DÉCIMO SEXTO. </w:t>
      </w:r>
      <w:r w:rsidRPr="000C258A">
        <w:rPr>
          <w:rFonts w:ascii="Arial" w:eastAsia="Times New Roman" w:hAnsi="Arial" w:cs="Arial"/>
          <w:color w:val="2F2F2F"/>
          <w:sz w:val="18"/>
          <w:szCs w:val="18"/>
          <w:lang w:eastAsia="es-MX"/>
        </w:rPr>
        <w:t>Que, a fin de que las unidades administrativas de la Comisión evalúen anualmente el cumplimiento de las obligaciones de los permisionarios, y cuenten con un tiempo adecuado para aplicar la metodología a que hace referencia este Acuerdo, la Comisión elaborará y aprobará el programa anual de visitas de verificación en el mes de febrero del año calendario siguiente al periodo evaluado.</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Por lo anterior, y con fundamento en los artículos 14, 16 y 28, párrafo octavo de la Constitución Política de los Estados Unidos Mexicanos; artículos 2, fracción III y 43 Ter de la Ley Orgánica de la Administración Pública Federal; 2, fracción II, 3, 4, párrafo primero, 5, 14, 22, fracciones I, II, III, IV, VIII, IX, X, XI, XIII, XXVI y XXVII, 25, fracciones I, VII, X y XI, 27, 41, fracción III, y 42 de la Ley de los Órganos Reguladores Coordinados en Materia Energética; 106, 107, 109, 110, 111 y 118 del Reglamento de la Ley de la Industria Eléctrica; 2, 4, 13, 16, fracciones VII, IX y X, 57, fracción I y 69, de la Ley Federal de Procedimiento Administrativo; y 1, 2, 3, 4, 6, 7 fracciones I, III y VIII, 8, 16, primer párrafo, 17, 18 fracciones IV, V, VIII, XV, XVI, XXIX, XLIV, 27 fracciones XVIII, XX, XXI y XLV, 29 fracciones XIII, XXIII, 34 fracciones X, XI, XII y XIII, XVIII y XXXVIII del Reglamento Interno de la Comisión Reguladora de Energía, la Comisión:</w:t>
      </w:r>
    </w:p>
    <w:p w:rsidR="000C258A" w:rsidRPr="000C258A" w:rsidRDefault="000C258A" w:rsidP="000C258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0C258A">
        <w:rPr>
          <w:rFonts w:ascii="Times" w:eastAsia="Times New Roman" w:hAnsi="Times" w:cs="Times"/>
          <w:b/>
          <w:bCs/>
          <w:color w:val="2F2F2F"/>
          <w:sz w:val="18"/>
          <w:szCs w:val="18"/>
          <w:lang w:eastAsia="es-MX"/>
        </w:rPr>
        <w:t>ACUERDA</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PRIMERO.</w:t>
      </w:r>
      <w:r w:rsidRPr="000C258A">
        <w:rPr>
          <w:rFonts w:ascii="Arial" w:eastAsia="Times New Roman" w:hAnsi="Arial" w:cs="Arial"/>
          <w:color w:val="2F2F2F"/>
          <w:sz w:val="18"/>
          <w:szCs w:val="18"/>
          <w:lang w:eastAsia="es-MX"/>
        </w:rPr>
        <w:t> Se modifica el Acuerdo A/037/2016, por el que se expiden los criterios y la metodología para determinar las visitas de verificación o inspección que deberán llevarse a cabo y se establecen los Criterios y la metodología para determinar las visitas de verificación que deberán llevarse a cabo en materia de Electricida</w:t>
      </w:r>
      <w:r w:rsidRPr="000C258A">
        <w:rPr>
          <w:rFonts w:ascii="Arial" w:eastAsia="Times New Roman" w:hAnsi="Arial" w:cs="Arial"/>
          <w:color w:val="2F2F2F"/>
          <w:sz w:val="18"/>
          <w:szCs w:val="18"/>
          <w:lang w:eastAsia="es-MX"/>
        </w:rPr>
        <w:lastRenderedPageBreak/>
        <w:t>d, mismos que se encuentran contenidos en el </w:t>
      </w:r>
      <w:r w:rsidRPr="000C258A">
        <w:rPr>
          <w:rFonts w:ascii="Arial" w:eastAsia="Times New Roman" w:hAnsi="Arial" w:cs="Arial"/>
          <w:b/>
          <w:bCs/>
          <w:color w:val="2F2F2F"/>
          <w:sz w:val="18"/>
          <w:szCs w:val="18"/>
          <w:lang w:eastAsia="es-MX"/>
        </w:rPr>
        <w:t>Anexo I</w:t>
      </w:r>
      <w:r w:rsidRPr="000C258A">
        <w:rPr>
          <w:rFonts w:ascii="Arial" w:eastAsia="Times New Roman" w:hAnsi="Arial" w:cs="Arial"/>
          <w:color w:val="2F2F2F"/>
          <w:sz w:val="18"/>
          <w:szCs w:val="18"/>
          <w:lang w:eastAsia="es-MX"/>
        </w:rPr>
        <w:t> del presente Acuerdo, y que forman parte integrante de éste como si a la letra se insertasen.</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SEGUNDO. </w:t>
      </w:r>
      <w:r w:rsidRPr="000C258A">
        <w:rPr>
          <w:rFonts w:ascii="Arial" w:eastAsia="Times New Roman" w:hAnsi="Arial" w:cs="Arial"/>
          <w:color w:val="2F2F2F"/>
          <w:sz w:val="18"/>
          <w:szCs w:val="18"/>
          <w:lang w:eastAsia="es-MX"/>
        </w:rPr>
        <w:t>Los criterios y metodología contenidos en el Anexo I a que se refiere el presente Acuerdo se evaluarán por lo menos una vez cada cinco años y en cualquier tiempo cuando la Comisión Reguladora de Energía lo considere conveniente de acuerdo con nuevos requerimientos o circunstancias.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TERCERO.</w:t>
      </w:r>
      <w:r w:rsidRPr="000C258A">
        <w:rPr>
          <w:rFonts w:ascii="Arial" w:eastAsia="Times New Roman" w:hAnsi="Arial" w:cs="Arial"/>
          <w:color w:val="2F2F2F"/>
          <w:sz w:val="18"/>
          <w:szCs w:val="18"/>
          <w:lang w:eastAsia="es-MX"/>
        </w:rPr>
        <w:t> La Comisión Reguladora de Energía, a través de la Unidad de Electricidad, conforme a la información proporcionada por las áreas sustantivas determinará anualmente los permisionarios que serán sujetos de una visita de verificación, para lo cual deberá considerar los recursos humanos y económicos disponibles de la Comisión Reguladora de Energía, así como los criterios y la metodología contenidos en el Anexo I del presente Acuerdo.</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CUARTO.</w:t>
      </w:r>
      <w:r w:rsidRPr="000C258A">
        <w:rPr>
          <w:rFonts w:ascii="Arial" w:eastAsia="Times New Roman" w:hAnsi="Arial" w:cs="Arial"/>
          <w:color w:val="2F2F2F"/>
          <w:sz w:val="18"/>
          <w:szCs w:val="18"/>
          <w:lang w:eastAsia="es-MX"/>
        </w:rPr>
        <w:t> Las visitas de verificación que ordene el Órgano de Gobierno de la Comisión Reguladora de Energía conforme a sus atribuciones de acuerdo con el artículo 18, fracción IV del RICRE, serán consideradas como visitas de verificación extraordinarias fuera del programa anual de visitas de verificación. Asimismo, para los permisos de generación, permisos de suministro y/o unidades de inspección que presenten comportamientos o factores preponderantes no contemplados en los criterios y metodología contenidos en el Anexo I, se ordenarán visitas de verificación extraordinarias en caso de que así lo ameriten.</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QUINTO</w:t>
      </w:r>
      <w:r w:rsidRPr="000C258A">
        <w:rPr>
          <w:rFonts w:ascii="Arial" w:eastAsia="Times New Roman" w:hAnsi="Arial" w:cs="Arial"/>
          <w:b/>
          <w:bCs/>
          <w:color w:val="000000"/>
          <w:sz w:val="18"/>
          <w:szCs w:val="18"/>
          <w:lang w:eastAsia="es-MX"/>
        </w:rPr>
        <w:t>.</w:t>
      </w:r>
      <w:r w:rsidRPr="000C258A">
        <w:rPr>
          <w:rFonts w:ascii="Arial" w:eastAsia="Times New Roman" w:hAnsi="Arial" w:cs="Arial"/>
          <w:color w:val="000000"/>
          <w:sz w:val="18"/>
          <w:szCs w:val="18"/>
          <w:lang w:eastAsia="es-MX"/>
        </w:rPr>
        <w:t> Se deja sin efectos todo lo referente a visitas de verificación a cargo de la Unidad de Electricidad establecido en el Acuerdo </w:t>
      </w:r>
      <w:r w:rsidRPr="000C258A">
        <w:rPr>
          <w:rFonts w:ascii="Arial" w:eastAsia="Times New Roman" w:hAnsi="Arial" w:cs="Arial"/>
          <w:color w:val="2F2F2F"/>
          <w:sz w:val="18"/>
          <w:szCs w:val="18"/>
          <w:lang w:eastAsia="es-MX"/>
        </w:rPr>
        <w:t>A/037/2016 </w:t>
      </w:r>
      <w:r w:rsidRPr="000C258A">
        <w:rPr>
          <w:rFonts w:ascii="Arial" w:eastAsia="Times New Roman" w:hAnsi="Arial" w:cs="Arial"/>
          <w:color w:val="000000"/>
          <w:sz w:val="18"/>
          <w:szCs w:val="18"/>
          <w:lang w:eastAsia="es-MX"/>
        </w:rPr>
        <w:t>por el que la Comisión Regulatoria de Energía expidió los criterios y la metodología para determinar las visitas de verificación o inspección que deberán llevarse a cabo, publicado en el DOF el día 11 de noviembre de 2016.</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SEXTO.</w:t>
      </w:r>
      <w:r w:rsidRPr="000C258A">
        <w:rPr>
          <w:rFonts w:ascii="Arial" w:eastAsia="Times New Roman" w:hAnsi="Arial" w:cs="Arial"/>
          <w:color w:val="2F2F2F"/>
          <w:sz w:val="18"/>
          <w:szCs w:val="18"/>
          <w:lang w:eastAsia="es-MX"/>
        </w:rPr>
        <w:t> Publíquese el presente Acuerdo en el DOF y notifíquese a la Autoridad de Mejora Regulatoria correspondiente de la publicación de las regulaciones exentas de la elaboración del Análisis de Impacto Regulatorio, en un plazo que no exceda tres días hábiles posteriores a su publicación en dicho medio de difusión.</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SÉPTIMO.</w:t>
      </w:r>
      <w:r w:rsidRPr="000C258A">
        <w:rPr>
          <w:rFonts w:ascii="Arial" w:eastAsia="Times New Roman" w:hAnsi="Arial" w:cs="Arial"/>
          <w:color w:val="2F2F2F"/>
          <w:sz w:val="18"/>
          <w:szCs w:val="18"/>
          <w:lang w:eastAsia="es-MX"/>
        </w:rPr>
        <w:t> El presente Acuerdo entrará en vigor al día hábil siguiente a su publicación en el DOF.</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OCTAVO.</w:t>
      </w:r>
      <w:r w:rsidRPr="000C258A">
        <w:rPr>
          <w:rFonts w:ascii="Arial" w:eastAsia="Times New Roman" w:hAnsi="Arial" w:cs="Arial"/>
          <w:color w:val="2F2F2F"/>
          <w:sz w:val="18"/>
          <w:szCs w:val="18"/>
          <w:lang w:eastAsia="es-MX"/>
        </w:rPr>
        <w:t> Inscríbase el presente Acuerdo bajo el número </w:t>
      </w:r>
      <w:r w:rsidRPr="000C258A">
        <w:rPr>
          <w:rFonts w:ascii="Arial" w:eastAsia="Times New Roman" w:hAnsi="Arial" w:cs="Arial"/>
          <w:b/>
          <w:bCs/>
          <w:color w:val="2F2F2F"/>
          <w:sz w:val="18"/>
          <w:szCs w:val="18"/>
          <w:lang w:eastAsia="es-MX"/>
        </w:rPr>
        <w:t>A/007/2023</w:t>
      </w:r>
      <w:r w:rsidRPr="000C258A">
        <w:rPr>
          <w:rFonts w:ascii="Arial" w:eastAsia="Times New Roman" w:hAnsi="Arial" w:cs="Arial"/>
          <w:color w:val="2F2F2F"/>
          <w:sz w:val="18"/>
          <w:szCs w:val="18"/>
          <w:lang w:eastAsia="es-MX"/>
        </w:rPr>
        <w:t>, en el Registro al que se refieren los artículos 22, fracción XXVI, inciso a) y 25, fracción X de la Ley de los Órganos Reguladores Coordinados en Materia Energética y 27, fracción XVIII del Reglamento Interno de la Comisión Reguladora de Energía.</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Ciudad de México, a 30 de marzo de 2023.- Comisionado Presidente, </w:t>
      </w:r>
      <w:r w:rsidRPr="000C258A">
        <w:rPr>
          <w:rFonts w:ascii="Arial" w:eastAsia="Times New Roman" w:hAnsi="Arial" w:cs="Arial"/>
          <w:b/>
          <w:bCs/>
          <w:color w:val="2F2F2F"/>
          <w:sz w:val="18"/>
          <w:szCs w:val="18"/>
          <w:lang w:eastAsia="es-MX"/>
        </w:rPr>
        <w:t>Leopoldo Vicente Melchi García</w:t>
      </w:r>
      <w:r w:rsidRPr="000C258A">
        <w:rPr>
          <w:rFonts w:ascii="Arial" w:eastAsia="Times New Roman" w:hAnsi="Arial" w:cs="Arial"/>
          <w:color w:val="2F2F2F"/>
          <w:sz w:val="18"/>
          <w:szCs w:val="18"/>
          <w:lang w:eastAsia="es-MX"/>
        </w:rPr>
        <w:t>.- Rúbrica.- Comisionados: </w:t>
      </w:r>
      <w:r w:rsidRPr="000C258A">
        <w:rPr>
          <w:rFonts w:ascii="Arial" w:eastAsia="Times New Roman" w:hAnsi="Arial" w:cs="Arial"/>
          <w:b/>
          <w:bCs/>
          <w:color w:val="2F2F2F"/>
          <w:sz w:val="18"/>
          <w:szCs w:val="18"/>
          <w:lang w:eastAsia="es-MX"/>
        </w:rPr>
        <w:t>Norma Leticia Campos Aragón</w:t>
      </w:r>
      <w:r w:rsidRPr="000C258A">
        <w:rPr>
          <w:rFonts w:ascii="Arial" w:eastAsia="Times New Roman" w:hAnsi="Arial" w:cs="Arial"/>
          <w:color w:val="2F2F2F"/>
          <w:sz w:val="18"/>
          <w:szCs w:val="18"/>
          <w:lang w:eastAsia="es-MX"/>
        </w:rPr>
        <w:t>, </w:t>
      </w:r>
      <w:r w:rsidRPr="000C258A">
        <w:rPr>
          <w:rFonts w:ascii="Arial" w:eastAsia="Times New Roman" w:hAnsi="Arial" w:cs="Arial"/>
          <w:b/>
          <w:bCs/>
          <w:color w:val="2F2F2F"/>
          <w:sz w:val="18"/>
          <w:szCs w:val="18"/>
          <w:lang w:eastAsia="es-MX"/>
        </w:rPr>
        <w:t>Hermilo Ceja Lucas</w:t>
      </w:r>
      <w:r w:rsidRPr="000C258A">
        <w:rPr>
          <w:rFonts w:ascii="Arial" w:eastAsia="Times New Roman" w:hAnsi="Arial" w:cs="Arial"/>
          <w:color w:val="2F2F2F"/>
          <w:sz w:val="18"/>
          <w:szCs w:val="18"/>
          <w:lang w:eastAsia="es-MX"/>
        </w:rPr>
        <w:t>, </w:t>
      </w:r>
      <w:r w:rsidRPr="000C258A">
        <w:rPr>
          <w:rFonts w:ascii="Arial" w:eastAsia="Times New Roman" w:hAnsi="Arial" w:cs="Arial"/>
          <w:b/>
          <w:bCs/>
          <w:color w:val="2F2F2F"/>
          <w:sz w:val="18"/>
          <w:szCs w:val="18"/>
          <w:lang w:eastAsia="es-MX"/>
        </w:rPr>
        <w:t>Guadalupe Escalante Benítez</w:t>
      </w:r>
      <w:r w:rsidRPr="000C258A">
        <w:rPr>
          <w:rFonts w:ascii="Arial" w:eastAsia="Times New Roman" w:hAnsi="Arial" w:cs="Arial"/>
          <w:color w:val="2F2F2F"/>
          <w:sz w:val="18"/>
          <w:szCs w:val="18"/>
          <w:lang w:eastAsia="es-MX"/>
        </w:rPr>
        <w:t>, </w:t>
      </w:r>
      <w:r w:rsidRPr="000C258A">
        <w:rPr>
          <w:rFonts w:ascii="Arial" w:eastAsia="Times New Roman" w:hAnsi="Arial" w:cs="Arial"/>
          <w:b/>
          <w:bCs/>
          <w:color w:val="2F2F2F"/>
          <w:sz w:val="18"/>
          <w:szCs w:val="18"/>
          <w:lang w:eastAsia="es-MX"/>
        </w:rPr>
        <w:t>Luis Linares Zapata</w:t>
      </w:r>
      <w:r w:rsidRPr="000C258A">
        <w:rPr>
          <w:rFonts w:ascii="Arial" w:eastAsia="Times New Roman" w:hAnsi="Arial" w:cs="Arial"/>
          <w:color w:val="2F2F2F"/>
          <w:sz w:val="18"/>
          <w:szCs w:val="18"/>
          <w:lang w:eastAsia="es-MX"/>
        </w:rPr>
        <w:t>.- Rúbricas.</w:t>
      </w:r>
    </w:p>
    <w:p w:rsidR="000C258A" w:rsidRPr="000C258A" w:rsidRDefault="000C258A" w:rsidP="000C258A">
      <w:pPr>
        <w:shd w:val="clear" w:color="auto" w:fill="FFFFFF"/>
        <w:spacing w:after="80" w:line="240" w:lineRule="auto"/>
        <w:ind w:firstLine="288"/>
        <w:jc w:val="right"/>
        <w:rPr>
          <w:rFonts w:ascii="Arial" w:eastAsia="Times New Roman" w:hAnsi="Arial" w:cs="Arial"/>
          <w:color w:val="2F2F2F"/>
          <w:sz w:val="16"/>
          <w:szCs w:val="16"/>
          <w:lang w:eastAsia="es-MX"/>
        </w:rPr>
      </w:pPr>
      <w:r w:rsidRPr="000C258A">
        <w:rPr>
          <w:rFonts w:ascii="Arial" w:eastAsia="Times New Roman" w:hAnsi="Arial" w:cs="Arial"/>
          <w:b/>
          <w:bCs/>
          <w:color w:val="2F2F2F"/>
          <w:sz w:val="16"/>
          <w:szCs w:val="16"/>
          <w:lang w:eastAsia="es-MX"/>
        </w:rPr>
        <w:t>ANEXOS DEL ACUERDO Núm. A/007/2023</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6"/>
          <w:szCs w:val="16"/>
          <w:lang w:eastAsia="es-MX"/>
        </w:rPr>
      </w:pPr>
      <w:r w:rsidRPr="000C258A">
        <w:rPr>
          <w:rFonts w:ascii="Arial" w:eastAsia="Times New Roman" w:hAnsi="Arial" w:cs="Arial"/>
          <w:b/>
          <w:bCs/>
          <w:color w:val="2F2F2F"/>
          <w:sz w:val="16"/>
          <w:szCs w:val="16"/>
          <w:lang w:eastAsia="es-MX"/>
        </w:rPr>
        <w:t>ANEXO I. METODOLOGÍA PARA DETERMINAR QUÉ PERMISIONARIOS SERÁN SUJETOS A UNA VISITA DE VERIFICACIÓN EN MATERIA DE ELECTRICIDAD.</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A. Conceptos Básicos</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Índice de Verificación</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En la metodología propuesta, el Índice de Verificación </w:t>
      </w:r>
      <w:r w:rsidRPr="000C258A">
        <w:rPr>
          <w:rFonts w:ascii="Arial" w:eastAsia="Times New Roman" w:hAnsi="Arial" w:cs="Arial"/>
          <w:i/>
          <w:iCs/>
          <w:color w:val="2F2F2F"/>
          <w:sz w:val="18"/>
          <w:szCs w:val="18"/>
          <w:lang w:eastAsia="es-MX"/>
        </w:rPr>
        <w:t>IV</w:t>
      </w:r>
      <w:r w:rsidRPr="000C258A">
        <w:rPr>
          <w:rFonts w:ascii="Arial" w:eastAsia="Times New Roman" w:hAnsi="Arial" w:cs="Arial"/>
          <w:color w:val="2F2F2F"/>
          <w:sz w:val="18"/>
          <w:szCs w:val="18"/>
          <w:lang w:eastAsia="es-MX"/>
        </w:rPr>
        <w:t>, permitirá conocer el comportamiento específico y grado de cumplimiento del marco regulatorio al que están sujetos los permisionarios de las actividades reguladas por la Comisión.</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Este índice se calcula con información sobre Variables Fundamentales relacionadas con el cumplimiento de obligaciones y Variables Instrumentales referentes a características relevantes del permisionario, por ejemplo, número de modificaciones, actualizaciones y acreditaciones aprobadas al permisionario.</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Variables fundamentales</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El marco regulador de las actividades permisionadas establece los términos, condiciones y obligaciones que deberán observar los permisionarios en el desempeño de sus actividades. Por lo tanto, el cumplimiento de dichas obligaciones proporciona a la Comisión los elementos necesarios para evaluar el desempeño de las actividades de cada permisionario; para ello se consideran las siguientes variables:</w:t>
      </w:r>
    </w:p>
    <w:p w:rsidR="000C258A" w:rsidRPr="000C258A" w:rsidRDefault="000C258A" w:rsidP="000C258A">
      <w:pPr>
        <w:shd w:val="clear" w:color="auto" w:fill="FFFFFF"/>
        <w:spacing w:after="80"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Incumplimientos administrativos: Los permisionarios incurren en éstos cuando no presentan, en tiempo y forma ante la Comisión, la información correspondiente.</w:t>
      </w:r>
    </w:p>
    <w:p w:rsidR="000C258A" w:rsidRPr="000C258A" w:rsidRDefault="000C258A" w:rsidP="000C258A">
      <w:pPr>
        <w:shd w:val="clear" w:color="auto" w:fill="FFFFFF"/>
        <w:spacing w:after="80"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Denuncias y quejas: Los usuarios de los servicios que prestan las unidades de inspección tienen la posibilidad de presentar quejas y denuncias respecto de los servicios que reciben; en ese sentido, aquéllas asociadas con la actividad regulada pueden representar indicios sobre la mala prestación del servicio o incumplimiento de la normatividad.</w:t>
      </w:r>
    </w:p>
    <w:p w:rsidR="000C258A" w:rsidRPr="000C258A" w:rsidRDefault="000C258A" w:rsidP="000C258A">
      <w:pPr>
        <w:shd w:val="clear" w:color="auto" w:fill="FFFFFF"/>
        <w:spacing w:after="80"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lastRenderedPageBreak/>
        <w:t>III.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Última Visita de Verificación: Se refiere a la antigüedad de la última visita de verificación realizada a las instalaciones de un permisionario.</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Variables instrumentales</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Las variables instrumentales consideran valores cuantitativos relacionados con el comportamiento del permisionario; para ello se consideran las siguientes variables:</w:t>
      </w:r>
    </w:p>
    <w:p w:rsidR="000C258A" w:rsidRPr="000C258A" w:rsidRDefault="000C258A" w:rsidP="000C258A">
      <w:pPr>
        <w:shd w:val="clear" w:color="auto" w:fill="FFFFFF"/>
        <w:spacing w:after="80"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Número de veces de modificación al programa de obras.</w:t>
      </w:r>
    </w:p>
    <w:p w:rsidR="000C258A" w:rsidRPr="000C258A" w:rsidRDefault="000C258A" w:rsidP="000C258A">
      <w:pPr>
        <w:shd w:val="clear" w:color="auto" w:fill="FFFFFF"/>
        <w:spacing w:after="80"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Aumento de capacidad autorizada.</w:t>
      </w:r>
    </w:p>
    <w:p w:rsidR="000C258A" w:rsidRPr="000C258A" w:rsidRDefault="000C258A" w:rsidP="000C258A">
      <w:pPr>
        <w:shd w:val="clear" w:color="auto" w:fill="FFFFFF"/>
        <w:spacing w:after="80"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III.</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Transferencia del permiso,</w:t>
      </w:r>
    </w:p>
    <w:p w:rsidR="000C258A" w:rsidRPr="000C258A" w:rsidRDefault="000C258A" w:rsidP="000C258A">
      <w:pPr>
        <w:shd w:val="clear" w:color="auto" w:fill="FFFFFF"/>
        <w:spacing w:after="80"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IV.</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Exclusión de capacidad de un permiso bajo la Ley del Servicio Público de la Energía Eléctrica a un permiso al amparo de la Ley de la Industria Eléctrica</w:t>
      </w:r>
    </w:p>
    <w:p w:rsidR="000C258A" w:rsidRPr="000C258A" w:rsidRDefault="000C258A" w:rsidP="000C258A">
      <w:pPr>
        <w:shd w:val="clear" w:color="auto" w:fill="FFFFFF"/>
        <w:spacing w:after="80"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V.</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Porcentaje de aumento de socios para el aprovechamiento de energía eléctrica generada.</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B. Metodología</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Escala de evaluación</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Con la finalidad de normalizar el rango de variación de las variables y determinar la posición relativa que corresponde a cada permisionario, sus valores se estandarizan en una escala de 0 a 10. El puntaje más alto está relacionado con uno o varios incumplimientos técnicos o administrativos, quejas, entre otros, y denota aquel permisionario al que se hará una visita de verificación. Por el contrario, el cumplimiento en apego a la regulación no conlleva la acumulación de puntos y su desempeño no detona la programación de una verificación.</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Modelo de ponderación</w:t>
      </w:r>
    </w:p>
    <w:p w:rsidR="000C258A" w:rsidRPr="000C258A" w:rsidRDefault="000C258A" w:rsidP="000C258A">
      <w:pPr>
        <w:shd w:val="clear" w:color="auto" w:fill="FFFFFF"/>
        <w:spacing w:after="8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Se identifican tres modalidades sujetas a visitas de verificación: permisos de generación de energía eléctrica bajo el amparo de la Ley de la Industria Eléctrica y la Ley del Servicio Público de Energía Eléctrica, permisos de suministro y Unidades de Inspección de la Industria Eléctrica (UIIE). Se aplican dos modelos distintos para ponderar las variables y obtener un ajuste significativo del </w:t>
      </w:r>
      <w:r w:rsidRPr="000C258A">
        <w:rPr>
          <w:rFonts w:ascii="Arial" w:eastAsia="Times New Roman" w:hAnsi="Arial" w:cs="Arial"/>
          <w:i/>
          <w:iCs/>
          <w:color w:val="2F2F2F"/>
          <w:sz w:val="18"/>
          <w:szCs w:val="18"/>
          <w:lang w:eastAsia="es-MX"/>
        </w:rPr>
        <w:t>IV</w:t>
      </w:r>
      <w:r w:rsidRPr="000C258A">
        <w:rPr>
          <w:rFonts w:ascii="Arial" w:eastAsia="Times New Roman" w:hAnsi="Arial" w:cs="Arial"/>
          <w:color w:val="2F2F2F"/>
          <w:sz w:val="18"/>
          <w:szCs w:val="18"/>
          <w:lang w:eastAsia="es-MX"/>
        </w:rPr>
        <w:t>:</w:t>
      </w:r>
    </w:p>
    <w:p w:rsidR="000C258A" w:rsidRPr="000C258A" w:rsidRDefault="000C258A" w:rsidP="000C258A">
      <w:pPr>
        <w:shd w:val="clear" w:color="auto" w:fill="FFFFFF"/>
        <w:spacing w:after="80"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a)</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Permisos de generación: Se utiliza un Modelo Lineal Generalizado (MLG) con distribución de </w:t>
      </w:r>
      <w:proofErr w:type="gramStart"/>
      <w:r w:rsidRPr="000C258A">
        <w:rPr>
          <w:rFonts w:ascii="Arial" w:eastAsia="Times New Roman" w:hAnsi="Arial" w:cs="Arial"/>
          <w:color w:val="2F2F2F"/>
          <w:sz w:val="18"/>
          <w:szCs w:val="18"/>
          <w:lang w:eastAsia="es-MX"/>
        </w:rPr>
        <w:t>Poisson(</w:t>
      </w:r>
      <w:proofErr w:type="gramEnd"/>
      <w:r w:rsidRPr="000C258A">
        <w:rPr>
          <w:rFonts w:ascii="Arial" w:eastAsia="Times New Roman" w:hAnsi="Arial" w:cs="Arial"/>
          <w:color w:val="2F2F2F"/>
          <w:sz w:val="18"/>
          <w:szCs w:val="18"/>
          <w:lang w:eastAsia="es-MX"/>
        </w:rPr>
        <w:t>1) para obtener el comportamiento estadístico referente al grado de cumplimiento del marco regulatorio y a las acciones relevantes por parte de los permisionarios, lo cual se caracteriza mediante las variables fundamentales e instrumentales que se definen posteriormente. Debido a la cantidad de permisos de generación, el uso de dicho modelo es significativo para el análisis.</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b)</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Permisos de suministro: Debido a que el número de permisos de suministro es pequeño, un modelo ajustado no es significativo, por lo que el cálculo del Índice de Verificación para los permisos de suministro está dado por la normalización de un puntaje total obtenido de las variables consideradas, a valores entre 0 y 10.</w:t>
      </w:r>
    </w:p>
    <w:p w:rsidR="000C258A" w:rsidRPr="000C258A" w:rsidRDefault="000C258A" w:rsidP="000C258A">
      <w:pPr>
        <w:shd w:val="clear" w:color="auto" w:fill="FFFFFF"/>
        <w:spacing w:after="101" w:line="240" w:lineRule="auto"/>
        <w:ind w:hanging="432"/>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c)</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Unidades de inspección: Debido al reducido número de UIIE un modelo ajustado no es significativo por lo que el cálculo del Índice de Verificación para las UIIE está dado por la normalización del puntaje total a valores entre 0 y 10.</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Determinación del número óptimo de visitas de verificación para un nivel de confianza deseado</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De acuerdo con el criterio 3 mencionado dentro de los 12 criterios de la Guía de la OCDE para el cumplimiento regulatorio y las inspecciones (2), se debe tener un enfoque de riesgo y ser proporcional en las inspecciones que se llevan a cabo. Por lo cual, debe considerarse que el número de visitas de verificación o inspección idealmente debe ser proporcional al universo de permisionarios y al nivel de riesgo de incumplimiento al marco regulatorio.</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El número óptimo de visitas de verificación </w:t>
      </w:r>
      <w:r>
        <w:rPr>
          <w:rFonts w:ascii="Arial" w:eastAsia="Times New Roman" w:hAnsi="Arial" w:cs="Arial"/>
          <w:noProof/>
          <w:color w:val="2F2F2F"/>
          <w:sz w:val="18"/>
          <w:szCs w:val="18"/>
          <w:lang w:eastAsia="es-MX"/>
        </w:rPr>
        <w:drawing>
          <wp:inline distT="0" distB="0" distL="0" distR="0">
            <wp:extent cx="381000" cy="161925"/>
            <wp:effectExtent l="0" t="0" r="0" b="9525"/>
            <wp:docPr id="88" name="Imagen 88" descr="https://www.dof.gob.mx/imagenes_diarios/2023/05/08/MAT/cre11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f.gob.mx/imagenes_diarios/2023/05/08/MAT/cre11_Cimg_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de acuerdo con un nivel de confianza deseado puede calcularse mediante la siguente </w:t>
      </w:r>
      <w:proofErr w:type="gramStart"/>
      <w:r w:rsidRPr="000C258A">
        <w:rPr>
          <w:rFonts w:ascii="Arial" w:eastAsia="Times New Roman" w:hAnsi="Arial" w:cs="Arial"/>
          <w:color w:val="2F2F2F"/>
          <w:sz w:val="18"/>
          <w:szCs w:val="18"/>
          <w:lang w:eastAsia="es-MX"/>
        </w:rPr>
        <w:t>ecuación(</w:t>
      </w:r>
      <w:proofErr w:type="gramEnd"/>
      <w:r w:rsidRPr="000C258A">
        <w:rPr>
          <w:rFonts w:ascii="Arial" w:eastAsia="Times New Roman" w:hAnsi="Arial" w:cs="Arial"/>
          <w:color w:val="2F2F2F"/>
          <w:sz w:val="18"/>
          <w:szCs w:val="18"/>
          <w:lang w:eastAsia="es-MX"/>
        </w:rPr>
        <w:t>3):</w:t>
      </w:r>
    </w:p>
    <w:tbl>
      <w:tblPr>
        <w:tblW w:w="0" w:type="auto"/>
        <w:tblCellMar>
          <w:top w:w="15" w:type="dxa"/>
          <w:left w:w="15" w:type="dxa"/>
          <w:bottom w:w="15" w:type="dxa"/>
          <w:right w:w="15" w:type="dxa"/>
        </w:tblCellMar>
        <w:tblLook w:val="04A0" w:firstRow="1" w:lastRow="0" w:firstColumn="1" w:lastColumn="0" w:noHBand="0" w:noVBand="1"/>
      </w:tblPr>
      <w:tblGrid>
        <w:gridCol w:w="898"/>
        <w:gridCol w:w="7186"/>
        <w:gridCol w:w="898"/>
      </w:tblGrid>
      <w:tr w:rsidR="000C258A" w:rsidRPr="000C258A" w:rsidTr="000C258A">
        <w:trPr>
          <w:trHeight w:val="784"/>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2133600" cy="419100"/>
                  <wp:effectExtent l="0" t="0" r="0" b="0"/>
                  <wp:docPr id="87" name="Imagen 87" descr="https://www.dof.gob.mx/imagenes_diarios/2023/05/08/MAT/cre11_Cimg_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f.gob.mx/imagenes_diarios/2023/05/08/MAT/cre11_Cimg_223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419100"/>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Donde </w:t>
      </w:r>
      <w:r>
        <w:rPr>
          <w:rFonts w:ascii="Arial" w:eastAsia="Times New Roman" w:hAnsi="Arial" w:cs="Arial"/>
          <w:noProof/>
          <w:color w:val="2F2F2F"/>
          <w:sz w:val="18"/>
          <w:szCs w:val="18"/>
          <w:lang w:eastAsia="es-MX"/>
        </w:rPr>
        <w:drawing>
          <wp:inline distT="0" distB="0" distL="0" distR="0">
            <wp:extent cx="133350" cy="142875"/>
            <wp:effectExtent l="0" t="0" r="0" b="9525"/>
            <wp:docPr id="86" name="Imagen 86" descr="https://www.dof.gob.mx/imagenes_diarios/2023/05/08/MAT/cre11_Cimg_11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f.gob.mx/imagenes_diarios/2023/05/08/MAT/cre11_Cimg_1166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es el universo de posibles visitados que se conforma por la suma del número de permisos de generación, permisos de suministro y unidades de inspección vigentes, </w:t>
      </w:r>
      <w:r>
        <w:rPr>
          <w:rFonts w:ascii="Arial" w:eastAsia="Times New Roman" w:hAnsi="Arial" w:cs="Arial"/>
          <w:noProof/>
          <w:color w:val="2F2F2F"/>
          <w:sz w:val="18"/>
          <w:szCs w:val="18"/>
          <w:lang w:eastAsia="es-MX"/>
        </w:rPr>
        <w:drawing>
          <wp:inline distT="0" distB="0" distL="0" distR="0">
            <wp:extent cx="95250" cy="142875"/>
            <wp:effectExtent l="0" t="0" r="0" b="9525"/>
            <wp:docPr id="85" name="Imagen 85" descr="https://www.dof.gob.mx/imagenes_diarios/2023/05/08/MAT/cre11_Cimg_12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f.gob.mx/imagenes_diarios/2023/05/08/MAT/cre11_Cimg_1266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es el coeficiente de nivel de confianza, </w:t>
      </w:r>
      <w:r>
        <w:rPr>
          <w:rFonts w:ascii="Arial" w:eastAsia="Times New Roman" w:hAnsi="Arial" w:cs="Arial"/>
          <w:noProof/>
          <w:color w:val="2F2F2F"/>
          <w:sz w:val="18"/>
          <w:szCs w:val="18"/>
          <w:lang w:eastAsia="es-MX"/>
        </w:rPr>
        <w:drawing>
          <wp:inline distT="0" distB="0" distL="0" distR="0">
            <wp:extent cx="104775" cy="95250"/>
            <wp:effectExtent l="0" t="0" r="9525" b="0"/>
            <wp:docPr id="84" name="Imagen 84" descr="https://www.dof.gob.mx/imagenes_diarios/2023/05/08/MAT/cre11_Cimg_13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f.gob.mx/imagenes_diarios/2023/05/08/MAT/cre11_Cimg_1333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la probabilidad de cumplimiento, </w:t>
      </w:r>
      <w:r>
        <w:rPr>
          <w:rFonts w:ascii="Arial" w:eastAsia="Times New Roman" w:hAnsi="Arial" w:cs="Arial"/>
          <w:noProof/>
          <w:color w:val="2F2F2F"/>
          <w:sz w:val="18"/>
          <w:szCs w:val="18"/>
          <w:lang w:eastAsia="es-MX"/>
        </w:rPr>
        <w:drawing>
          <wp:inline distT="0" distB="0" distL="0" distR="0">
            <wp:extent cx="95250" cy="104775"/>
            <wp:effectExtent l="0" t="0" r="0" b="9525"/>
            <wp:docPr id="83" name="Imagen 83" descr="https://www.dof.gob.mx/imagenes_diarios/2023/05/08/MAT/cre11_Cimg_14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of.gob.mx/imagenes_diarios/2023/05/08/MAT/cre11_Cimg_1429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probabilidad de incumplimiento</w:t>
      </w:r>
      <w:r w:rsidRPr="000C258A">
        <w:rPr>
          <w:rFonts w:ascii="Arial" w:eastAsia="Times New Roman" w:hAnsi="Arial" w:cs="Arial"/>
          <w:i/>
          <w:iCs/>
          <w:color w:val="2F2F2F"/>
          <w:sz w:val="18"/>
          <w:szCs w:val="18"/>
          <w:lang w:eastAsia="es-MX"/>
        </w:rPr>
        <w:t> </w:t>
      </w:r>
      <w:r>
        <w:rPr>
          <w:rFonts w:ascii="Arial" w:eastAsia="Times New Roman" w:hAnsi="Arial" w:cs="Arial"/>
          <w:noProof/>
          <w:color w:val="2F2F2F"/>
          <w:sz w:val="18"/>
          <w:szCs w:val="18"/>
          <w:lang w:eastAsia="es-MX"/>
        </w:rPr>
        <w:drawing>
          <wp:inline distT="0" distB="0" distL="0" distR="0">
            <wp:extent cx="438150" cy="152400"/>
            <wp:effectExtent l="0" t="0" r="0" b="0"/>
            <wp:docPr id="82" name="Imagen 82" descr="https://www.dof.gob.mx/imagenes_diarios/2023/05/08/MAT/cre11_Cimg_15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f.gob.mx/imagenes_diarios/2023/05/08/MAT/cre11_Cimg_1522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y </w:t>
      </w:r>
      <w:r>
        <w:rPr>
          <w:rFonts w:ascii="Arial" w:eastAsia="Times New Roman" w:hAnsi="Arial" w:cs="Arial"/>
          <w:noProof/>
          <w:color w:val="2F2F2F"/>
          <w:sz w:val="18"/>
          <w:szCs w:val="18"/>
          <w:lang w:eastAsia="es-MX"/>
        </w:rPr>
        <w:drawing>
          <wp:inline distT="0" distB="0" distL="0" distR="0">
            <wp:extent cx="104775" cy="85725"/>
            <wp:effectExtent l="0" t="0" r="9525" b="9525"/>
            <wp:docPr id="81" name="Imagen 81" descr="https://www.dof.gob.mx/imagenes_diarios/2023/05/08/MAT/cre11_Cimg_17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of.gob.mx/imagenes_diarios/2023/05/08/MAT/cre11_Cimg_1716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es el error máximo admisible porcentual.</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lastRenderedPageBreak/>
        <w:t>La probabilidad de incumplimiento </w:t>
      </w:r>
      <w:r>
        <w:rPr>
          <w:rFonts w:ascii="Arial" w:eastAsia="Times New Roman" w:hAnsi="Arial" w:cs="Arial"/>
          <w:noProof/>
          <w:color w:val="2F2F2F"/>
          <w:sz w:val="18"/>
          <w:szCs w:val="18"/>
          <w:lang w:eastAsia="es-MX"/>
        </w:rPr>
        <w:drawing>
          <wp:inline distT="0" distB="0" distL="0" distR="0">
            <wp:extent cx="123825" cy="104775"/>
            <wp:effectExtent l="0" t="0" r="9525" b="9525"/>
            <wp:docPr id="80" name="Imagen 80" descr="https://www.dof.gob.mx/imagenes_diarios/2023/05/08/MAT/cre11_Cimg_18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f.gob.mx/imagenes_diarios/2023/05/08/MAT/cre11_Cimg_1869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puede estimarse a partir de los datos históricos disponibles de las visitas de verificación realizadas mediante:</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609600" cy="209550"/>
            <wp:effectExtent l="0" t="0" r="0" b="0"/>
            <wp:docPr id="79" name="Imagen 79" descr="https://www.dof.gob.mx/imagenes_diarios/2023/05/08/MAT/cre11_Cimg_19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f.gob.mx/imagenes_diarios/2023/05/08/MAT/cre11_Cimg_1964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Donde </w:t>
      </w:r>
      <w:r>
        <w:rPr>
          <w:rFonts w:ascii="Arial" w:eastAsia="Times New Roman" w:hAnsi="Arial" w:cs="Arial"/>
          <w:noProof/>
          <w:color w:val="2F2F2F"/>
          <w:sz w:val="18"/>
          <w:szCs w:val="18"/>
          <w:lang w:eastAsia="es-MX"/>
        </w:rPr>
        <w:drawing>
          <wp:inline distT="0" distB="0" distL="0" distR="0">
            <wp:extent cx="114300" cy="95250"/>
            <wp:effectExtent l="0" t="0" r="0" b="0"/>
            <wp:docPr id="78" name="Imagen 78" descr="https://www.dof.gob.mx/imagenes_diarios/2023/05/08/MAT/cre11_Cimg_21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of.gob.mx/imagenes_diarios/2023/05/08/MAT/cre11_Cimg_217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es el número de permisionarios que se encontraron bajo cumplimiento en </w:t>
      </w:r>
      <w:r>
        <w:rPr>
          <w:rFonts w:ascii="Arial" w:eastAsia="Times New Roman" w:hAnsi="Arial" w:cs="Arial"/>
          <w:noProof/>
          <w:color w:val="2F2F2F"/>
          <w:sz w:val="18"/>
          <w:szCs w:val="18"/>
          <w:lang w:eastAsia="es-MX"/>
        </w:rPr>
        <w:drawing>
          <wp:inline distT="0" distB="0" distL="0" distR="0">
            <wp:extent cx="133350" cy="114300"/>
            <wp:effectExtent l="0" t="0" r="0" b="0"/>
            <wp:docPr id="77" name="Imagen 77" descr="https://www.dof.gob.mx/imagenes_diarios/2023/05/08/MAT/cre11_Cimg_23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of.gob.mx/imagenes_diarios/2023/05/08/MAT/cre11_Cimg_236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visitas de verificación aleatorias realizadas.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En caso de no contar con los datos mencionados, puede usarse el </w:t>
      </w:r>
      <w:proofErr w:type="gramStart"/>
      <w:r w:rsidRPr="000C258A">
        <w:rPr>
          <w:rFonts w:ascii="Arial" w:eastAsia="Times New Roman" w:hAnsi="Arial" w:cs="Arial"/>
          <w:color w:val="2F2F2F"/>
          <w:sz w:val="18"/>
          <w:szCs w:val="18"/>
          <w:lang w:eastAsia="es-MX"/>
        </w:rPr>
        <w:t>valor </w:t>
      </w:r>
      <w:proofErr w:type="gramEnd"/>
      <w:r>
        <w:rPr>
          <w:rFonts w:ascii="Arial" w:eastAsia="Times New Roman" w:hAnsi="Arial" w:cs="Arial"/>
          <w:noProof/>
          <w:color w:val="2F2F2F"/>
          <w:sz w:val="18"/>
          <w:szCs w:val="18"/>
          <w:lang w:eastAsia="es-MX"/>
        </w:rPr>
        <w:drawing>
          <wp:inline distT="0" distB="0" distL="0" distR="0">
            <wp:extent cx="457200" cy="142875"/>
            <wp:effectExtent l="0" t="0" r="0" b="9525"/>
            <wp:docPr id="76" name="Imagen 76" descr="https://www.dof.gob.mx/imagenes_diarios/2023/05/08/MAT/cre11_Cimg_25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f.gob.mx/imagenes_diarios/2023/05/08/MAT/cre11_Cimg_2567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el cual maximiza el resultado de </w:t>
      </w:r>
      <w:r>
        <w:rPr>
          <w:rFonts w:ascii="Arial" w:eastAsia="Times New Roman" w:hAnsi="Arial" w:cs="Arial"/>
          <w:noProof/>
          <w:color w:val="2F2F2F"/>
          <w:sz w:val="18"/>
          <w:szCs w:val="18"/>
          <w:lang w:eastAsia="es-MX"/>
        </w:rPr>
        <w:drawing>
          <wp:inline distT="0" distB="0" distL="0" distR="0">
            <wp:extent cx="342900" cy="142875"/>
            <wp:effectExtent l="0" t="0" r="0" b="9525"/>
            <wp:docPr id="75" name="Imagen 75" descr="https://www.dof.gob.mx/imagenes_diarios/2023/05/08/MAT/cre11_Cimg_27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of.gob.mx/imagenes_diarios/2023/05/08/MAT/cre11_Cimg_275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El valor del coeficiente </w:t>
      </w:r>
      <w:r>
        <w:rPr>
          <w:rFonts w:ascii="Arial" w:eastAsia="Times New Roman" w:hAnsi="Arial" w:cs="Arial"/>
          <w:noProof/>
          <w:color w:val="2F2F2F"/>
          <w:sz w:val="18"/>
          <w:szCs w:val="18"/>
          <w:lang w:eastAsia="es-MX"/>
        </w:rPr>
        <w:drawing>
          <wp:inline distT="0" distB="0" distL="0" distR="0">
            <wp:extent cx="95250" cy="142875"/>
            <wp:effectExtent l="0" t="0" r="0" b="9525"/>
            <wp:docPr id="74" name="Imagen 74" descr="https://www.dof.gob.mx/imagenes_diarios/2023/05/08/MAT/cre11_Cimg_29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of.gob.mx/imagenes_diarios/2023/05/08/MAT/cre11_Cimg_297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se obtiene de la tabla de áreas bajo la curva de distribución normal contenida en el Anexo III, a partir del nivel de confianza </w:t>
      </w:r>
      <w:proofErr w:type="gramStart"/>
      <w:r w:rsidRPr="000C258A">
        <w:rPr>
          <w:rFonts w:ascii="Arial" w:eastAsia="Times New Roman" w:hAnsi="Arial" w:cs="Arial"/>
          <w:color w:val="2F2F2F"/>
          <w:sz w:val="18"/>
          <w:szCs w:val="18"/>
          <w:lang w:eastAsia="es-MX"/>
        </w:rPr>
        <w:t>deseado </w:t>
      </w:r>
      <w:proofErr w:type="gramEnd"/>
      <w:r>
        <w:rPr>
          <w:rFonts w:ascii="Arial" w:eastAsia="Times New Roman" w:hAnsi="Arial" w:cs="Arial"/>
          <w:noProof/>
          <w:color w:val="2F2F2F"/>
          <w:sz w:val="18"/>
          <w:szCs w:val="18"/>
          <w:lang w:eastAsia="es-MX"/>
        </w:rPr>
        <w:drawing>
          <wp:inline distT="0" distB="0" distL="0" distR="0">
            <wp:extent cx="742950" cy="133350"/>
            <wp:effectExtent l="0" t="0" r="0" b="0"/>
            <wp:docPr id="73" name="Imagen 73" descr="https://www.dof.gob.mx/imagenes_diarios/2023/05/08/MAT/cre11_Cimg_30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of.gob.mx/imagenes_diarios/2023/05/08/MAT/cre11_Cimg_304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13335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lo cual se ilustra en la siguiente gráfica.</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609975" cy="1504950"/>
            <wp:effectExtent l="0" t="0" r="9525" b="0"/>
            <wp:docPr id="72" name="Imagen 72" descr="https://www.dof.gob.mx/imagenes_diarios/2023/05/08/MAT/cre11_Cimg_33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of.gob.mx/imagenes_diarios/2023/05/08/MAT/cre11_Cimg_335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1504950"/>
                    </a:xfrm>
                    <a:prstGeom prst="rect">
                      <a:avLst/>
                    </a:prstGeom>
                    <a:noFill/>
                    <a:ln>
                      <a:noFill/>
                    </a:ln>
                  </pic:spPr>
                </pic:pic>
              </a:graphicData>
            </a:graphic>
          </wp:inline>
        </w:drawing>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sidRPr="000C258A">
        <w:rPr>
          <w:rFonts w:ascii="Arial" w:eastAsia="Times New Roman" w:hAnsi="Arial" w:cs="Arial"/>
          <w:i/>
          <w:iCs/>
          <w:color w:val="2F2F2F"/>
          <w:sz w:val="18"/>
          <w:szCs w:val="18"/>
          <w:lang w:eastAsia="es-MX"/>
        </w:rPr>
        <w:t>Figura 1. Curva de distribución normal3.</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Por ejemplo, para un nivel de confianza del 90</w:t>
      </w:r>
      <w:proofErr w:type="gramStart"/>
      <w:r w:rsidRPr="000C258A">
        <w:rPr>
          <w:rFonts w:ascii="Arial" w:eastAsia="Times New Roman" w:hAnsi="Arial" w:cs="Arial"/>
          <w:color w:val="2F2F2F"/>
          <w:sz w:val="18"/>
          <w:szCs w:val="18"/>
          <w:lang w:eastAsia="es-MX"/>
        </w:rPr>
        <w:t>%, </w:t>
      </w:r>
      <w:r>
        <w:rPr>
          <w:rFonts w:ascii="Arial" w:eastAsia="Times New Roman" w:hAnsi="Arial" w:cs="Arial"/>
          <w:noProof/>
          <w:color w:val="2F2F2F"/>
          <w:sz w:val="18"/>
          <w:szCs w:val="18"/>
          <w:lang w:eastAsia="es-MX"/>
        </w:rPr>
        <w:drawing>
          <wp:inline distT="0" distB="0" distL="0" distR="0">
            <wp:extent cx="571500" cy="142875"/>
            <wp:effectExtent l="0" t="0" r="0" b="9525"/>
            <wp:docPr id="71" name="Imagen 71" descr="https://www.dof.gob.mx/imagenes_diarios/2023/05/08/MAT/cre11_Cimg_59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of.gob.mx/imagenes_diarios/2023/05/08/MAT/cre11_Cimg_5964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w:t>
      </w:r>
      <w:proofErr w:type="gramEnd"/>
      <w:r w:rsidRPr="000C258A">
        <w:rPr>
          <w:rFonts w:ascii="Arial" w:eastAsia="Times New Roman" w:hAnsi="Arial" w:cs="Arial"/>
          <w:color w:val="2F2F2F"/>
          <w:sz w:val="18"/>
          <w:szCs w:val="18"/>
          <w:lang w:eastAsia="es-MX"/>
        </w:rPr>
        <w:t> para 95%, </w:t>
      </w:r>
      <w:r>
        <w:rPr>
          <w:rFonts w:ascii="Arial" w:eastAsia="Times New Roman" w:hAnsi="Arial" w:cs="Arial"/>
          <w:noProof/>
          <w:color w:val="2F2F2F"/>
          <w:sz w:val="18"/>
          <w:szCs w:val="18"/>
          <w:lang w:eastAsia="es-MX"/>
        </w:rPr>
        <w:drawing>
          <wp:inline distT="0" distB="0" distL="0" distR="0">
            <wp:extent cx="581025" cy="152400"/>
            <wp:effectExtent l="0" t="0" r="9525" b="0"/>
            <wp:docPr id="70" name="Imagen 70" descr="https://www.dof.gob.mx/imagenes_diarios/2023/05/08/MAT/cre11_Cimg_61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of.gob.mx/imagenes_diarios/2023/05/08/MAT/cre11_Cimg_6140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y para 99%, </w:t>
      </w:r>
      <w:r>
        <w:rPr>
          <w:rFonts w:ascii="Arial" w:eastAsia="Times New Roman" w:hAnsi="Arial" w:cs="Arial"/>
          <w:noProof/>
          <w:color w:val="2F2F2F"/>
          <w:sz w:val="18"/>
          <w:szCs w:val="18"/>
          <w:lang w:eastAsia="es-MX"/>
        </w:rPr>
        <w:drawing>
          <wp:inline distT="0" distB="0" distL="0" distR="0">
            <wp:extent cx="523875" cy="133350"/>
            <wp:effectExtent l="0" t="0" r="9525" b="0"/>
            <wp:docPr id="69" name="Imagen 69" descr="https://www.dof.gob.mx/imagenes_diarios/2023/05/08/MAT/cre11_Cimg_63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dof.gob.mx/imagenes_diarios/2023/05/08/MAT/cre11_Cimg_6330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13335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La cantidad de visitas que se obtengan mediante la ecuación (1) representa el total de visitas de verificación que idealmente deberán realizarse en cada ejercicio, a fin de que la vigilancia ejercida cumpla con un nivel de confianza mínimo del 90% y un error máximo admisible del 5%.</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Determinación de la cantidad de visitas de verificación posibles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La cantidad máxima de visitas de verificación en materia de electricidad que la Comisión será capaz realizar para cada ejercicio de forma anual, puede calcularse de acuerdo con la cantidad de recursos humanos disponibles para tal propósito, siempre que los recursos financieros autorizados no representen una limitante.</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Para determinar el número máximo de visitas de verificación anual que se pueden realizar, inicialmente deberán calcularse las horas hombre disponibles al año de verificadores principales </w:t>
      </w:r>
      <w:r>
        <w:rPr>
          <w:rFonts w:ascii="Arial" w:eastAsia="Times New Roman" w:hAnsi="Arial" w:cs="Arial"/>
          <w:noProof/>
          <w:color w:val="2F2F2F"/>
          <w:sz w:val="18"/>
          <w:szCs w:val="18"/>
          <w:lang w:eastAsia="es-MX"/>
        </w:rPr>
        <w:drawing>
          <wp:inline distT="0" distB="0" distL="0" distR="0">
            <wp:extent cx="419100" cy="142875"/>
            <wp:effectExtent l="0" t="0" r="0" b="9525"/>
            <wp:docPr id="68" name="Imagen 68" descr="https://www.dof.gob.mx/imagenes_diarios/2023/05/08/MAT/cre11_Cimg_65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of.gob.mx/imagenes_diarios/2023/05/08/MAT/cre11_Cimg_651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y las horas hombre disponibles de verificadores de </w:t>
      </w:r>
      <w:proofErr w:type="gramStart"/>
      <w:r w:rsidRPr="000C258A">
        <w:rPr>
          <w:rFonts w:ascii="Arial" w:eastAsia="Times New Roman" w:hAnsi="Arial" w:cs="Arial"/>
          <w:color w:val="2F2F2F"/>
          <w:sz w:val="18"/>
          <w:szCs w:val="18"/>
          <w:lang w:eastAsia="es-MX"/>
        </w:rPr>
        <w:t>apoyo </w:t>
      </w:r>
      <w:proofErr w:type="gramEnd"/>
      <w:r>
        <w:rPr>
          <w:rFonts w:ascii="Arial" w:eastAsia="Times New Roman" w:hAnsi="Arial" w:cs="Arial"/>
          <w:noProof/>
          <w:color w:val="2F2F2F"/>
          <w:sz w:val="18"/>
          <w:szCs w:val="18"/>
          <w:lang w:eastAsia="es-MX"/>
        </w:rPr>
        <w:drawing>
          <wp:inline distT="0" distB="0" distL="0" distR="0">
            <wp:extent cx="409575" cy="142875"/>
            <wp:effectExtent l="0" t="0" r="9525" b="9525"/>
            <wp:docPr id="67" name="Imagen 67" descr="https://www.dof.gob.mx/imagenes_diarios/2023/05/08/MAT/cre11_Cimg_67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of.gob.mx/imagenes_diarios/2023/05/08/MAT/cre11_Cimg_6722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las cuales se obtienen de la forma siguiente.</w:t>
      </w:r>
    </w:p>
    <w:tbl>
      <w:tblPr>
        <w:tblW w:w="0" w:type="auto"/>
        <w:tblCellMar>
          <w:top w:w="15" w:type="dxa"/>
          <w:left w:w="15" w:type="dxa"/>
          <w:bottom w:w="15" w:type="dxa"/>
          <w:right w:w="15" w:type="dxa"/>
        </w:tblCellMar>
        <w:tblLook w:val="04A0" w:firstRow="1" w:lastRow="0" w:firstColumn="1" w:lastColumn="0" w:noHBand="0" w:noVBand="1"/>
      </w:tblPr>
      <w:tblGrid>
        <w:gridCol w:w="235"/>
        <w:gridCol w:w="8129"/>
        <w:gridCol w:w="618"/>
      </w:tblGrid>
      <w:tr w:rsidR="000C258A" w:rsidRPr="000C258A" w:rsidTr="000C258A">
        <w:trPr>
          <w:trHeight w:val="1014"/>
        </w:trPr>
        <w:tc>
          <w:tcPr>
            <w:tcW w:w="235"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8131"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4333875" cy="561975"/>
                  <wp:effectExtent l="0" t="0" r="9525" b="9525"/>
                  <wp:docPr id="66" name="Imagen 66" descr="https://www.dof.gob.mx/imagenes_diarios/2023/05/08/MAT/cre11_Cimg_69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of.gob.mx/imagenes_diarios/2023/05/08/MAT/cre11_Cimg_6933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875" cy="561975"/>
                          </a:xfrm>
                          <a:prstGeom prst="rect">
                            <a:avLst/>
                          </a:prstGeom>
                          <a:noFill/>
                          <a:ln>
                            <a:noFill/>
                          </a:ln>
                        </pic:spPr>
                      </pic:pic>
                    </a:graphicData>
                  </a:graphic>
                </wp:inline>
              </w:drawing>
            </w:r>
          </w:p>
        </w:tc>
        <w:tc>
          <w:tcPr>
            <w:tcW w:w="61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234"/>
        <w:gridCol w:w="8130"/>
        <w:gridCol w:w="618"/>
      </w:tblGrid>
      <w:tr w:rsidR="000C258A" w:rsidRPr="000C258A" w:rsidTr="000C258A">
        <w:trPr>
          <w:trHeight w:val="1060"/>
        </w:trPr>
        <w:tc>
          <w:tcPr>
            <w:tcW w:w="235"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8131"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4533900" cy="590550"/>
                  <wp:effectExtent l="0" t="0" r="0" b="0"/>
                  <wp:docPr id="65" name="Imagen 65" descr="https://www.dof.gob.mx/imagenes_diarios/2023/05/08/MAT/cre11_Cimg_94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dof.gob.mx/imagenes_diarios/2023/05/08/MAT/cre11_Cimg_948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590550"/>
                          </a:xfrm>
                          <a:prstGeom prst="rect">
                            <a:avLst/>
                          </a:prstGeom>
                          <a:noFill/>
                          <a:ln>
                            <a:noFill/>
                          </a:ln>
                        </pic:spPr>
                      </pic:pic>
                    </a:graphicData>
                  </a:graphic>
                </wp:inline>
              </w:drawing>
            </w:r>
          </w:p>
        </w:tc>
        <w:tc>
          <w:tcPr>
            <w:tcW w:w="61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Una vez calculadas estas dos cantidades se suman para obtener el total de las </w:t>
      </w:r>
      <w:r w:rsidRPr="000C258A">
        <w:rPr>
          <w:rFonts w:ascii="Arial" w:eastAsia="Times New Roman" w:hAnsi="Arial" w:cs="Arial"/>
          <w:i/>
          <w:iCs/>
          <w:color w:val="2F2F2F"/>
          <w:sz w:val="18"/>
          <w:szCs w:val="18"/>
          <w:lang w:eastAsia="es-MX"/>
        </w:rPr>
        <w:t>horas hombre disponibles </w:t>
      </w:r>
      <w:r w:rsidRPr="000C258A">
        <w:rPr>
          <w:rFonts w:ascii="Arial" w:eastAsia="Times New Roman" w:hAnsi="Arial" w:cs="Arial"/>
          <w:color w:val="2F2F2F"/>
          <w:sz w:val="18"/>
          <w:szCs w:val="18"/>
          <w:lang w:eastAsia="es-MX"/>
        </w:rPr>
        <w:t>anuales para visitas de </w:t>
      </w:r>
      <w:proofErr w:type="gramStart"/>
      <w:r w:rsidRPr="000C258A">
        <w:rPr>
          <w:rFonts w:ascii="Arial" w:eastAsia="Times New Roman" w:hAnsi="Arial" w:cs="Arial"/>
          <w:color w:val="2F2F2F"/>
          <w:sz w:val="18"/>
          <w:szCs w:val="18"/>
          <w:lang w:eastAsia="es-MX"/>
        </w:rPr>
        <w:t>verificación </w:t>
      </w:r>
      <w:proofErr w:type="gramEnd"/>
      <w:r>
        <w:rPr>
          <w:rFonts w:ascii="Arial" w:eastAsia="Times New Roman" w:hAnsi="Arial" w:cs="Arial"/>
          <w:noProof/>
          <w:color w:val="2F2F2F"/>
          <w:sz w:val="18"/>
          <w:szCs w:val="18"/>
          <w:lang w:eastAsia="es-MX"/>
        </w:rPr>
        <w:drawing>
          <wp:inline distT="0" distB="0" distL="0" distR="0">
            <wp:extent cx="352425" cy="142875"/>
            <wp:effectExtent l="0" t="0" r="9525" b="9525"/>
            <wp:docPr id="64" name="Imagen 64" descr="https://www.dof.gob.mx/imagenes_diarios/2023/05/08/MAT/cre11_Cimg_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of.gob.mx/imagenes_diarios/2023/05/08/MAT/cre11_Cimg_12034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467"/>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895475" cy="209550"/>
                  <wp:effectExtent l="0" t="0" r="9525" b="0"/>
                  <wp:docPr id="63" name="Imagen 63" descr="https://www.dof.gob.mx/imagenes_diarios/2023/05/08/MAT/cre11_Cimg_121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dof.gob.mx/imagenes_diarios/2023/05/08/MAT/cre11_Cimg_1218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209550"/>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(4)</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lastRenderedPageBreak/>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Posteriormente deberá fijarse la meta de eficiencia en visitas de verificación </w:t>
      </w:r>
      <w:r w:rsidRPr="000C258A">
        <w:rPr>
          <w:rFonts w:ascii="Arial" w:eastAsia="Times New Roman" w:hAnsi="Arial" w:cs="Arial"/>
          <w:i/>
          <w:iCs/>
          <w:color w:val="2F2F2F"/>
          <w:sz w:val="18"/>
          <w:szCs w:val="18"/>
          <w:lang w:eastAsia="es-MX"/>
        </w:rPr>
        <w:t>%EFV</w:t>
      </w:r>
      <w:r w:rsidRPr="000C258A">
        <w:rPr>
          <w:rFonts w:ascii="Arial" w:eastAsia="Times New Roman" w:hAnsi="Arial" w:cs="Arial"/>
          <w:color w:val="2F2F2F"/>
          <w:sz w:val="18"/>
          <w:szCs w:val="18"/>
          <w:lang w:eastAsia="es-MX"/>
        </w:rPr>
        <w:t>, la cual será establecida por la Dirección General de Operación, Permisos y Registros de Electricidad (DGOPRE) para cada ejercicio. Esta eficiencia debe considerarse como la relación porcentual del total acumulado de horas hombre efectivas </w:t>
      </w:r>
      <w:r>
        <w:rPr>
          <w:rFonts w:ascii="Arial" w:eastAsia="Times New Roman" w:hAnsi="Arial" w:cs="Arial"/>
          <w:noProof/>
          <w:color w:val="2F2F2F"/>
          <w:sz w:val="18"/>
          <w:szCs w:val="18"/>
          <w:lang w:eastAsia="es-MX"/>
        </w:rPr>
        <w:drawing>
          <wp:inline distT="0" distB="0" distL="0" distR="0">
            <wp:extent cx="352425" cy="123825"/>
            <wp:effectExtent l="0" t="0" r="9525" b="9525"/>
            <wp:docPr id="62" name="Imagen 62" descr="https://www.dof.gob.mx/imagenes_diarios/2023/05/08/MAT/cre11_Cimg_12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dof.gob.mx/imagenes_diarios/2023/05/08/MAT/cre11_Cimg_12537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 cy="12382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utilizadas para la ejecución de las actividades relacionadas con visitas de verificación y el total de horas hombre disponibles para visitas de </w:t>
      </w:r>
      <w:proofErr w:type="gramStart"/>
      <w:r w:rsidRPr="000C258A">
        <w:rPr>
          <w:rFonts w:ascii="Arial" w:eastAsia="Times New Roman" w:hAnsi="Arial" w:cs="Arial"/>
          <w:color w:val="2F2F2F"/>
          <w:sz w:val="18"/>
          <w:szCs w:val="18"/>
          <w:lang w:eastAsia="es-MX"/>
        </w:rPr>
        <w:t>verificación </w:t>
      </w:r>
      <w:proofErr w:type="gramEnd"/>
      <w:r>
        <w:rPr>
          <w:rFonts w:ascii="Arial" w:eastAsia="Times New Roman" w:hAnsi="Arial" w:cs="Arial"/>
          <w:noProof/>
          <w:color w:val="2F2F2F"/>
          <w:sz w:val="18"/>
          <w:szCs w:val="18"/>
          <w:lang w:eastAsia="es-MX"/>
        </w:rPr>
        <w:drawing>
          <wp:inline distT="0" distB="0" distL="0" distR="0">
            <wp:extent cx="352425" cy="142875"/>
            <wp:effectExtent l="0" t="0" r="9525" b="9525"/>
            <wp:docPr id="61" name="Imagen 61" descr="https://www.dof.gob.mx/imagenes_diarios/2023/05/08/MAT/cre11_Cimg_126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of.gob.mx/imagenes_diarios/2023/05/08/MAT/cre11_Cimg_12665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653"/>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876300" cy="333375"/>
                  <wp:effectExtent l="0" t="0" r="0" b="9525"/>
                  <wp:docPr id="60" name="Imagen 60" descr="https://www.dof.gob.mx/imagenes_diarios/2023/05/08/MAT/cre11_Cimg_128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dof.gob.mx/imagenes_diarios/2023/05/08/MAT/cre11_Cimg_12811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(5)</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Sucesivamente se obtienen las horas hombre acreditables </w:t>
      </w:r>
      <w:r>
        <w:rPr>
          <w:rFonts w:ascii="Arial" w:eastAsia="Times New Roman" w:hAnsi="Arial" w:cs="Arial"/>
          <w:noProof/>
          <w:color w:val="2F2F2F"/>
          <w:sz w:val="18"/>
          <w:szCs w:val="18"/>
          <w:lang w:eastAsia="es-MX"/>
        </w:rPr>
        <w:drawing>
          <wp:inline distT="0" distB="0" distL="0" distR="0">
            <wp:extent cx="352425" cy="133350"/>
            <wp:effectExtent l="0" t="0" r="9525" b="0"/>
            <wp:docPr id="59" name="Imagen 59" descr="https://www.dof.gob.mx/imagenes_diarios/2023/05/08/MAT/cre11_Cimg_132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dof.gob.mx/imagenes_diarios/2023/05/08/MAT/cre11_Cimg_13265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para visitas de verificación de acuerdo con la ecuación (6).</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425"/>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619250" cy="190500"/>
                  <wp:effectExtent l="0" t="0" r="0" b="0"/>
                  <wp:docPr id="58" name="Imagen 58" descr="https://www.dof.gob.mx/imagenes_diarios/2023/05/08/MAT/cre11_Cimg_134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dof.gob.mx/imagenes_diarios/2023/05/08/MAT/cre11_Cimg_13414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0" cy="190500"/>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(6)</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Finalmente, el número de visitas de verificación </w:t>
      </w:r>
      <w:r>
        <w:rPr>
          <w:rFonts w:ascii="Arial" w:eastAsia="Times New Roman" w:hAnsi="Arial" w:cs="Arial"/>
          <w:noProof/>
          <w:color w:val="2F2F2F"/>
          <w:sz w:val="18"/>
          <w:szCs w:val="18"/>
          <w:lang w:eastAsia="es-MX"/>
        </w:rPr>
        <w:drawing>
          <wp:inline distT="0" distB="0" distL="0" distR="0">
            <wp:extent cx="352425" cy="152400"/>
            <wp:effectExtent l="0" t="0" r="9525" b="0"/>
            <wp:docPr id="57" name="Imagen 57" descr="https://www.dof.gob.mx/imagenes_diarios/2023/05/08/MAT/cre11_Cimg_138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dof.gob.mx/imagenes_diarios/2023/05/08/MAT/cre11_Cimg_13822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se obtiene de la relación entre las horas hombre acreditables para visitas de verificación y las horas hombre promedio requeridas por cada visita </w:t>
      </w:r>
      <w:r>
        <w:rPr>
          <w:rFonts w:ascii="Arial" w:eastAsia="Times New Roman" w:hAnsi="Arial" w:cs="Arial"/>
          <w:noProof/>
          <w:color w:val="2F2F2F"/>
          <w:sz w:val="18"/>
          <w:szCs w:val="18"/>
          <w:lang w:eastAsia="es-MX"/>
        </w:rPr>
        <w:drawing>
          <wp:inline distT="0" distB="0" distL="0" distR="0">
            <wp:extent cx="685800" cy="161925"/>
            <wp:effectExtent l="0" t="0" r="0" b="9525"/>
            <wp:docPr id="56" name="Imagen 56" descr="https://www.dof.gob.mx/imagenes_diarios/2023/05/08/MAT/cre11_Cimg_139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dof.gob.mx/imagenes_diarios/2023/05/08/MAT/cre11_Cimg_13977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el valor obtenido de esta relación se trunca eliminando su parte decimal, lo cual se expresa matemáticamente mediante la función suelo. Por lo tanto, el número máximo de visitas de verificación está dado por la ecuación (1).</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800"/>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362075" cy="428625"/>
                  <wp:effectExtent l="0" t="0" r="9525" b="9525"/>
                  <wp:docPr id="55" name="Imagen 55" descr="https://www.dof.gob.mx/imagenes_diarios/2023/05/08/MAT/cre11_Cimg_142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dof.gob.mx/imagenes_diarios/2023/05/08/MAT/cre11_Cimg_14239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(7)</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Las horas hombre promedio requeridas por visita de verificación serán definidas por la DGOPRE con base en la experiencia considerando el tiempo total requerido para el desempeño de la totalidad de actividades competentes en el desarrollo de una visita de verificación.</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Cabe señalar que la cantidad de visitas de verificación obtenidas mediante la ecuación (7), adicionalmente quedará sujeta a la disponibilidad de recursos financieros autorizados para la ejecución de visitas de verificación o inspección en materia de electricidad.</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Cálculo del nivel de confianza según el número de visitas posibles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Eventualmente podrá existir una diferencia entre el número óptimo de visitas </w:t>
      </w:r>
      <w:r>
        <w:rPr>
          <w:rFonts w:ascii="Arial" w:eastAsia="Times New Roman" w:hAnsi="Arial" w:cs="Arial"/>
          <w:noProof/>
          <w:color w:val="2F2F2F"/>
          <w:sz w:val="18"/>
          <w:szCs w:val="18"/>
          <w:lang w:eastAsia="es-MX"/>
        </w:rPr>
        <w:drawing>
          <wp:inline distT="0" distB="0" distL="0" distR="0">
            <wp:extent cx="381000" cy="161925"/>
            <wp:effectExtent l="0" t="0" r="0" b="9525"/>
            <wp:docPr id="54" name="Imagen 54" descr="https://www.dof.gob.mx/imagenes_diarios/2023/05/08/MAT/cre11_Cimg_148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dof.gob.mx/imagenes_diarios/2023/05/08/MAT/cre11_Cimg_14844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y la cantidad de visitas de verificación </w:t>
      </w:r>
      <w:r>
        <w:rPr>
          <w:rFonts w:ascii="Arial" w:eastAsia="Times New Roman" w:hAnsi="Arial" w:cs="Arial"/>
          <w:noProof/>
          <w:color w:val="2F2F2F"/>
          <w:sz w:val="18"/>
          <w:szCs w:val="18"/>
          <w:lang w:eastAsia="es-MX"/>
        </w:rPr>
        <w:drawing>
          <wp:inline distT="0" distB="0" distL="0" distR="0">
            <wp:extent cx="352425" cy="152400"/>
            <wp:effectExtent l="0" t="0" r="9525" b="0"/>
            <wp:docPr id="53" name="Imagen 53" descr="https://www.dof.gob.mx/imagenes_diarios/2023/05/08/MAT/cre11_Cimg_15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dof.gob.mx/imagenes_diarios/2023/05/08/MAT/cre11_Cimg_15067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que la Comisión podrá realizar según sus recursos humanos y financieros.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A partir de la ecuación (1), despejando el coeficiente de nivel de confianza, se obtiene la ecuación (8) mediante la cual se puede calcular el nivel de confianza de que el error sea menor a </w:t>
      </w:r>
      <w:r>
        <w:rPr>
          <w:rFonts w:ascii="Arial" w:eastAsia="Times New Roman" w:hAnsi="Arial" w:cs="Arial"/>
          <w:noProof/>
          <w:color w:val="2F2F2F"/>
          <w:sz w:val="18"/>
          <w:szCs w:val="18"/>
          <w:lang w:eastAsia="es-MX"/>
        </w:rPr>
        <w:drawing>
          <wp:inline distT="0" distB="0" distL="0" distR="0">
            <wp:extent cx="95250" cy="76200"/>
            <wp:effectExtent l="0" t="0" r="0" b="0"/>
            <wp:docPr id="52" name="Imagen 52" descr="https://www.dof.gob.mx/imagenes_diarios/2023/05/08/MAT/cre11_Cimg_152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dof.gob.mx/imagenes_diarios/2023/05/08/MAT/cre11_Cimg_15222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considerando un número de visitas de verificación </w:t>
      </w:r>
      <w:proofErr w:type="gramStart"/>
      <w:r w:rsidRPr="000C258A">
        <w:rPr>
          <w:rFonts w:ascii="Arial" w:eastAsia="Times New Roman" w:hAnsi="Arial" w:cs="Arial"/>
          <w:color w:val="2F2F2F"/>
          <w:sz w:val="18"/>
          <w:szCs w:val="18"/>
          <w:lang w:eastAsia="es-MX"/>
        </w:rPr>
        <w:t>posibles </w:t>
      </w:r>
      <w:proofErr w:type="gramEnd"/>
      <w:r>
        <w:rPr>
          <w:rFonts w:ascii="Arial" w:eastAsia="Times New Roman" w:hAnsi="Arial" w:cs="Arial"/>
          <w:noProof/>
          <w:color w:val="2F2F2F"/>
          <w:sz w:val="18"/>
          <w:szCs w:val="18"/>
          <w:lang w:eastAsia="es-MX"/>
        </w:rPr>
        <w:drawing>
          <wp:inline distT="0" distB="0" distL="0" distR="0">
            <wp:extent cx="352425" cy="152400"/>
            <wp:effectExtent l="0" t="0" r="9525" b="0"/>
            <wp:docPr id="51" name="Imagen 51" descr="https://www.dof.gob.mx/imagenes_diarios/2023/05/08/MAT/cre11_Cimg_153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dof.gob.mx/imagenes_diarios/2023/05/08/MAT/cre11_Cimg_15375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1008"/>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562100" cy="552450"/>
                  <wp:effectExtent l="0" t="0" r="0" b="0"/>
                  <wp:docPr id="50" name="Imagen 50" descr="https://www.dof.gob.mx/imagenes_diarios/2023/05/08/MAT/cre11_Cimg_155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dof.gob.mx/imagenes_diarios/2023/05/08/MAT/cre11_Cimg_15530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552450"/>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Una vez calculado el valor del </w:t>
      </w:r>
      <w:proofErr w:type="gramStart"/>
      <w:r w:rsidRPr="000C258A">
        <w:rPr>
          <w:rFonts w:ascii="Arial" w:eastAsia="Times New Roman" w:hAnsi="Arial" w:cs="Arial"/>
          <w:color w:val="2F2F2F"/>
          <w:sz w:val="18"/>
          <w:szCs w:val="18"/>
          <w:lang w:eastAsia="es-MX"/>
        </w:rPr>
        <w:t>coeficiente </w:t>
      </w:r>
      <w:proofErr w:type="gramEnd"/>
      <w:r>
        <w:rPr>
          <w:rFonts w:ascii="Arial" w:eastAsia="Times New Roman" w:hAnsi="Arial" w:cs="Arial"/>
          <w:noProof/>
          <w:color w:val="2F2F2F"/>
          <w:sz w:val="18"/>
          <w:szCs w:val="18"/>
          <w:lang w:eastAsia="es-MX"/>
        </w:rPr>
        <w:drawing>
          <wp:inline distT="0" distB="0" distL="0" distR="0">
            <wp:extent cx="85725" cy="114300"/>
            <wp:effectExtent l="0" t="0" r="9525" b="0"/>
            <wp:docPr id="49" name="Imagen 49" descr="https://www.dof.gob.mx/imagenes_diarios/2023/05/08/MAT/cre11_Cimg_164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dof.gob.mx/imagenes_diarios/2023/05/08/MAT/cre11_Cimg_16477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a partir de la tabla del Anexo III, se obtiene el nivel de significancia </w:t>
      </w:r>
      <w:r>
        <w:rPr>
          <w:rFonts w:ascii="Arial" w:eastAsia="Times New Roman" w:hAnsi="Arial" w:cs="Arial"/>
          <w:noProof/>
          <w:color w:val="2F2F2F"/>
          <w:sz w:val="18"/>
          <w:szCs w:val="18"/>
          <w:lang w:eastAsia="es-MX"/>
        </w:rPr>
        <w:drawing>
          <wp:inline distT="0" distB="0" distL="0" distR="0">
            <wp:extent cx="123825" cy="104775"/>
            <wp:effectExtent l="0" t="0" r="9525" b="9525"/>
            <wp:docPr id="48" name="Imagen 48" descr="https://www.dof.gob.mx/imagenes_diarios/2023/05/08/MAT/cre11_Cimg_165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dof.gob.mx/imagenes_diarios/2023/05/08/MAT/cre11_Cimg_16544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y posteriormente se obtiene el nivel de confianza </w:t>
      </w:r>
      <w:r>
        <w:rPr>
          <w:rFonts w:ascii="Arial" w:eastAsia="Times New Roman" w:hAnsi="Arial" w:cs="Arial"/>
          <w:noProof/>
          <w:color w:val="2F2F2F"/>
          <w:sz w:val="18"/>
          <w:szCs w:val="18"/>
          <w:lang w:eastAsia="es-MX"/>
        </w:rPr>
        <w:drawing>
          <wp:inline distT="0" distB="0" distL="0" distR="0">
            <wp:extent cx="809625" cy="142875"/>
            <wp:effectExtent l="0" t="0" r="9525" b="9525"/>
            <wp:docPr id="47" name="Imagen 47" descr="https://www.dof.gob.mx/imagenes_diarios/2023/05/08/MAT/cre11_Cimg_167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dof.gob.mx/imagenes_diarios/2023/05/08/MAT/cre11_Cimg_16738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9625"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En relación con la vigilancia ejercida por la Comisión, deberá considerarse un nivel de confianza mínimo de 70% a partir </w:t>
      </w:r>
      <w:proofErr w:type="gramStart"/>
      <w:r w:rsidRPr="000C258A">
        <w:rPr>
          <w:rFonts w:ascii="Arial" w:eastAsia="Times New Roman" w:hAnsi="Arial" w:cs="Arial"/>
          <w:color w:val="2F2F2F"/>
          <w:sz w:val="18"/>
          <w:szCs w:val="18"/>
          <w:lang w:eastAsia="es-MX"/>
        </w:rPr>
        <w:t>de </w:t>
      </w:r>
      <w:proofErr w:type="gramEnd"/>
      <w:r>
        <w:rPr>
          <w:rFonts w:ascii="Arial" w:eastAsia="Times New Roman" w:hAnsi="Arial" w:cs="Arial"/>
          <w:noProof/>
          <w:color w:val="2F2F2F"/>
          <w:sz w:val="18"/>
          <w:szCs w:val="18"/>
          <w:lang w:eastAsia="es-MX"/>
        </w:rPr>
        <w:drawing>
          <wp:inline distT="0" distB="0" distL="0" distR="0">
            <wp:extent cx="352425" cy="152400"/>
            <wp:effectExtent l="0" t="0" r="9525" b="0"/>
            <wp:docPr id="46" name="Imagen 46" descr="https://www.dof.gob.mx/imagenes_diarios/2023/05/08/MAT/cre11_Cimg_17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dof.gob.mx/imagenes_diarios/2023/05/08/MAT/cre11_Cimg_17050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tomando como error máximo admisible </w:t>
      </w:r>
      <w:r>
        <w:rPr>
          <w:rFonts w:ascii="Arial" w:eastAsia="Times New Roman" w:hAnsi="Arial" w:cs="Arial"/>
          <w:noProof/>
          <w:color w:val="2F2F2F"/>
          <w:sz w:val="18"/>
          <w:szCs w:val="18"/>
          <w:lang w:eastAsia="es-MX"/>
        </w:rPr>
        <w:drawing>
          <wp:inline distT="0" distB="0" distL="0" distR="0">
            <wp:extent cx="95250" cy="76200"/>
            <wp:effectExtent l="0" t="0" r="0" b="0"/>
            <wp:docPr id="45" name="Imagen 45" descr="https://www.dof.gob.mx/imagenes_diarios/2023/05/08/MAT/cre11_Cimg_17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dof.gob.mx/imagenes_diarios/2023/05/08/MAT/cre11_Cimg_17206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el 5%.</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Repartición de las visitas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lastRenderedPageBreak/>
        <w:t>La determinación de la cantidad de visitas de verificación para cada modalidad será con base en los porcentajes establecidos en la siguiente tabla:</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sidRPr="000C258A">
        <w:rPr>
          <w:rFonts w:ascii="Arial" w:eastAsia="Times New Roman" w:hAnsi="Arial" w:cs="Arial"/>
          <w:i/>
          <w:iCs/>
          <w:color w:val="2F2F2F"/>
          <w:sz w:val="18"/>
          <w:szCs w:val="18"/>
          <w:lang w:eastAsia="es-MX"/>
        </w:rPr>
        <w:t>Tabla 1. Repartición del número de visitas de verificación según la modalidad.</w:t>
      </w:r>
    </w:p>
    <w:tbl>
      <w:tblPr>
        <w:tblW w:w="0" w:type="auto"/>
        <w:tblCellMar>
          <w:top w:w="15" w:type="dxa"/>
          <w:left w:w="15" w:type="dxa"/>
          <w:bottom w:w="15" w:type="dxa"/>
          <w:right w:w="15" w:type="dxa"/>
        </w:tblCellMar>
        <w:tblLook w:val="04A0" w:firstRow="1" w:lastRow="0" w:firstColumn="1" w:lastColumn="0" w:noHBand="0" w:noVBand="1"/>
      </w:tblPr>
      <w:tblGrid>
        <w:gridCol w:w="3742"/>
        <w:gridCol w:w="5240"/>
      </w:tblGrid>
      <w:tr w:rsidR="000C258A" w:rsidRPr="000C258A" w:rsidTr="000C258A">
        <w:trPr>
          <w:trHeight w:val="336"/>
        </w:trPr>
        <w:tc>
          <w:tcPr>
            <w:tcW w:w="37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Porcentaje de visitas de verificación</w:t>
            </w:r>
          </w:p>
        </w:tc>
        <w:tc>
          <w:tcPr>
            <w:tcW w:w="524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Modalidades sujetas a visita de verificación</w:t>
            </w:r>
          </w:p>
        </w:tc>
      </w:tr>
      <w:tr w:rsidR="000C258A" w:rsidRPr="000C258A" w:rsidTr="000C258A">
        <w:trPr>
          <w:trHeight w:val="321"/>
        </w:trPr>
        <w:tc>
          <w:tcPr>
            <w:tcW w:w="37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80%</w:t>
            </w:r>
          </w:p>
        </w:tc>
        <w:tc>
          <w:tcPr>
            <w:tcW w:w="524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Permisos de generación eléctrica con mayor </w:t>
            </w:r>
            <w:r w:rsidRPr="000C258A">
              <w:rPr>
                <w:rFonts w:ascii="Arial" w:eastAsia="Times New Roman" w:hAnsi="Arial" w:cs="Arial"/>
                <w:i/>
                <w:iCs/>
                <w:color w:val="000000"/>
                <w:sz w:val="18"/>
                <w:szCs w:val="18"/>
                <w:lang w:eastAsia="es-MX"/>
              </w:rPr>
              <w:t>IV</w:t>
            </w:r>
          </w:p>
        </w:tc>
      </w:tr>
      <w:tr w:rsidR="000C258A" w:rsidRPr="000C258A" w:rsidTr="000C258A">
        <w:trPr>
          <w:trHeight w:val="321"/>
        </w:trPr>
        <w:tc>
          <w:tcPr>
            <w:tcW w:w="37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5%</w:t>
            </w:r>
          </w:p>
        </w:tc>
        <w:tc>
          <w:tcPr>
            <w:tcW w:w="524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Permisos de suministro con mayor </w:t>
            </w:r>
            <w:r w:rsidRPr="000C258A">
              <w:rPr>
                <w:rFonts w:ascii="Arial" w:eastAsia="Times New Roman" w:hAnsi="Arial" w:cs="Arial"/>
                <w:i/>
                <w:iCs/>
                <w:color w:val="000000"/>
                <w:sz w:val="18"/>
                <w:szCs w:val="18"/>
                <w:lang w:eastAsia="es-MX"/>
              </w:rPr>
              <w:t>IV</w:t>
            </w:r>
          </w:p>
        </w:tc>
      </w:tr>
      <w:tr w:rsidR="000C258A" w:rsidRPr="000C258A" w:rsidTr="000C258A">
        <w:trPr>
          <w:trHeight w:val="541"/>
        </w:trPr>
        <w:tc>
          <w:tcPr>
            <w:tcW w:w="37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5%</w:t>
            </w:r>
          </w:p>
        </w:tc>
        <w:tc>
          <w:tcPr>
            <w:tcW w:w="524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Unidades de Inspección de la Industria Eléctrica (UIIE) con</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color w:val="000000"/>
                <w:sz w:val="18"/>
                <w:szCs w:val="18"/>
                <w:lang w:eastAsia="es-MX"/>
              </w:rPr>
              <w:t>mayor </w:t>
            </w:r>
            <w:r w:rsidRPr="000C258A">
              <w:rPr>
                <w:rFonts w:ascii="Arial" w:eastAsia="Times New Roman" w:hAnsi="Arial" w:cs="Arial"/>
                <w:i/>
                <w:iCs/>
                <w:color w:val="000000"/>
                <w:sz w:val="18"/>
                <w:szCs w:val="18"/>
                <w:lang w:eastAsia="es-MX"/>
              </w:rPr>
              <w:t>IV</w:t>
            </w:r>
          </w:p>
        </w:tc>
      </w:tr>
      <w:tr w:rsidR="000C258A" w:rsidRPr="000C258A" w:rsidTr="000C258A">
        <w:trPr>
          <w:trHeight w:val="713"/>
        </w:trPr>
        <w:tc>
          <w:tcPr>
            <w:tcW w:w="37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10%</w:t>
            </w:r>
          </w:p>
        </w:tc>
        <w:tc>
          <w:tcPr>
            <w:tcW w:w="524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Muestra aleatoria simple del conjunto de permisos de</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color w:val="000000"/>
                <w:sz w:val="18"/>
                <w:szCs w:val="18"/>
                <w:lang w:eastAsia="es-MX"/>
              </w:rPr>
              <w:t>generación eléctrica, suministro eléctrico y Unidades de</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color w:val="000000"/>
                <w:sz w:val="18"/>
                <w:szCs w:val="18"/>
                <w:lang w:eastAsia="es-MX"/>
              </w:rPr>
              <w:t>Inspección (UIIE) restantes de todos los casos anteriores.</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Los permisos a los que se haya realizado una visita de verificación durante los últimos dos años no participarán en la metodología con la finalidad de dar oportunidad al permisionario de regularizar sus obligaciones y para visitar a otros permisos que tengan mayor tiempo sin ser visitados.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Determinación del número de visitas por modalidad</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La cantidad de permisos que se pueden visitar por cada modalidad están dados por la siguiente ecuación:</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512"/>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743075" cy="238125"/>
                  <wp:effectExtent l="0" t="0" r="9525" b="9525"/>
                  <wp:docPr id="44" name="Imagen 44" descr="https://www.dof.gob.mx/imagenes_diarios/2023/05/08/MAT/cre11_Cimg_174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dof.gob.mx/imagenes_diarios/2023/05/08/MAT/cre11_Cimg_17426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(9)</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Donde </w:t>
      </w:r>
      <w:r>
        <w:rPr>
          <w:rFonts w:ascii="Arial" w:eastAsia="Times New Roman" w:hAnsi="Arial" w:cs="Arial"/>
          <w:noProof/>
          <w:color w:val="2F2F2F"/>
          <w:sz w:val="18"/>
          <w:szCs w:val="18"/>
          <w:lang w:eastAsia="es-MX"/>
        </w:rPr>
        <w:drawing>
          <wp:inline distT="0" distB="0" distL="0" distR="0">
            <wp:extent cx="533400" cy="171450"/>
            <wp:effectExtent l="0" t="0" r="0" b="0"/>
            <wp:docPr id="43" name="Imagen 43" descr="https://www.dof.gob.mx/imagenes_diarios/2023/05/08/MAT/cre11_Cimg_178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dof.gob.mx/imagenes_diarios/2023/05/08/MAT/cre11_Cimg_17889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es el número de visitas de verificación según la modalidad </w:t>
      </w:r>
      <w:r>
        <w:rPr>
          <w:rFonts w:ascii="Arial" w:eastAsia="Times New Roman" w:hAnsi="Arial" w:cs="Arial"/>
          <w:noProof/>
          <w:color w:val="2F2F2F"/>
          <w:sz w:val="18"/>
          <w:szCs w:val="18"/>
          <w:lang w:eastAsia="es-MX"/>
        </w:rPr>
        <w:drawing>
          <wp:inline distT="0" distB="0" distL="0" distR="0">
            <wp:extent cx="876300" cy="142875"/>
            <wp:effectExtent l="0" t="0" r="0" b="9525"/>
            <wp:docPr id="42" name="Imagen 42" descr="https://www.dof.gob.mx/imagenes_diarios/2023/05/08/MAT/cre11_Cimg_18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dof.gob.mx/imagenes_diarios/2023/05/08/MAT/cre11_Cimg_18155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6300" cy="1428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permisos de generación con mayor </w:t>
      </w:r>
      <w:r w:rsidRPr="000C258A">
        <w:rPr>
          <w:rFonts w:ascii="Arial" w:eastAsia="Times New Roman" w:hAnsi="Arial" w:cs="Arial"/>
          <w:i/>
          <w:iCs/>
          <w:color w:val="2F2F2F"/>
          <w:sz w:val="18"/>
          <w:szCs w:val="18"/>
          <w:lang w:eastAsia="es-MX"/>
        </w:rPr>
        <w:t>IV</w:t>
      </w:r>
      <w:r w:rsidRPr="000C258A">
        <w:rPr>
          <w:rFonts w:ascii="Arial" w:eastAsia="Times New Roman" w:hAnsi="Arial" w:cs="Arial"/>
          <w:color w:val="2F2F2F"/>
          <w:sz w:val="18"/>
          <w:szCs w:val="18"/>
          <w:lang w:eastAsia="es-MX"/>
        </w:rPr>
        <w:t>, </w:t>
      </w:r>
      <w:r>
        <w:rPr>
          <w:rFonts w:ascii="Arial" w:eastAsia="Times New Roman" w:hAnsi="Arial" w:cs="Arial"/>
          <w:noProof/>
          <w:color w:val="2F2F2F"/>
          <w:sz w:val="18"/>
          <w:szCs w:val="18"/>
          <w:lang w:eastAsia="es-MX"/>
        </w:rPr>
        <w:drawing>
          <wp:inline distT="0" distB="0" distL="0" distR="0">
            <wp:extent cx="304800" cy="114300"/>
            <wp:effectExtent l="0" t="0" r="0" b="0"/>
            <wp:docPr id="41" name="Imagen 41" descr="https://www.dof.gob.mx/imagenes_diarios/2023/05/08/MAT/cre11_Cimg_18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dof.gob.mx/imagenes_diarios/2023/05/08/MAT/cre11_Cimg_18499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 permisos de suministro con mayor </w:t>
      </w:r>
      <w:r w:rsidRPr="000C258A">
        <w:rPr>
          <w:rFonts w:ascii="Arial" w:eastAsia="Times New Roman" w:hAnsi="Arial" w:cs="Arial"/>
          <w:i/>
          <w:iCs/>
          <w:color w:val="2F2F2F"/>
          <w:sz w:val="18"/>
          <w:szCs w:val="18"/>
          <w:lang w:eastAsia="es-MX"/>
        </w:rPr>
        <w:t>IV</w:t>
      </w:r>
      <w:r w:rsidRPr="000C258A">
        <w:rPr>
          <w:rFonts w:ascii="Arial" w:eastAsia="Times New Roman" w:hAnsi="Arial" w:cs="Arial"/>
          <w:color w:val="2F2F2F"/>
          <w:sz w:val="18"/>
          <w:szCs w:val="18"/>
          <w:lang w:eastAsia="es-MX"/>
        </w:rPr>
        <w:t>, </w:t>
      </w:r>
      <w:r>
        <w:rPr>
          <w:rFonts w:ascii="Arial" w:eastAsia="Times New Roman" w:hAnsi="Arial" w:cs="Arial"/>
          <w:noProof/>
          <w:color w:val="2F2F2F"/>
          <w:sz w:val="18"/>
          <w:szCs w:val="18"/>
          <w:lang w:eastAsia="es-MX"/>
        </w:rPr>
        <w:drawing>
          <wp:inline distT="0" distB="0" distL="0" distR="0">
            <wp:extent cx="295275" cy="123825"/>
            <wp:effectExtent l="0" t="0" r="9525" b="9525"/>
            <wp:docPr id="40" name="Imagen 40" descr="https://www.dof.gob.mx/imagenes_diarios/2023/05/08/MAT/cre11_Cimg_186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dof.gob.mx/imagenes_diarios/2023/05/08/MAT/cre11_Cimg_18681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 unidades de inspección con mayor </w:t>
      </w:r>
      <w:r w:rsidRPr="000C258A">
        <w:rPr>
          <w:rFonts w:ascii="Arial" w:eastAsia="Times New Roman" w:hAnsi="Arial" w:cs="Arial"/>
          <w:i/>
          <w:iCs/>
          <w:color w:val="2F2F2F"/>
          <w:sz w:val="18"/>
          <w:szCs w:val="18"/>
          <w:lang w:eastAsia="es-MX"/>
        </w:rPr>
        <w:t>IV</w:t>
      </w:r>
      <w:r w:rsidRPr="000C258A">
        <w:rPr>
          <w:rFonts w:ascii="Arial" w:eastAsia="Times New Roman" w:hAnsi="Arial" w:cs="Arial"/>
          <w:color w:val="2F2F2F"/>
          <w:sz w:val="18"/>
          <w:szCs w:val="18"/>
          <w:lang w:eastAsia="es-MX"/>
        </w:rPr>
        <w:t> y </w:t>
      </w:r>
      <w:r>
        <w:rPr>
          <w:rFonts w:ascii="Arial" w:eastAsia="Times New Roman" w:hAnsi="Arial" w:cs="Arial"/>
          <w:noProof/>
          <w:color w:val="2F2F2F"/>
          <w:sz w:val="18"/>
          <w:szCs w:val="18"/>
          <w:lang w:eastAsia="es-MX"/>
        </w:rPr>
        <w:drawing>
          <wp:inline distT="0" distB="0" distL="0" distR="0">
            <wp:extent cx="180975" cy="123825"/>
            <wp:effectExtent l="0" t="0" r="9525" b="9525"/>
            <wp:docPr id="39" name="Imagen 39" descr="https://www.dof.gob.mx/imagenes_diarios/2023/05/08/MAT/cre11_Cimg_18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dof.gob.mx/imagenes_diarios/2023/05/08/MAT/cre11_Cimg_18832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 muestreo aleatorio de los sujetos restantes respectivamente), </w:t>
      </w:r>
      <w:r>
        <w:rPr>
          <w:rFonts w:ascii="Arial" w:eastAsia="Times New Roman" w:hAnsi="Arial" w:cs="Arial"/>
          <w:noProof/>
          <w:color w:val="2F2F2F"/>
          <w:sz w:val="18"/>
          <w:szCs w:val="18"/>
          <w:lang w:eastAsia="es-MX"/>
        </w:rPr>
        <w:drawing>
          <wp:inline distT="0" distB="0" distL="0" distR="0">
            <wp:extent cx="323850" cy="152400"/>
            <wp:effectExtent l="0" t="0" r="0" b="0"/>
            <wp:docPr id="38" name="Imagen 38" descr="https://www.dof.gob.mx/imagenes_diarios/2023/05/08/MAT/cre11_Cimg_189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dof.gob.mx/imagenes_diarios/2023/05/08/MAT/cre11_Cimg_18949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es el factor o porcentaje asignado según la modalidad. El cálculo de número de visitas de verificación para cada modalidad se realiza de forma ascendente según el porcentaje asignado y cuando los decimales del </w:t>
      </w:r>
      <w:r>
        <w:rPr>
          <w:rFonts w:ascii="Arial" w:eastAsia="Times New Roman" w:hAnsi="Arial" w:cs="Arial"/>
          <w:noProof/>
          <w:color w:val="2F2F2F"/>
          <w:sz w:val="18"/>
          <w:szCs w:val="18"/>
          <w:lang w:eastAsia="es-MX"/>
        </w:rPr>
        <w:drawing>
          <wp:inline distT="0" distB="0" distL="0" distR="0">
            <wp:extent cx="533400" cy="171450"/>
            <wp:effectExtent l="0" t="0" r="0" b="0"/>
            <wp:docPr id="37" name="Imagen 37" descr="https://www.dof.gob.mx/imagenes_diarios/2023/05/08/MAT/cre11_Cimg_191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dof.gob.mx/imagenes_diarios/2023/05/08/MAT/cre11_Cimg_19137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sean mayor o iguales a 0.5, se redondea. Una vez obtenido el </w:t>
      </w:r>
      <w:r w:rsidRPr="000C258A">
        <w:rPr>
          <w:rFonts w:ascii="Arial" w:eastAsia="Times New Roman" w:hAnsi="Arial" w:cs="Arial"/>
          <w:i/>
          <w:iCs/>
          <w:color w:val="2F2F2F"/>
          <w:sz w:val="18"/>
          <w:szCs w:val="18"/>
          <w:lang w:eastAsia="es-MX"/>
        </w:rPr>
        <w:t>IV</w:t>
      </w:r>
      <w:r w:rsidRPr="000C258A">
        <w:rPr>
          <w:rFonts w:ascii="Arial" w:eastAsia="Times New Roman" w:hAnsi="Arial" w:cs="Arial"/>
          <w:color w:val="2F2F2F"/>
          <w:sz w:val="18"/>
          <w:szCs w:val="18"/>
          <w:lang w:eastAsia="es-MX"/>
        </w:rPr>
        <w:t> se ordenan los permisos de mayor a menor y se le asignan visitas según </w:t>
      </w:r>
      <w:proofErr w:type="gramStart"/>
      <w:r w:rsidRPr="000C258A">
        <w:rPr>
          <w:rFonts w:ascii="Arial" w:eastAsia="Times New Roman" w:hAnsi="Arial" w:cs="Arial"/>
          <w:color w:val="2F2F2F"/>
          <w:sz w:val="18"/>
          <w:szCs w:val="18"/>
          <w:lang w:eastAsia="es-MX"/>
        </w:rPr>
        <w:t>el </w:t>
      </w:r>
      <w:proofErr w:type="gramEnd"/>
      <w:r>
        <w:rPr>
          <w:rFonts w:ascii="Arial" w:eastAsia="Times New Roman" w:hAnsi="Arial" w:cs="Arial"/>
          <w:noProof/>
          <w:color w:val="2F2F2F"/>
          <w:sz w:val="18"/>
          <w:szCs w:val="18"/>
          <w:lang w:eastAsia="es-MX"/>
        </w:rPr>
        <w:drawing>
          <wp:inline distT="0" distB="0" distL="0" distR="0">
            <wp:extent cx="533400" cy="171450"/>
            <wp:effectExtent l="0" t="0" r="0" b="0"/>
            <wp:docPr id="36" name="Imagen 36" descr="https://www.dof.gob.mx/imagenes_diarios/2023/05/08/MAT/cre11_Cimg_19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dof.gob.mx/imagenes_diarios/2023/05/08/MAT/cre11_Cimg_19403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Con base en la ecuación (9), el número de visitas de verificación correspondiente a cada una de las modalidades descritas en la Tabla 1, se obtiene a partir de las ecuaciones (10), (11), (12) y (13).</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408"/>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343025" cy="171450"/>
                  <wp:effectExtent l="0" t="0" r="9525" b="0"/>
                  <wp:docPr id="35" name="Imagen 35" descr="https://www.dof.gob.mx/imagenes_diarios/2023/05/08/MAT/cre11_Cimg_196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dof.gob.mx/imagenes_diarios/2023/05/08/MAT/cre11_Cimg_1967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3025" cy="171450"/>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(10)</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432"/>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571625" cy="190500"/>
                  <wp:effectExtent l="0" t="0" r="9525" b="0"/>
                  <wp:docPr id="34" name="Imagen 34" descr="https://www.dof.gob.mx/imagenes_diarios/2023/05/08/MAT/cre11_Cimg_20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dof.gob.mx/imagenes_diarios/2023/05/08/MAT/cre11_Cimg_2011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1625" cy="190500"/>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(11)</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435"/>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466850" cy="190500"/>
                  <wp:effectExtent l="0" t="0" r="0" b="0"/>
                  <wp:docPr id="33" name="Imagen 33" descr="https://www.dof.gob.mx/imagenes_diarios/2023/05/08/MAT/cre11_Cimg_205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dof.gob.mx/imagenes_diarios/2023/05/08/MAT/cre11_Cimg_20553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6850" cy="190500"/>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(12)</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397"/>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143000" cy="171450"/>
                  <wp:effectExtent l="0" t="0" r="0" b="0"/>
                  <wp:docPr id="32" name="Imagen 32" descr="https://www.dof.gob.mx/imagenes_diarios/2023/05/08/MAT/cre11_Cimg_209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dof.gob.mx/imagenes_diarios/2023/05/08/MAT/cre11_Cimg_20952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71450"/>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(13)</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Cálculo del </w:t>
      </w:r>
      <w:r w:rsidRPr="000C258A">
        <w:rPr>
          <w:rFonts w:ascii="Arial" w:eastAsia="Times New Roman" w:hAnsi="Arial" w:cs="Arial"/>
          <w:b/>
          <w:bCs/>
          <w:i/>
          <w:iCs/>
          <w:color w:val="2F2F2F"/>
          <w:sz w:val="18"/>
          <w:szCs w:val="18"/>
          <w:lang w:eastAsia="es-MX"/>
        </w:rPr>
        <w:t>IV</w:t>
      </w:r>
      <w:r w:rsidRPr="000C258A">
        <w:rPr>
          <w:rFonts w:ascii="Arial" w:eastAsia="Times New Roman" w:hAnsi="Arial" w:cs="Arial"/>
          <w:b/>
          <w:bCs/>
          <w:color w:val="2F2F2F"/>
          <w:sz w:val="18"/>
          <w:szCs w:val="18"/>
          <w:lang w:eastAsia="es-MX"/>
        </w:rPr>
        <w:t> para permisos de generación de energía eléctrica</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Lista de variables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Las variables consideradas para el cálculo del </w:t>
      </w:r>
      <w:r w:rsidRPr="000C258A">
        <w:rPr>
          <w:rFonts w:ascii="Arial" w:eastAsia="Times New Roman" w:hAnsi="Arial" w:cs="Arial"/>
          <w:i/>
          <w:iCs/>
          <w:color w:val="2F2F2F"/>
          <w:sz w:val="18"/>
          <w:szCs w:val="18"/>
          <w:lang w:eastAsia="es-MX"/>
        </w:rPr>
        <w:t>IV</w:t>
      </w:r>
      <w:r w:rsidRPr="000C258A">
        <w:rPr>
          <w:rFonts w:ascii="Arial" w:eastAsia="Times New Roman" w:hAnsi="Arial" w:cs="Arial"/>
          <w:color w:val="2F2F2F"/>
          <w:sz w:val="18"/>
          <w:szCs w:val="18"/>
          <w:lang w:eastAsia="es-MX"/>
        </w:rPr>
        <w:t> de permisos de generación de energía eléctrica son las que se describen a continuación en la Tabla 2.</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i/>
          <w:iCs/>
          <w:color w:val="2F2F2F"/>
          <w:sz w:val="18"/>
          <w:szCs w:val="18"/>
          <w:lang w:eastAsia="es-MX"/>
        </w:rPr>
        <w:t>Tabla 2. Variables para el cálculo del IV de permisos de generación de energía eléctrica.</w:t>
      </w:r>
    </w:p>
    <w:tbl>
      <w:tblPr>
        <w:tblW w:w="0" w:type="auto"/>
        <w:tblCellMar>
          <w:top w:w="15" w:type="dxa"/>
          <w:left w:w="15" w:type="dxa"/>
          <w:bottom w:w="15" w:type="dxa"/>
          <w:right w:w="15" w:type="dxa"/>
        </w:tblCellMar>
        <w:tblLook w:val="04A0" w:firstRow="1" w:lastRow="0" w:firstColumn="1" w:lastColumn="0" w:noHBand="0" w:noVBand="1"/>
      </w:tblPr>
      <w:tblGrid>
        <w:gridCol w:w="1310"/>
        <w:gridCol w:w="7672"/>
      </w:tblGrid>
      <w:tr w:rsidR="000C258A" w:rsidRPr="000C258A" w:rsidTr="000C258A">
        <w:trPr>
          <w:trHeight w:val="346"/>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lastRenderedPageBreak/>
              <w:t>Variable</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Descripción</w:t>
            </w:r>
          </w:p>
        </w:tc>
      </w:tr>
      <w:tr w:rsidR="000C258A" w:rsidRPr="000C258A" w:rsidTr="000C258A">
        <w:trPr>
          <w:trHeight w:val="791"/>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Aumento de capacidad</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Referente a la capacidad autorizada de la central se da un valor de 1 cuando han aumentado su capacidad y 0 cuando no lo han hecho</w:t>
            </w:r>
          </w:p>
        </w:tc>
      </w:tr>
      <w:tr w:rsidR="000C258A" w:rsidRPr="000C258A" w:rsidTr="000C258A">
        <w:trPr>
          <w:trHeight w:val="1021"/>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Aumento de socios</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le da un puntaje de 1 a los permisionarios bajo la modalidad de autoabastecimiento y cogeneración los cuales hayan aumentado desde el otorgamiento del permiso más del 50% el número de socios del aprovechamiento de la energía eléctrica generada</w:t>
            </w:r>
          </w:p>
        </w:tc>
      </w:tr>
      <w:tr w:rsidR="000C258A" w:rsidRPr="000C258A" w:rsidTr="000C258A">
        <w:trPr>
          <w:trHeight w:val="791"/>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Modificaciones de socios</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una mayor ponderación a los permisionarios que hayan modificado 3 o más veces la condición del permiso referente al aprovechamiento de la energía eléctrica generada</w:t>
            </w:r>
          </w:p>
        </w:tc>
      </w:tr>
      <w:tr w:rsidR="000C258A" w:rsidRPr="000C258A" w:rsidTr="000C258A">
        <w:trPr>
          <w:trHeight w:val="561"/>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Modificaciones descripción de</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instalaciones</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una mayor ponderación a las plantas que hayan modificado 3 o más veces la descripción de la central</w:t>
            </w:r>
          </w:p>
        </w:tc>
      </w:tr>
      <w:tr w:rsidR="000C258A" w:rsidRPr="000C258A" w:rsidTr="000C258A">
        <w:trPr>
          <w:trHeight w:val="561"/>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Transferencia del permiso</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 el permiso ha sido trasferido se le da un valor de 1 y un valor de 0 cuando no ha sido transferido</w:t>
            </w:r>
          </w:p>
        </w:tc>
      </w:tr>
      <w:tr w:rsidR="000C258A" w:rsidRPr="000C258A" w:rsidTr="000C258A">
        <w:trPr>
          <w:trHeight w:val="1021"/>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Exclusión de capacidad</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le asigna un valor de 1 si el permiso ha excluido capacidad de un permiso bajo el régimen de la Ley del Servicio Público de la Energía Eléctrica a un permiso amparado por la Ley de la Industria Eléctrica y un valor de 0 cuando no ha excluido capacidad.</w:t>
            </w:r>
          </w:p>
        </w:tc>
      </w:tr>
      <w:tr w:rsidR="000C258A" w:rsidRPr="000C258A" w:rsidTr="000C258A">
        <w:trPr>
          <w:trHeight w:val="791"/>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Incumplimiento de pagos</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una mayor ponderación a los permisionarios con mayor número de incumplimientos de pagos de derechos por concepto de supervisión anual</w:t>
            </w:r>
          </w:p>
        </w:tc>
      </w:tr>
      <w:tr w:rsidR="000C258A" w:rsidRPr="000C258A" w:rsidTr="000C258A">
        <w:trPr>
          <w:trHeight w:val="561"/>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Incumplimiento de reportes</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 mayor valor a los permisionarios con mayor número de incumplimientos de informes estadísticos de operación eléctrica</w:t>
            </w:r>
          </w:p>
        </w:tc>
      </w:tr>
      <w:tr w:rsidR="000C258A" w:rsidRPr="000C258A" w:rsidTr="000C258A">
        <w:trPr>
          <w:trHeight w:val="1021"/>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Cumplimiento al programa de obras</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una mayor ponderación a los permisionarios con programa de obras vencido y que al momento no cuentan con ninguna solicitud de modificación referente al programa, inicio y terminación de obras</w:t>
            </w:r>
          </w:p>
        </w:tc>
      </w:tr>
      <w:tr w:rsidR="000C258A" w:rsidRPr="000C258A" w:rsidTr="000C258A">
        <w:trPr>
          <w:trHeight w:val="791"/>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Años de acreditación de cogeneración</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eficiente</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una mayor ponderación a los permisionarios con una acreditación de cogeneración eficiente con mayor número de años acreditados</w:t>
            </w:r>
          </w:p>
        </w:tc>
      </w:tr>
      <w:tr w:rsidR="000C258A" w:rsidRPr="000C258A" w:rsidTr="000C258A">
        <w:trPr>
          <w:trHeight w:val="561"/>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Año actual de acreditación de</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cogeneración eficiente</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una mayor ponderación a los permisos con acreditación de cogeneración eficiente en su primer año de acreditación</w:t>
            </w:r>
          </w:p>
        </w:tc>
      </w:tr>
      <w:tr w:rsidR="000C258A" w:rsidRPr="000C258A" w:rsidTr="000C258A">
        <w:trPr>
          <w:trHeight w:val="963"/>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Necesidades Propias</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valor de 1, aquellos permisos de generación de energía eléctrica bajo el esquema de Generación Local o Abasto Aislado y un valor de 0 para aquellos permisos que no están bajo dicho esquema.</w:t>
            </w:r>
          </w:p>
        </w:tc>
      </w:tr>
      <w:tr w:rsidR="000C258A" w:rsidRPr="000C258A" w:rsidTr="000C258A">
        <w:trPr>
          <w:trHeight w:val="1179"/>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Interconexión en compuerta critica</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asignará un valor de 1 a aquellos permisos de centrales cuya interconexión es en una de las compuertas críticas del Sistema Eléctrico Nacional (SEN) definidas por el Centro Nacional de Control de Energía (CENACE) y en caso contrario se dará un valor de 0.</w:t>
            </w:r>
          </w:p>
        </w:tc>
      </w:tr>
      <w:tr w:rsidR="000C258A" w:rsidRPr="000C258A" w:rsidTr="000C258A">
        <w:trPr>
          <w:trHeight w:val="1194"/>
        </w:trPr>
        <w:tc>
          <w:tcPr>
            <w:tcW w:w="34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lastRenderedPageBreak/>
              <w:t>Diferencia de capacidad del permiso con</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MGP</w:t>
            </w:r>
          </w:p>
        </w:tc>
        <w:tc>
          <w:tcPr>
            <w:tcW w:w="5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asignará un valor de 1 a aquellas centrales cuya capacidad de operación definida en el Modelo General de Planeación del CENACE sea diferente y exceda la capacidad autorizada en el permiso de generación. De no ser el caso se asignará un valor de 0.</w:t>
            </w:r>
          </w:p>
        </w:tc>
      </w:tr>
    </w:tbl>
    <w:p w:rsidR="000C258A" w:rsidRPr="000C258A" w:rsidRDefault="000C258A" w:rsidP="000C258A">
      <w:pPr>
        <w:shd w:val="clear" w:color="auto" w:fill="FFFFFF"/>
        <w:spacing w:after="99"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99"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La ponderación de cada una de las variables está dada en un rango de 1 a 3 dependiendo de la relevancia (ver Tabla 3).</w:t>
      </w:r>
    </w:p>
    <w:p w:rsidR="000C258A" w:rsidRPr="000C258A" w:rsidRDefault="000C258A" w:rsidP="000C258A">
      <w:pPr>
        <w:shd w:val="clear" w:color="auto" w:fill="FFFFFF"/>
        <w:spacing w:after="99" w:line="240" w:lineRule="auto"/>
        <w:jc w:val="center"/>
        <w:rPr>
          <w:rFonts w:ascii="Arial" w:eastAsia="Times New Roman" w:hAnsi="Arial" w:cs="Arial"/>
          <w:color w:val="2F2F2F"/>
          <w:sz w:val="18"/>
          <w:szCs w:val="18"/>
          <w:lang w:eastAsia="es-MX"/>
        </w:rPr>
      </w:pPr>
      <w:r w:rsidRPr="000C258A">
        <w:rPr>
          <w:rFonts w:ascii="Arial" w:eastAsia="Times New Roman" w:hAnsi="Arial" w:cs="Arial"/>
          <w:i/>
          <w:iCs/>
          <w:color w:val="2F2F2F"/>
          <w:sz w:val="18"/>
          <w:szCs w:val="18"/>
          <w:lang w:eastAsia="es-MX"/>
        </w:rPr>
        <w:t>Tabla 3. Ponderación y numeración de las variables de permisos de generación de energía eléctrica.</w:t>
      </w:r>
    </w:p>
    <w:tbl>
      <w:tblPr>
        <w:tblW w:w="0" w:type="auto"/>
        <w:tblCellMar>
          <w:top w:w="15" w:type="dxa"/>
          <w:left w:w="15" w:type="dxa"/>
          <w:bottom w:w="15" w:type="dxa"/>
          <w:right w:w="15" w:type="dxa"/>
        </w:tblCellMar>
        <w:tblLook w:val="04A0" w:firstRow="1" w:lastRow="0" w:firstColumn="1" w:lastColumn="0" w:noHBand="0" w:noVBand="1"/>
      </w:tblPr>
      <w:tblGrid>
        <w:gridCol w:w="480"/>
        <w:gridCol w:w="2253"/>
        <w:gridCol w:w="1654"/>
        <w:gridCol w:w="3468"/>
        <w:gridCol w:w="1127"/>
      </w:tblGrid>
      <w:tr w:rsidR="000C258A" w:rsidRPr="000C258A" w:rsidTr="000C258A">
        <w:trPr>
          <w:trHeight w:val="330"/>
        </w:trPr>
        <w:tc>
          <w:tcPr>
            <w:tcW w:w="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85725" cy="152400"/>
                  <wp:effectExtent l="0" t="0" r="9525" b="0"/>
                  <wp:docPr id="31" name="Imagen 31" descr="https://www.dof.gob.mx/imagenes_diarios/2023/05/08/MAT/cre11_Cimg_215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dof.gob.mx/imagenes_diarios/2023/05/08/MAT/cre11_Cimg_21533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p>
        </w:tc>
        <w:tc>
          <w:tcPr>
            <w:tcW w:w="22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Variable</w:t>
            </w:r>
          </w:p>
        </w:tc>
        <w:tc>
          <w:tcPr>
            <w:tcW w:w="16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Abreviatura</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Criterio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Puntaje</w:t>
            </w:r>
          </w:p>
        </w:tc>
      </w:tr>
      <w:tr w:rsidR="000C258A" w:rsidRPr="000C258A" w:rsidTr="000C258A">
        <w:trPr>
          <w:trHeight w:val="315"/>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Aumento de capacidad</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autorizada</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AC</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Ha aumentado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ha aumentado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15"/>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Aumento de socios</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AS</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Ha aumentado más del 50% de socios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531"/>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ha aumentado más del 50% de</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color w:val="000000"/>
                <w:sz w:val="18"/>
                <w:szCs w:val="18"/>
                <w:lang w:eastAsia="es-MX"/>
              </w:rPr>
              <w:t>socios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aplica</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15"/>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Modificaciones de socios</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MS</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 o más modificaciones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modificaciones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 modificación</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modificación o no aplica</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15"/>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4</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Modificación de la</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descripción de las</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instalaciones</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MDI</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 o más modificaciones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modificaciones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 modificación</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modificación</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15"/>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5</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Transferencia del permiso</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TP</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ha transferido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se ha transferido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15"/>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6</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Exclusión de capacidad</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EC</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Ha excluido capacidad</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ha excluido capacidad</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15"/>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7</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Incumplimiento de pagos</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por supervisión anual</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IP</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 o más incumplimientos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incumplimientos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 incumplimiento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incumplimientos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15"/>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8</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Incumplimiento de</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reportes de operación</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IR</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 o más incumplimientos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incumplimientos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 incumplimiento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1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incumplimientos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9"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37"/>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9</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Cumplimiento al</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programa de obras</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CPO</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Programa de obras vencido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37"/>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Programa de obras vigente</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37"/>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lastRenderedPageBreak/>
              <w:t>10</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Años de acreditación de</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cogeneración eficiente</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AACE</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 año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r>
      <w:tr w:rsidR="000C258A" w:rsidRPr="000C258A" w:rsidTr="000C258A">
        <w:trPr>
          <w:trHeight w:val="337"/>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años</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37"/>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 año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37"/>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acreditación</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37"/>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11</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Año actual de</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acreditación de</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cogeneración eficiente</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AAACE</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1er año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r>
      <w:tr w:rsidR="000C258A" w:rsidRPr="000C258A" w:rsidTr="000C258A">
        <w:trPr>
          <w:trHeight w:val="337"/>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2do año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37"/>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3er año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37"/>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acreditación</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573"/>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12</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Necesidades Propias</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NP</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Esquema de Generación Local o Abasto</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color w:val="000000"/>
                <w:sz w:val="18"/>
                <w:szCs w:val="18"/>
                <w:lang w:eastAsia="es-MX"/>
              </w:rPr>
              <w:t>Aislado</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37"/>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Participante del MEM</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37"/>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13</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Interconexión en</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compuerta critica</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ICC</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Interconexión en compuerta critica</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37"/>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Interconexión en compuerta no critica</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37"/>
        </w:trPr>
        <w:tc>
          <w:tcPr>
            <w:tcW w:w="48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14</w:t>
            </w:r>
          </w:p>
        </w:tc>
        <w:tc>
          <w:tcPr>
            <w:tcW w:w="225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Diferencia en capacidad</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con MGP</w:t>
            </w:r>
          </w:p>
        </w:tc>
        <w:tc>
          <w:tcPr>
            <w:tcW w:w="165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DMGP</w:t>
            </w: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Capacidad excedida en el MGP</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52"/>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4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Capacidad no excedida en el MGP</w:t>
            </w:r>
          </w:p>
        </w:tc>
        <w:tc>
          <w:tcPr>
            <w:tcW w:w="11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1.</w:t>
      </w:r>
      <w:r w:rsidRPr="000C258A">
        <w:rPr>
          <w:rFonts w:ascii="Arial" w:eastAsia="Times New Roman" w:hAnsi="Arial" w:cs="Arial"/>
          <w:b/>
          <w:bCs/>
          <w:color w:val="2F2F2F"/>
          <w:sz w:val="18"/>
          <w:szCs w:val="18"/>
          <w:lang w:eastAsia="es-MX"/>
        </w:rPr>
        <w:t> </w:t>
      </w:r>
      <w:r w:rsidRPr="000C258A">
        <w:rPr>
          <w:rFonts w:ascii="Arial" w:eastAsia="Times New Roman" w:hAnsi="Arial" w:cs="Arial"/>
          <w:color w:val="2F2F2F"/>
          <w:sz w:val="18"/>
          <w:szCs w:val="18"/>
          <w:lang w:eastAsia="es-MX"/>
        </w:rPr>
        <w:t>Para el cálculo del </w:t>
      </w:r>
      <w:r w:rsidRPr="000C258A">
        <w:rPr>
          <w:rFonts w:ascii="Arial" w:eastAsia="Times New Roman" w:hAnsi="Arial" w:cs="Arial"/>
          <w:i/>
          <w:iCs/>
          <w:color w:val="2F2F2F"/>
          <w:sz w:val="18"/>
          <w:szCs w:val="18"/>
          <w:lang w:eastAsia="es-MX"/>
        </w:rPr>
        <w:t>IV</w:t>
      </w:r>
      <w:r w:rsidRPr="000C258A">
        <w:rPr>
          <w:rFonts w:ascii="Arial" w:eastAsia="Times New Roman" w:hAnsi="Arial" w:cs="Arial"/>
          <w:color w:val="2F2F2F"/>
          <w:sz w:val="18"/>
          <w:szCs w:val="18"/>
          <w:lang w:eastAsia="es-MX"/>
        </w:rPr>
        <w:t>,</w:t>
      </w:r>
      <w:r w:rsidRPr="000C258A">
        <w:rPr>
          <w:rFonts w:ascii="Arial" w:eastAsia="Times New Roman" w:hAnsi="Arial" w:cs="Arial"/>
          <w:b/>
          <w:bCs/>
          <w:color w:val="2F2F2F"/>
          <w:sz w:val="18"/>
          <w:szCs w:val="18"/>
          <w:lang w:eastAsia="es-MX"/>
        </w:rPr>
        <w:t> </w:t>
      </w:r>
      <w:r w:rsidRPr="000C258A">
        <w:rPr>
          <w:rFonts w:ascii="Arial" w:eastAsia="Times New Roman" w:hAnsi="Arial" w:cs="Arial"/>
          <w:color w:val="2F2F2F"/>
          <w:sz w:val="18"/>
          <w:szCs w:val="18"/>
          <w:lang w:eastAsia="es-MX"/>
        </w:rPr>
        <w:t>inicialmente se obtiene el </w:t>
      </w:r>
      <w:r>
        <w:rPr>
          <w:rFonts w:ascii="Arial" w:eastAsia="Times New Roman" w:hAnsi="Arial" w:cs="Arial"/>
          <w:noProof/>
          <w:color w:val="2F2F2F"/>
          <w:sz w:val="18"/>
          <w:szCs w:val="18"/>
          <w:lang w:eastAsia="es-MX"/>
        </w:rPr>
        <w:drawing>
          <wp:inline distT="0" distB="0" distL="0" distR="0">
            <wp:extent cx="895350" cy="161925"/>
            <wp:effectExtent l="0" t="0" r="0" b="9525"/>
            <wp:docPr id="30" name="Imagen 30" descr="https://www.dof.gob.mx/imagenes_diarios/2023/05/08/MAT/cre11_Cimg_227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dof.gob.mx/imagenes_diarios/2023/05/08/MAT/cre11_Cimg_22703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0C258A">
        <w:rPr>
          <w:rFonts w:ascii="Arial" w:eastAsia="Times New Roman" w:hAnsi="Arial" w:cs="Arial"/>
          <w:i/>
          <w:iCs/>
          <w:color w:val="2F2F2F"/>
          <w:sz w:val="18"/>
          <w:szCs w:val="18"/>
          <w:lang w:eastAsia="es-MX"/>
        </w:rPr>
        <w:t> </w:t>
      </w:r>
      <w:r w:rsidRPr="000C258A">
        <w:rPr>
          <w:rFonts w:ascii="Arial" w:eastAsia="Times New Roman" w:hAnsi="Arial" w:cs="Arial"/>
          <w:color w:val="2F2F2F"/>
          <w:sz w:val="18"/>
          <w:szCs w:val="18"/>
          <w:lang w:eastAsia="es-MX"/>
        </w:rPr>
        <w:t>correspondiente a la suma de los puntajes de las variables consideradas para el cálculo, lo cual se expresa mediante la siguiente ecuación:</w:t>
      </w:r>
    </w:p>
    <w:tbl>
      <w:tblPr>
        <w:tblW w:w="0" w:type="auto"/>
        <w:tblCellMar>
          <w:top w:w="15" w:type="dxa"/>
          <w:left w:w="15" w:type="dxa"/>
          <w:bottom w:w="15" w:type="dxa"/>
          <w:right w:w="15" w:type="dxa"/>
        </w:tblCellMar>
        <w:tblLook w:val="04A0" w:firstRow="1" w:lastRow="0" w:firstColumn="1" w:lastColumn="0" w:noHBand="0" w:noVBand="1"/>
      </w:tblPr>
      <w:tblGrid>
        <w:gridCol w:w="898"/>
        <w:gridCol w:w="7186"/>
        <w:gridCol w:w="898"/>
      </w:tblGrid>
      <w:tr w:rsidR="000C258A" w:rsidRPr="000C258A" w:rsidTr="000C258A">
        <w:trPr>
          <w:trHeight w:val="973"/>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2771775" cy="533400"/>
                  <wp:effectExtent l="0" t="0" r="9525" b="0"/>
                  <wp:docPr id="29" name="Imagen 29" descr="https://www.dof.gob.mx/imagenes_diarios/2023/05/08/MAT/cre11_Cimg_230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dof.gob.mx/imagenes_diarios/2023/05/08/MAT/cre11_Cimg_23029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1775" cy="533400"/>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(14)</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proofErr w:type="gramStart"/>
      <w:r w:rsidRPr="000C258A">
        <w:rPr>
          <w:rFonts w:ascii="Arial" w:eastAsia="Times New Roman" w:hAnsi="Arial" w:cs="Arial"/>
          <w:color w:val="2F2F2F"/>
          <w:sz w:val="18"/>
          <w:szCs w:val="18"/>
          <w:lang w:eastAsia="es-MX"/>
        </w:rPr>
        <w:t>donde</w:t>
      </w:r>
      <w:proofErr w:type="gramEnd"/>
      <w:r w:rsidRPr="000C258A">
        <w:rPr>
          <w:rFonts w:ascii="Arial" w:eastAsia="Times New Roman" w:hAnsi="Arial" w:cs="Arial"/>
          <w:color w:val="2F2F2F"/>
          <w:sz w:val="18"/>
          <w:szCs w:val="18"/>
          <w:lang w:eastAsia="es-MX"/>
        </w:rPr>
        <w:t> </w:t>
      </w:r>
      <w:r>
        <w:rPr>
          <w:rFonts w:ascii="Arial" w:eastAsia="Times New Roman" w:hAnsi="Arial" w:cs="Arial"/>
          <w:noProof/>
          <w:color w:val="2F2F2F"/>
          <w:sz w:val="18"/>
          <w:szCs w:val="18"/>
          <w:lang w:eastAsia="es-MX"/>
        </w:rPr>
        <w:drawing>
          <wp:inline distT="0" distB="0" distL="0" distR="0">
            <wp:extent cx="171450" cy="161925"/>
            <wp:effectExtent l="0" t="0" r="0" b="9525"/>
            <wp:docPr id="28" name="Imagen 28" descr="https://www.dof.gob.mx/imagenes_diarios/2023/05/08/MAT/cre11_Cimg_240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dof.gob.mx/imagenes_diarios/2023/05/08/MAT/cre11_Cimg_24038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es el valor correspondiente a la </w:t>
      </w:r>
      <w:r>
        <w:rPr>
          <w:rFonts w:ascii="Arial" w:eastAsia="Times New Roman" w:hAnsi="Arial" w:cs="Arial"/>
          <w:noProof/>
          <w:color w:val="2F2F2F"/>
          <w:sz w:val="18"/>
          <w:szCs w:val="18"/>
          <w:lang w:eastAsia="es-MX"/>
        </w:rPr>
        <w:drawing>
          <wp:inline distT="0" distB="0" distL="0" distR="0">
            <wp:extent cx="95250" cy="104775"/>
            <wp:effectExtent l="0" t="0" r="0" b="9525"/>
            <wp:docPr id="27" name="Imagen 27" descr="https://www.dof.gob.mx/imagenes_diarios/2023/05/08/MAT/cre11_Cimg_24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dof.gob.mx/imagenes_diarios/2023/05/08/MAT/cre11_Cimg_24162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w:t>
      </w:r>
      <w:proofErr w:type="spellStart"/>
      <w:r w:rsidRPr="000C258A">
        <w:rPr>
          <w:rFonts w:ascii="Arial" w:eastAsia="Times New Roman" w:hAnsi="Arial" w:cs="Arial"/>
          <w:color w:val="2F2F2F"/>
          <w:sz w:val="18"/>
          <w:szCs w:val="18"/>
          <w:lang w:eastAsia="es-MX"/>
        </w:rPr>
        <w:t>ésima</w:t>
      </w:r>
      <w:proofErr w:type="spellEnd"/>
      <w:r w:rsidRPr="000C258A">
        <w:rPr>
          <w:rFonts w:ascii="Arial" w:eastAsia="Times New Roman" w:hAnsi="Arial" w:cs="Arial"/>
          <w:color w:val="2F2F2F"/>
          <w:sz w:val="18"/>
          <w:szCs w:val="18"/>
          <w:lang w:eastAsia="es-MX"/>
        </w:rPr>
        <w:t> variable, y </w:t>
      </w:r>
      <w:r>
        <w:rPr>
          <w:rFonts w:ascii="Arial" w:eastAsia="Times New Roman" w:hAnsi="Arial" w:cs="Arial"/>
          <w:noProof/>
          <w:color w:val="2F2F2F"/>
          <w:sz w:val="18"/>
          <w:szCs w:val="18"/>
          <w:lang w:eastAsia="es-MX"/>
        </w:rPr>
        <w:drawing>
          <wp:inline distT="0" distB="0" distL="0" distR="0">
            <wp:extent cx="133350" cy="133350"/>
            <wp:effectExtent l="0" t="0" r="0" b="0"/>
            <wp:docPr id="26" name="Imagen 26" descr="https://www.dof.gob.mx/imagenes_diarios/2023/05/08/MAT/cre11_Cimg_24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dof.gob.mx/imagenes_diarios/2023/05/08/MAT/cre11_Cimg_24364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es el número de variables consideradas.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Sustituyendo las variables de la Tabla 3 en la ecuación (14) tenemos que el puntaje total para los permisos de generación de energía eléctrica esta dado por:</w:t>
      </w:r>
    </w:p>
    <w:tbl>
      <w:tblPr>
        <w:tblW w:w="0" w:type="auto"/>
        <w:tblCellMar>
          <w:top w:w="15" w:type="dxa"/>
          <w:left w:w="15" w:type="dxa"/>
          <w:bottom w:w="15" w:type="dxa"/>
          <w:right w:w="15" w:type="dxa"/>
        </w:tblCellMar>
        <w:tblLook w:val="04A0" w:firstRow="1" w:lastRow="0" w:firstColumn="1" w:lastColumn="0" w:noHBand="0" w:noVBand="1"/>
      </w:tblPr>
      <w:tblGrid>
        <w:gridCol w:w="234"/>
        <w:gridCol w:w="8006"/>
        <w:gridCol w:w="742"/>
      </w:tblGrid>
      <w:tr w:rsidR="000C258A" w:rsidRPr="000C258A" w:rsidTr="000C258A">
        <w:trPr>
          <w:trHeight w:val="641"/>
        </w:trPr>
        <w:tc>
          <w:tcPr>
            <w:tcW w:w="234"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8008"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3971925" cy="323850"/>
                  <wp:effectExtent l="0" t="0" r="9525" b="0"/>
                  <wp:docPr id="25" name="Imagen 25" descr="https://www.dof.gob.mx/imagenes_diarios/2023/05/08/MAT/cre11_Cimg_244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dof.gob.mx/imagenes_diarios/2023/05/08/MAT/cre11_Cimg_24464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71925" cy="323850"/>
                          </a:xfrm>
                          <a:prstGeom prst="rect">
                            <a:avLst/>
                          </a:prstGeom>
                          <a:noFill/>
                          <a:ln>
                            <a:noFill/>
                          </a:ln>
                        </pic:spPr>
                      </pic:pic>
                    </a:graphicData>
                  </a:graphic>
                </wp:inline>
              </w:drawing>
            </w:r>
          </w:p>
        </w:tc>
        <w:tc>
          <w:tcPr>
            <w:tcW w:w="742"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(15)</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9"/>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2. Utilizando el modelo de regresión de Poisson se ajustan los datos considerando todos los permisos de generación vigentes para calcular los coeficientes </w:t>
      </w:r>
      <w:r>
        <w:rPr>
          <w:rFonts w:ascii="Arial" w:eastAsia="Times New Roman" w:hAnsi="Arial" w:cs="Arial"/>
          <w:noProof/>
          <w:color w:val="2F2F2F"/>
          <w:sz w:val="18"/>
          <w:szCs w:val="18"/>
          <w:lang w:eastAsia="es-MX"/>
        </w:rPr>
        <w:drawing>
          <wp:inline distT="0" distB="0" distL="0" distR="0">
            <wp:extent cx="171450" cy="152400"/>
            <wp:effectExtent l="0" t="0" r="0" b="0"/>
            <wp:docPr id="24" name="Imagen 24" descr="https://www.dof.gob.mx/imagenes_diarios/2023/05/08/MAT/cre11_Cimg_258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dof.gob.mx/imagenes_diarios/2023/05/08/MAT/cre11_Cimg_25894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de cada </w:t>
      </w:r>
      <w:proofErr w:type="gramStart"/>
      <w:r w:rsidRPr="000C258A">
        <w:rPr>
          <w:rFonts w:ascii="Arial" w:eastAsia="Times New Roman" w:hAnsi="Arial" w:cs="Arial"/>
          <w:color w:val="2F2F2F"/>
          <w:sz w:val="18"/>
          <w:szCs w:val="18"/>
          <w:lang w:eastAsia="es-MX"/>
        </w:rPr>
        <w:t>variable </w:t>
      </w:r>
      <w:proofErr w:type="gramEnd"/>
      <w:r>
        <w:rPr>
          <w:rFonts w:ascii="Arial" w:eastAsia="Times New Roman" w:hAnsi="Arial" w:cs="Arial"/>
          <w:noProof/>
          <w:color w:val="2F2F2F"/>
          <w:sz w:val="18"/>
          <w:szCs w:val="18"/>
          <w:lang w:eastAsia="es-MX"/>
        </w:rPr>
        <w:drawing>
          <wp:inline distT="0" distB="0" distL="0" distR="0">
            <wp:extent cx="266700" cy="171450"/>
            <wp:effectExtent l="0" t="0" r="0" b="0"/>
            <wp:docPr id="23" name="Imagen 23" descr="https://www.dof.gob.mx/imagenes_diarios/2023/05/08/MAT/cre11_Cimg_26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dof.gob.mx/imagenes_diarios/2023/05/08/MAT/cre11_Cimg_26033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donde el subíndice </w:t>
      </w:r>
      <w:r>
        <w:rPr>
          <w:rFonts w:ascii="Arial" w:eastAsia="Times New Roman" w:hAnsi="Arial" w:cs="Arial"/>
          <w:noProof/>
          <w:color w:val="2F2F2F"/>
          <w:sz w:val="18"/>
          <w:szCs w:val="18"/>
          <w:lang w:eastAsia="es-MX"/>
        </w:rPr>
        <w:drawing>
          <wp:inline distT="0" distB="0" distL="0" distR="0">
            <wp:extent cx="114300" cy="133350"/>
            <wp:effectExtent l="0" t="0" r="0" b="0"/>
            <wp:docPr id="22" name="Imagen 22" descr="https://www.dof.gob.mx/imagenes_diarios/2023/05/08/MAT/cre11_Cimg_261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dof.gob.mx/imagenes_diarios/2023/05/08/MAT/cre11_Cimg_26186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 denota que corresponde al </w:t>
      </w:r>
      <w:r w:rsidRPr="000C258A">
        <w:rPr>
          <w:rFonts w:ascii="Arial" w:eastAsia="Times New Roman" w:hAnsi="Arial" w:cs="Arial"/>
          <w:i/>
          <w:iCs/>
          <w:color w:val="2F2F2F"/>
          <w:sz w:val="18"/>
          <w:szCs w:val="18"/>
          <w:lang w:eastAsia="es-MX"/>
        </w:rPr>
        <w:t>i</w:t>
      </w:r>
      <w:r w:rsidRPr="000C258A">
        <w:rPr>
          <w:rFonts w:ascii="Arial" w:eastAsia="Times New Roman" w:hAnsi="Arial" w:cs="Arial"/>
          <w:color w:val="2F2F2F"/>
          <w:sz w:val="18"/>
          <w:szCs w:val="18"/>
          <w:lang w:eastAsia="es-MX"/>
        </w:rPr>
        <w:t>-ésimo permiso de generación. Una vez obtenidos los coeficientes se puede calcular el logaritmo natural del ajuste mediante:</w:t>
      </w:r>
    </w:p>
    <w:tbl>
      <w:tblPr>
        <w:tblW w:w="0" w:type="auto"/>
        <w:tblCellMar>
          <w:top w:w="15" w:type="dxa"/>
          <w:left w:w="15" w:type="dxa"/>
          <w:bottom w:w="15" w:type="dxa"/>
          <w:right w:w="15" w:type="dxa"/>
        </w:tblCellMar>
        <w:tblLook w:val="04A0" w:firstRow="1" w:lastRow="0" w:firstColumn="1" w:lastColumn="0" w:noHBand="0" w:noVBand="1"/>
      </w:tblPr>
      <w:tblGrid>
        <w:gridCol w:w="898"/>
        <w:gridCol w:w="7186"/>
        <w:gridCol w:w="898"/>
      </w:tblGrid>
      <w:tr w:rsidR="000C258A" w:rsidRPr="000C258A" w:rsidTr="000C258A">
        <w:trPr>
          <w:trHeight w:val="924"/>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3514725" cy="504825"/>
                  <wp:effectExtent l="0" t="0" r="9525" b="9525"/>
                  <wp:docPr id="21" name="Imagen 21" descr="https://www.dof.gob.mx/imagenes_diarios/2023/05/08/MAT/cre11_Cimg_263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dof.gob.mx/imagenes_diarios/2023/05/08/MAT/cre11_Cimg_26392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14725" cy="504825"/>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(18)</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Lo cual, para este caso resulta en:</w:t>
      </w:r>
    </w:p>
    <w:tbl>
      <w:tblPr>
        <w:tblW w:w="0" w:type="auto"/>
        <w:tblCellMar>
          <w:top w:w="15" w:type="dxa"/>
          <w:left w:w="15" w:type="dxa"/>
          <w:bottom w:w="15" w:type="dxa"/>
          <w:right w:w="15" w:type="dxa"/>
        </w:tblCellMar>
        <w:tblLook w:val="04A0" w:firstRow="1" w:lastRow="0" w:firstColumn="1" w:lastColumn="0" w:noHBand="0" w:noVBand="1"/>
      </w:tblPr>
      <w:tblGrid>
        <w:gridCol w:w="233"/>
        <w:gridCol w:w="8007"/>
        <w:gridCol w:w="742"/>
      </w:tblGrid>
      <w:tr w:rsidR="000C258A" w:rsidRPr="000C258A" w:rsidTr="000C258A">
        <w:trPr>
          <w:trHeight w:val="1054"/>
        </w:trPr>
        <w:tc>
          <w:tcPr>
            <w:tcW w:w="234"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lastRenderedPageBreak/>
              <w:t> </w:t>
            </w:r>
          </w:p>
        </w:tc>
        <w:tc>
          <w:tcPr>
            <w:tcW w:w="8008"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4429125" cy="590550"/>
                  <wp:effectExtent l="0" t="0" r="9525" b="0"/>
                  <wp:docPr id="20" name="Imagen 20" descr="https://www.dof.gob.mx/imagenes_diarios/2023/05/08/MAT/cre11_Cimg_276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dof.gob.mx/imagenes_diarios/2023/05/08/MAT/cre11_Cimg_27615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9125" cy="590550"/>
                          </a:xfrm>
                          <a:prstGeom prst="rect">
                            <a:avLst/>
                          </a:prstGeom>
                          <a:noFill/>
                          <a:ln>
                            <a:noFill/>
                          </a:ln>
                        </pic:spPr>
                      </pic:pic>
                    </a:graphicData>
                  </a:graphic>
                </wp:inline>
              </w:drawing>
            </w:r>
          </w:p>
        </w:tc>
        <w:tc>
          <w:tcPr>
            <w:tcW w:w="742"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(19)</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Al despejar la variable Ajuste de la ecuación (18), se obtiene:</w:t>
      </w:r>
    </w:p>
    <w:tbl>
      <w:tblPr>
        <w:tblW w:w="0" w:type="auto"/>
        <w:tblCellMar>
          <w:top w:w="15" w:type="dxa"/>
          <w:left w:w="15" w:type="dxa"/>
          <w:bottom w:w="15" w:type="dxa"/>
          <w:right w:w="15" w:type="dxa"/>
        </w:tblCellMar>
        <w:tblLook w:val="04A0" w:firstRow="1" w:lastRow="0" w:firstColumn="1" w:lastColumn="0" w:noHBand="0" w:noVBand="1"/>
      </w:tblPr>
      <w:tblGrid>
        <w:gridCol w:w="898"/>
        <w:gridCol w:w="7186"/>
        <w:gridCol w:w="898"/>
      </w:tblGrid>
      <w:tr w:rsidR="000C258A" w:rsidRPr="000C258A" w:rsidTr="000C258A">
        <w:trPr>
          <w:trHeight w:val="459"/>
        </w:trPr>
        <w:tc>
          <w:tcPr>
            <w:tcW w:w="899" w:type="dxa"/>
            <w:tcMar>
              <w:top w:w="15" w:type="dxa"/>
              <w:left w:w="72" w:type="dxa"/>
              <w:bottom w:w="15" w:type="dxa"/>
              <w:right w:w="72" w:type="dxa"/>
            </w:tcMa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2828925" cy="219075"/>
                  <wp:effectExtent l="0" t="0" r="9525" b="9525"/>
                  <wp:docPr id="19" name="Imagen 19" descr="https://www.dof.gob.mx/imagenes_diarios/2023/05/08/MAT/cre11_Cimg_301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dof.gob.mx/imagenes_diarios/2023/05/08/MAT/cre11_Cimg_30139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8925" cy="219075"/>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(20)</w:t>
            </w:r>
          </w:p>
        </w:tc>
      </w:tr>
    </w:tbl>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Por lo tanto, la variable Ajuste para permisos de generación se calcula mediante la ecuación siguiente:</w:t>
      </w:r>
    </w:p>
    <w:tbl>
      <w:tblPr>
        <w:tblW w:w="0" w:type="auto"/>
        <w:tblCellMar>
          <w:top w:w="15" w:type="dxa"/>
          <w:left w:w="15" w:type="dxa"/>
          <w:bottom w:w="15" w:type="dxa"/>
          <w:right w:w="15" w:type="dxa"/>
        </w:tblCellMar>
        <w:tblLook w:val="04A0" w:firstRow="1" w:lastRow="0" w:firstColumn="1" w:lastColumn="0" w:noHBand="0" w:noVBand="1"/>
      </w:tblPr>
      <w:tblGrid>
        <w:gridCol w:w="234"/>
        <w:gridCol w:w="8006"/>
        <w:gridCol w:w="742"/>
      </w:tblGrid>
      <w:tr w:rsidR="000C258A" w:rsidRPr="000C258A" w:rsidTr="000C258A">
        <w:trPr>
          <w:trHeight w:val="1052"/>
        </w:trPr>
        <w:tc>
          <w:tcPr>
            <w:tcW w:w="234" w:type="dxa"/>
            <w:tcMar>
              <w:top w:w="15" w:type="dxa"/>
              <w:left w:w="72" w:type="dxa"/>
              <w:bottom w:w="15" w:type="dxa"/>
              <w:right w:w="72" w:type="dxa"/>
            </w:tcMa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8008" w:type="dxa"/>
            <w:tcMar>
              <w:top w:w="15" w:type="dxa"/>
              <w:left w:w="72" w:type="dxa"/>
              <w:bottom w:w="15" w:type="dxa"/>
              <w:right w:w="72" w:type="dxa"/>
            </w:tcMa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4248150" cy="590550"/>
                  <wp:effectExtent l="0" t="0" r="0" b="0"/>
                  <wp:docPr id="18" name="Imagen 18" descr="https://www.dof.gob.mx/imagenes_diarios/2023/05/08/MAT/cre11_Cimg_310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dof.gob.mx/imagenes_diarios/2023/05/08/MAT/cre11_Cimg_31011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48150" cy="590550"/>
                          </a:xfrm>
                          <a:prstGeom prst="rect">
                            <a:avLst/>
                          </a:prstGeom>
                          <a:noFill/>
                          <a:ln>
                            <a:noFill/>
                          </a:ln>
                        </pic:spPr>
                      </pic:pic>
                    </a:graphicData>
                  </a:graphic>
                </wp:inline>
              </w:drawing>
            </w:r>
          </w:p>
        </w:tc>
        <w:tc>
          <w:tcPr>
            <w:tcW w:w="742" w:type="dxa"/>
            <w:tcMar>
              <w:top w:w="15" w:type="dxa"/>
              <w:left w:w="72" w:type="dxa"/>
              <w:bottom w:w="15" w:type="dxa"/>
              <w:right w:w="72"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(21)</w:t>
            </w:r>
          </w:p>
        </w:tc>
      </w:tr>
    </w:tbl>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3. Finalmente, para el cálculo del Índice de Verificación, se normaliza el Ajuste obtenido por el modelo, dividiéndolo entre el máximo valor. Y para estandarizar el puntaje de 0 a 10 se multiplica por 10:</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748"/>
        </w:trPr>
        <w:tc>
          <w:tcPr>
            <w:tcW w:w="899" w:type="dxa"/>
            <w:tcMar>
              <w:top w:w="15" w:type="dxa"/>
              <w:left w:w="72" w:type="dxa"/>
              <w:bottom w:w="15" w:type="dxa"/>
              <w:right w:w="72" w:type="dxa"/>
            </w:tcMa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447800" cy="400050"/>
                  <wp:effectExtent l="0" t="0" r="0" b="0"/>
                  <wp:docPr id="17" name="Imagen 17" descr="https://www.dof.gob.mx/imagenes_diarios/2023/05/08/MAT/cre11_Cimg_335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dof.gob.mx/imagenes_diarios/2023/05/08/MAT/cre11_Cimg_33564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(22)</w:t>
            </w:r>
          </w:p>
        </w:tc>
      </w:tr>
    </w:tbl>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Cálculo del IV para las Unidades de Inspección de la Industria Eléctrica</w:t>
      </w:r>
    </w:p>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Las variables que se consideran para el cálculo del </w:t>
      </w:r>
      <w:r w:rsidRPr="000C258A">
        <w:rPr>
          <w:rFonts w:ascii="Arial" w:eastAsia="Times New Roman" w:hAnsi="Arial" w:cs="Arial"/>
          <w:i/>
          <w:iCs/>
          <w:color w:val="2F2F2F"/>
          <w:sz w:val="18"/>
          <w:szCs w:val="18"/>
          <w:lang w:eastAsia="es-MX"/>
        </w:rPr>
        <w:t>IV</w:t>
      </w:r>
      <w:r w:rsidRPr="000C258A">
        <w:rPr>
          <w:rFonts w:ascii="Arial" w:eastAsia="Times New Roman" w:hAnsi="Arial" w:cs="Arial"/>
          <w:color w:val="2F2F2F"/>
          <w:sz w:val="18"/>
          <w:szCs w:val="18"/>
          <w:lang w:eastAsia="es-MX"/>
        </w:rPr>
        <w:t> para las unidades de inspección de la industria eléctrica son las siguientes.</w:t>
      </w:r>
    </w:p>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i/>
          <w:iCs/>
          <w:color w:val="2F2F2F"/>
          <w:sz w:val="18"/>
          <w:szCs w:val="18"/>
          <w:lang w:eastAsia="es-MX"/>
        </w:rPr>
        <w:t>Tabla 4. Variables para el cálculo del IV de Unidades de Inspección de la Industria Eléctrica.</w:t>
      </w:r>
    </w:p>
    <w:tbl>
      <w:tblPr>
        <w:tblW w:w="0" w:type="auto"/>
        <w:tblCellMar>
          <w:top w:w="15" w:type="dxa"/>
          <w:left w:w="15" w:type="dxa"/>
          <w:bottom w:w="15" w:type="dxa"/>
          <w:right w:w="15" w:type="dxa"/>
        </w:tblCellMar>
        <w:tblLook w:val="04A0" w:firstRow="1" w:lastRow="0" w:firstColumn="1" w:lastColumn="0" w:noHBand="0" w:noVBand="1"/>
      </w:tblPr>
      <w:tblGrid>
        <w:gridCol w:w="1854"/>
        <w:gridCol w:w="7128"/>
      </w:tblGrid>
      <w:tr w:rsidR="000C258A" w:rsidRPr="000C258A" w:rsidTr="000C258A">
        <w:trPr>
          <w:trHeight w:val="321"/>
        </w:trPr>
        <w:tc>
          <w:tcPr>
            <w:tcW w:w="30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Variable</w:t>
            </w:r>
          </w:p>
        </w:tc>
        <w:tc>
          <w:tcPr>
            <w:tcW w:w="5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Descripción</w:t>
            </w:r>
          </w:p>
        </w:tc>
      </w:tr>
      <w:tr w:rsidR="000C258A" w:rsidRPr="000C258A" w:rsidTr="000C258A">
        <w:trPr>
          <w:trHeight w:val="738"/>
        </w:trPr>
        <w:tc>
          <w:tcPr>
            <w:tcW w:w="30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Incumplimiento de pagos</w:t>
            </w:r>
          </w:p>
        </w:tc>
        <w:tc>
          <w:tcPr>
            <w:tcW w:w="5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 mayor valor a las acreditaciones con mayor número de incumplimientos de pagos de derechos por concepto de supervisión anual</w:t>
            </w:r>
          </w:p>
        </w:tc>
      </w:tr>
      <w:tr w:rsidR="000C258A" w:rsidRPr="000C258A" w:rsidTr="000C258A">
        <w:trPr>
          <w:trHeight w:val="522"/>
        </w:trPr>
        <w:tc>
          <w:tcPr>
            <w:tcW w:w="30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Incumplimiento de reportes</w:t>
            </w:r>
          </w:p>
        </w:tc>
        <w:tc>
          <w:tcPr>
            <w:tcW w:w="5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 mayor valor a las acreditaciones con mayor número de incumplimientos de informes estadísticos</w:t>
            </w:r>
          </w:p>
        </w:tc>
      </w:tr>
      <w:tr w:rsidR="000C258A" w:rsidRPr="000C258A" w:rsidTr="000C258A">
        <w:trPr>
          <w:trHeight w:val="522"/>
        </w:trPr>
        <w:tc>
          <w:tcPr>
            <w:tcW w:w="30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Certificados emitidos por personal</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color w:val="000000"/>
                <w:sz w:val="18"/>
                <w:szCs w:val="18"/>
                <w:lang w:eastAsia="es-MX"/>
              </w:rPr>
              <w:t>acreditado</w:t>
            </w:r>
          </w:p>
        </w:tc>
        <w:tc>
          <w:tcPr>
            <w:tcW w:w="5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 mayor valor a las acreditaciones con mayor número de certificados emitidos por personal acreditado</w:t>
            </w:r>
          </w:p>
        </w:tc>
      </w:tr>
      <w:tr w:rsidR="000C258A" w:rsidRPr="000C258A" w:rsidTr="000C258A">
        <w:trPr>
          <w:trHeight w:val="537"/>
        </w:trPr>
        <w:tc>
          <w:tcPr>
            <w:tcW w:w="30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Denuncias o quejas hacia la</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color w:val="000000"/>
                <w:sz w:val="18"/>
                <w:szCs w:val="18"/>
                <w:lang w:eastAsia="es-MX"/>
              </w:rPr>
              <w:t>acreditación</w:t>
            </w:r>
          </w:p>
        </w:tc>
        <w:tc>
          <w:tcPr>
            <w:tcW w:w="5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 mayor valor a las autorizaciones con un mayor número de quejas o denuncias ingresadas hacia ellas</w:t>
            </w:r>
          </w:p>
        </w:tc>
      </w:tr>
    </w:tbl>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La ponderación de cada variable está dada en un rango de 1 a 3 dependiendo de la relevancia (ver Tabla 5).</w:t>
      </w:r>
    </w:p>
    <w:p w:rsidR="000C258A" w:rsidRPr="000C258A" w:rsidRDefault="000C258A" w:rsidP="000C258A">
      <w:pPr>
        <w:shd w:val="clear" w:color="auto" w:fill="FFFFFF"/>
        <w:spacing w:after="90"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i/>
          <w:iCs/>
          <w:color w:val="2F2F2F"/>
          <w:sz w:val="18"/>
          <w:szCs w:val="18"/>
          <w:lang w:eastAsia="es-MX"/>
        </w:rPr>
        <w:t>Tabla 5. Ponderación y numeración de las variables de Unidades de Inspección de la Industria Eléctrica.</w:t>
      </w:r>
    </w:p>
    <w:tbl>
      <w:tblPr>
        <w:tblW w:w="0" w:type="auto"/>
        <w:tblCellMar>
          <w:top w:w="15" w:type="dxa"/>
          <w:left w:w="15" w:type="dxa"/>
          <w:bottom w:w="15" w:type="dxa"/>
          <w:right w:w="15" w:type="dxa"/>
        </w:tblCellMar>
        <w:tblLook w:val="04A0" w:firstRow="1" w:lastRow="0" w:firstColumn="1" w:lastColumn="0" w:noHBand="0" w:noVBand="1"/>
      </w:tblPr>
      <w:tblGrid>
        <w:gridCol w:w="460"/>
        <w:gridCol w:w="2710"/>
        <w:gridCol w:w="1578"/>
        <w:gridCol w:w="3008"/>
        <w:gridCol w:w="1222"/>
      </w:tblGrid>
      <w:tr w:rsidR="000C258A" w:rsidRPr="000C258A" w:rsidTr="000C258A">
        <w:trPr>
          <w:trHeight w:val="321"/>
        </w:trPr>
        <w:tc>
          <w:tcPr>
            <w:tcW w:w="4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40"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76200" cy="152400"/>
                  <wp:effectExtent l="0" t="0" r="0" b="0"/>
                  <wp:docPr id="16" name="Imagen 16" descr="https://www.dof.gob.mx/imagenes_diarios/2023/05/08/MAT/cre11_Cimg_344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dof.gob.mx/imagenes_diarios/2023/05/08/MAT/cre11_Cimg_34497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p>
        </w:tc>
        <w:tc>
          <w:tcPr>
            <w:tcW w:w="271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Variable</w:t>
            </w:r>
          </w:p>
        </w:tc>
        <w:tc>
          <w:tcPr>
            <w:tcW w:w="15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Abreviatura</w:t>
            </w: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Criterio</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Puntaje</w:t>
            </w:r>
          </w:p>
        </w:tc>
      </w:tr>
      <w:tr w:rsidR="000C258A" w:rsidRPr="000C258A" w:rsidTr="000C258A">
        <w:trPr>
          <w:trHeight w:val="306"/>
        </w:trPr>
        <w:tc>
          <w:tcPr>
            <w:tcW w:w="46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c>
          <w:tcPr>
            <w:tcW w:w="271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Incumplimiento de pagos</w:t>
            </w:r>
          </w:p>
        </w:tc>
        <w:tc>
          <w:tcPr>
            <w:tcW w:w="157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IP</w:t>
            </w: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 o más incumplimientos</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r>
      <w:tr w:rsidR="000C258A" w:rsidRPr="000C258A" w:rsidTr="000C258A">
        <w:trPr>
          <w:trHeight w:val="306"/>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incumplimientos</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06"/>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 incumplimiento</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06"/>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incumplimientos</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06"/>
        </w:trPr>
        <w:tc>
          <w:tcPr>
            <w:tcW w:w="46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c>
          <w:tcPr>
            <w:tcW w:w="271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Incumplimiento de reportes</w:t>
            </w:r>
          </w:p>
        </w:tc>
        <w:tc>
          <w:tcPr>
            <w:tcW w:w="157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IR</w:t>
            </w: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 o más incumplimientos</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r>
      <w:tr w:rsidR="000C258A" w:rsidRPr="000C258A" w:rsidTr="000C258A">
        <w:trPr>
          <w:trHeight w:val="306"/>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incumplimientos</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06"/>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 incumplimiento</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06"/>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incumplimientos</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06"/>
        </w:trPr>
        <w:tc>
          <w:tcPr>
            <w:tcW w:w="46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c>
          <w:tcPr>
            <w:tcW w:w="271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Certificados emitidos por</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personal acreditado</w:t>
            </w:r>
          </w:p>
        </w:tc>
        <w:tc>
          <w:tcPr>
            <w:tcW w:w="157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CEPA</w:t>
            </w: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&gt;20 certificados por persona</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r>
      <w:tr w:rsidR="000C258A" w:rsidRPr="000C258A" w:rsidTr="000C258A">
        <w:trPr>
          <w:trHeight w:val="522"/>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&gt;10 y 20 certificados por persona</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06"/>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&gt;5 y 10 certificados por persona</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06"/>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5 certificados por persona</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90"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17"/>
        </w:trPr>
        <w:tc>
          <w:tcPr>
            <w:tcW w:w="46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4</w:t>
            </w:r>
          </w:p>
        </w:tc>
        <w:tc>
          <w:tcPr>
            <w:tcW w:w="271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Denuncias o quejas hacia</w:t>
            </w:r>
          </w:p>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la acreditación</w:t>
            </w:r>
          </w:p>
        </w:tc>
        <w:tc>
          <w:tcPr>
            <w:tcW w:w="157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DQAC</w:t>
            </w: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 o más denuncias o quejas</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r>
      <w:tr w:rsidR="000C258A" w:rsidRPr="000C258A" w:rsidTr="000C258A">
        <w:trPr>
          <w:trHeight w:val="317"/>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denuncias o quejas</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17"/>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 denuncia o queja</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32"/>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00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denuncias o quejas</w:t>
            </w:r>
          </w:p>
        </w:tc>
        <w:tc>
          <w:tcPr>
            <w:tcW w:w="122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El </w:t>
      </w:r>
      <w:r w:rsidRPr="000C258A">
        <w:rPr>
          <w:rFonts w:ascii="Arial" w:eastAsia="Times New Roman" w:hAnsi="Arial" w:cs="Arial"/>
          <w:i/>
          <w:iCs/>
          <w:color w:val="2F2F2F"/>
          <w:sz w:val="18"/>
          <w:szCs w:val="18"/>
          <w:lang w:eastAsia="es-MX"/>
        </w:rPr>
        <w:t>Puntaje total</w:t>
      </w:r>
      <w:r w:rsidRPr="000C258A">
        <w:rPr>
          <w:rFonts w:ascii="Arial" w:eastAsia="Times New Roman" w:hAnsi="Arial" w:cs="Arial"/>
          <w:color w:val="2F2F2F"/>
          <w:sz w:val="18"/>
          <w:szCs w:val="18"/>
          <w:lang w:eastAsia="es-MX"/>
        </w:rPr>
        <w:t> para UIIEs, de acuerdo con la ecuación (14) está dado por la suma de las variables descritas en la Tabla 4 y cuyos valores posibles aparecen en la Tabla 5:</w:t>
      </w:r>
    </w:p>
    <w:tbl>
      <w:tblPr>
        <w:tblW w:w="0" w:type="auto"/>
        <w:tblCellMar>
          <w:top w:w="15" w:type="dxa"/>
          <w:left w:w="15" w:type="dxa"/>
          <w:bottom w:w="15" w:type="dxa"/>
          <w:right w:w="15" w:type="dxa"/>
        </w:tblCellMar>
        <w:tblLook w:val="04A0" w:firstRow="1" w:lastRow="0" w:firstColumn="1" w:lastColumn="0" w:noHBand="0" w:noVBand="1"/>
      </w:tblPr>
      <w:tblGrid>
        <w:gridCol w:w="898"/>
        <w:gridCol w:w="7186"/>
        <w:gridCol w:w="898"/>
      </w:tblGrid>
      <w:tr w:rsidR="000C258A" w:rsidRPr="000C258A" w:rsidTr="000C258A">
        <w:trPr>
          <w:trHeight w:val="410"/>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2952750" cy="180975"/>
                  <wp:effectExtent l="0" t="0" r="0" b="9525"/>
                  <wp:docPr id="15" name="Imagen 15" descr="https://www.dof.gob.mx/imagenes_diarios/2023/05/08/MAT/cre11_Cimg_35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dof.gob.mx/imagenes_diarios/2023/05/08/MAT/cre11_Cimg_35032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2750" cy="180975"/>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(23)</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Debido al reducido número de UIIEs un modelo ajustado no es significativo por lo que el cálculo del Índice de Verificación para las UIIEs está dado por la normalización del </w:t>
      </w:r>
      <w:r w:rsidRPr="000C258A">
        <w:rPr>
          <w:rFonts w:ascii="Arial" w:eastAsia="Times New Roman" w:hAnsi="Arial" w:cs="Arial"/>
          <w:i/>
          <w:iCs/>
          <w:color w:val="2F2F2F"/>
          <w:sz w:val="18"/>
          <w:szCs w:val="18"/>
          <w:lang w:eastAsia="es-MX"/>
        </w:rPr>
        <w:t>Puntaje total</w:t>
      </w:r>
      <w:r w:rsidRPr="000C258A">
        <w:rPr>
          <w:rFonts w:ascii="Arial" w:eastAsia="Times New Roman" w:hAnsi="Arial" w:cs="Arial"/>
          <w:color w:val="2F2F2F"/>
          <w:sz w:val="18"/>
          <w:szCs w:val="18"/>
          <w:lang w:eastAsia="es-MX"/>
        </w:rPr>
        <w:t> a valores entre 0 y 10:</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778"/>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2009775" cy="409575"/>
                  <wp:effectExtent l="0" t="0" r="9525" b="9525"/>
                  <wp:docPr id="14" name="Imagen 14" descr="https://www.dof.gob.mx/imagenes_diarios/2023/05/08/MAT/cre11_Cimg_357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dof.gob.mx/imagenes_diarios/2023/05/08/MAT/cre11_Cimg_35723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9775" cy="409575"/>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(24)</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Cálculo del </w:t>
      </w:r>
      <w:r w:rsidRPr="000C258A">
        <w:rPr>
          <w:rFonts w:ascii="Arial" w:eastAsia="Times New Roman" w:hAnsi="Arial" w:cs="Arial"/>
          <w:b/>
          <w:bCs/>
          <w:i/>
          <w:iCs/>
          <w:color w:val="2F2F2F"/>
          <w:sz w:val="18"/>
          <w:szCs w:val="18"/>
          <w:lang w:eastAsia="es-MX"/>
        </w:rPr>
        <w:t>IV</w:t>
      </w:r>
      <w:r w:rsidRPr="000C258A">
        <w:rPr>
          <w:rFonts w:ascii="Arial" w:eastAsia="Times New Roman" w:hAnsi="Arial" w:cs="Arial"/>
          <w:b/>
          <w:bCs/>
          <w:color w:val="2F2F2F"/>
          <w:sz w:val="18"/>
          <w:szCs w:val="18"/>
          <w:lang w:eastAsia="es-MX"/>
        </w:rPr>
        <w:t> para permisos de suministro</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Las variables que se utilizan para el cálculo del </w:t>
      </w:r>
      <w:r w:rsidRPr="000C258A">
        <w:rPr>
          <w:rFonts w:ascii="Arial" w:eastAsia="Times New Roman" w:hAnsi="Arial" w:cs="Arial"/>
          <w:i/>
          <w:iCs/>
          <w:color w:val="2F2F2F"/>
          <w:sz w:val="18"/>
          <w:szCs w:val="18"/>
          <w:lang w:eastAsia="es-MX"/>
        </w:rPr>
        <w:t>IV</w:t>
      </w:r>
      <w:r w:rsidRPr="000C258A">
        <w:rPr>
          <w:rFonts w:ascii="Arial" w:eastAsia="Times New Roman" w:hAnsi="Arial" w:cs="Arial"/>
          <w:color w:val="2F2F2F"/>
          <w:sz w:val="18"/>
          <w:szCs w:val="18"/>
          <w:lang w:eastAsia="es-MX"/>
        </w:rPr>
        <w:t> de permisos de suministro calificado son las que se describen a continuación.</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sidRPr="000C258A">
        <w:rPr>
          <w:rFonts w:ascii="Arial" w:eastAsia="Times New Roman" w:hAnsi="Arial" w:cs="Arial"/>
          <w:i/>
          <w:iCs/>
          <w:color w:val="2F2F2F"/>
          <w:sz w:val="18"/>
          <w:szCs w:val="18"/>
          <w:lang w:eastAsia="es-MX"/>
        </w:rPr>
        <w:t>Tabla 6. Variables para el cálculo del IV de permisos de suministro calificado.</w:t>
      </w:r>
    </w:p>
    <w:tbl>
      <w:tblPr>
        <w:tblW w:w="0" w:type="auto"/>
        <w:tblCellMar>
          <w:top w:w="15" w:type="dxa"/>
          <w:left w:w="15" w:type="dxa"/>
          <w:bottom w:w="15" w:type="dxa"/>
          <w:right w:w="15" w:type="dxa"/>
        </w:tblCellMar>
        <w:tblLook w:val="04A0" w:firstRow="1" w:lastRow="0" w:firstColumn="1" w:lastColumn="0" w:noHBand="0" w:noVBand="1"/>
      </w:tblPr>
      <w:tblGrid>
        <w:gridCol w:w="2045"/>
        <w:gridCol w:w="6937"/>
      </w:tblGrid>
      <w:tr w:rsidR="000C258A" w:rsidRPr="000C258A" w:rsidTr="000C258A">
        <w:trPr>
          <w:trHeight w:val="340"/>
        </w:trPr>
        <w:tc>
          <w:tcPr>
            <w:tcW w:w="32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Variable</w:t>
            </w:r>
          </w:p>
        </w:tc>
        <w:tc>
          <w:tcPr>
            <w:tcW w:w="57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Descripción</w:t>
            </w:r>
          </w:p>
        </w:tc>
      </w:tr>
      <w:tr w:rsidR="000C258A" w:rsidRPr="000C258A" w:rsidTr="000C258A">
        <w:trPr>
          <w:trHeight w:val="549"/>
        </w:trPr>
        <w:tc>
          <w:tcPr>
            <w:tcW w:w="32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Modificación de la entrada en</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operación comercial</w:t>
            </w:r>
          </w:p>
        </w:tc>
        <w:tc>
          <w:tcPr>
            <w:tcW w:w="57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 mayor valor a permisos que hayan modificado su fecha de entrada en operación en 2 o más ocasiones.</w:t>
            </w:r>
          </w:p>
        </w:tc>
      </w:tr>
      <w:tr w:rsidR="000C258A" w:rsidRPr="000C258A" w:rsidTr="000C258A">
        <w:trPr>
          <w:trHeight w:val="549"/>
        </w:trPr>
        <w:tc>
          <w:tcPr>
            <w:tcW w:w="32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Estimaciones de demanda anual</w:t>
            </w:r>
          </w:p>
        </w:tc>
        <w:tc>
          <w:tcPr>
            <w:tcW w:w="57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asigna un valor dependiendo de la cantidad de años durante los cuáles hayan cumplido con esta obligación.</w:t>
            </w:r>
          </w:p>
        </w:tc>
      </w:tr>
      <w:tr w:rsidR="000C258A" w:rsidRPr="000C258A" w:rsidTr="000C258A">
        <w:trPr>
          <w:trHeight w:val="549"/>
        </w:trPr>
        <w:tc>
          <w:tcPr>
            <w:tcW w:w="32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Contratos de cobertura</w:t>
            </w:r>
          </w:p>
        </w:tc>
        <w:tc>
          <w:tcPr>
            <w:tcW w:w="57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asigna un valor dependiendo de la cantidad de años durante los cuáles hayan cumplido con esta obligación.</w:t>
            </w:r>
          </w:p>
        </w:tc>
      </w:tr>
      <w:tr w:rsidR="000C258A" w:rsidRPr="000C258A" w:rsidTr="000C258A">
        <w:trPr>
          <w:trHeight w:val="564"/>
        </w:trPr>
        <w:tc>
          <w:tcPr>
            <w:tcW w:w="32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Verificaciones previas</w:t>
            </w:r>
          </w:p>
        </w:tc>
        <w:tc>
          <w:tcPr>
            <w:tcW w:w="57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da un valor mayor a aquellos permisos que no hayan recibido una visita de verificación en cierto número de años.</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La ponderación correspondiente a cada variable está dada por las siguientes tablas:</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sidRPr="000C258A">
        <w:rPr>
          <w:rFonts w:ascii="Arial" w:eastAsia="Times New Roman" w:hAnsi="Arial" w:cs="Arial"/>
          <w:i/>
          <w:iCs/>
          <w:color w:val="2F2F2F"/>
          <w:sz w:val="18"/>
          <w:szCs w:val="18"/>
          <w:lang w:eastAsia="es-MX"/>
        </w:rPr>
        <w:t>Tabla 7. Ponderación y numeración de las variables de suministro calificado.</w:t>
      </w:r>
    </w:p>
    <w:tbl>
      <w:tblPr>
        <w:tblW w:w="0" w:type="auto"/>
        <w:tblCellMar>
          <w:top w:w="15" w:type="dxa"/>
          <w:left w:w="15" w:type="dxa"/>
          <w:bottom w:w="15" w:type="dxa"/>
          <w:right w:w="15" w:type="dxa"/>
        </w:tblCellMar>
        <w:tblLook w:val="04A0" w:firstRow="1" w:lastRow="0" w:firstColumn="1" w:lastColumn="0" w:noHBand="0" w:noVBand="1"/>
      </w:tblPr>
      <w:tblGrid>
        <w:gridCol w:w="596"/>
        <w:gridCol w:w="2695"/>
        <w:gridCol w:w="1542"/>
        <w:gridCol w:w="3100"/>
        <w:gridCol w:w="1045"/>
      </w:tblGrid>
      <w:tr w:rsidR="000C258A" w:rsidRPr="000C258A" w:rsidTr="000C258A">
        <w:trPr>
          <w:trHeight w:val="355"/>
        </w:trPr>
        <w:tc>
          <w:tcPr>
            <w:tcW w:w="5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lastRenderedPageBreak/>
              <w:drawing>
                <wp:inline distT="0" distB="0" distL="0" distR="0">
                  <wp:extent cx="133350" cy="133350"/>
                  <wp:effectExtent l="0" t="0" r="0" b="0"/>
                  <wp:docPr id="13" name="Imagen 13" descr="https://www.dof.gob.mx/imagenes_diarios/2023/05/08/MAT/cre11_Cimg_368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dof.gob.mx/imagenes_diarios/2023/05/08/MAT/cre11_Cimg_36845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69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Variable</w:t>
            </w:r>
          </w:p>
        </w:tc>
        <w:tc>
          <w:tcPr>
            <w:tcW w:w="154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Abreviatura</w:t>
            </w: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Criterio</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Puntaje</w:t>
            </w:r>
          </w:p>
        </w:tc>
      </w:tr>
      <w:tr w:rsidR="000C258A" w:rsidRPr="000C258A" w:rsidTr="000C258A">
        <w:trPr>
          <w:trHeight w:val="325"/>
        </w:trPr>
        <w:tc>
          <w:tcPr>
            <w:tcW w:w="59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c>
          <w:tcPr>
            <w:tcW w:w="269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Modificación de la entrada en</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operación comercial</w:t>
            </w:r>
          </w:p>
        </w:tc>
        <w:tc>
          <w:tcPr>
            <w:tcW w:w="1543"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MEOC</w:t>
            </w: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o más modificaciones</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2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Menos de 2 modificaciones</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25"/>
        </w:trPr>
        <w:tc>
          <w:tcPr>
            <w:tcW w:w="59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c>
          <w:tcPr>
            <w:tcW w:w="269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Estimaciones de demanda</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i/>
                <w:iCs/>
                <w:color w:val="000000"/>
                <w:sz w:val="18"/>
                <w:szCs w:val="18"/>
                <w:lang w:eastAsia="es-MX"/>
              </w:rPr>
              <w:t>anual</w:t>
            </w:r>
          </w:p>
        </w:tc>
        <w:tc>
          <w:tcPr>
            <w:tcW w:w="1543"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EDA</w:t>
            </w: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o menos años de cumplimiento</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2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 años de cumplimiento</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2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4 o más años de cumplimiento</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r w:rsidR="000C258A" w:rsidRPr="000C258A" w:rsidTr="000C258A">
        <w:trPr>
          <w:trHeight w:val="325"/>
        </w:trPr>
        <w:tc>
          <w:tcPr>
            <w:tcW w:w="59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c>
          <w:tcPr>
            <w:tcW w:w="269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Contratos de cobertura</w:t>
            </w:r>
          </w:p>
        </w:tc>
        <w:tc>
          <w:tcPr>
            <w:tcW w:w="1543"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CC</w:t>
            </w: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o menos años de cumplimiento</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2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 años de cumplimiento</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2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 o menos años de cumplimiento</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25"/>
        </w:trPr>
        <w:tc>
          <w:tcPr>
            <w:tcW w:w="59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4</w:t>
            </w:r>
          </w:p>
        </w:tc>
        <w:tc>
          <w:tcPr>
            <w:tcW w:w="269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Verificaciones previas</w:t>
            </w:r>
          </w:p>
        </w:tc>
        <w:tc>
          <w:tcPr>
            <w:tcW w:w="1543"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i/>
                <w:iCs/>
                <w:color w:val="000000"/>
                <w:sz w:val="18"/>
                <w:szCs w:val="18"/>
                <w:lang w:eastAsia="es-MX"/>
              </w:rPr>
              <w:t>VP</w:t>
            </w: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Hace 4 o más años</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25"/>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Hace 3 años</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r>
      <w:tr w:rsidR="000C258A" w:rsidRPr="000C258A" w:rsidTr="000C258A">
        <w:trPr>
          <w:trHeight w:val="340"/>
        </w:trPr>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0C258A" w:rsidRPr="000C258A" w:rsidRDefault="000C258A" w:rsidP="000C258A">
            <w:pPr>
              <w:spacing w:after="0" w:line="240" w:lineRule="auto"/>
              <w:rPr>
                <w:rFonts w:ascii="Times New Roman" w:eastAsia="Times New Roman" w:hAnsi="Times New Roman" w:cs="Times New Roman"/>
                <w:color w:val="000000"/>
                <w:sz w:val="18"/>
                <w:szCs w:val="18"/>
                <w:lang w:eastAsia="es-MX"/>
              </w:rPr>
            </w:pPr>
          </w:p>
        </w:tc>
        <w:tc>
          <w:tcPr>
            <w:tcW w:w="31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Hace 2 o menos años</w:t>
            </w:r>
          </w:p>
        </w:tc>
        <w:tc>
          <w:tcPr>
            <w:tcW w:w="10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0</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El </w:t>
      </w:r>
      <w:r w:rsidRPr="000C258A">
        <w:rPr>
          <w:rFonts w:ascii="Arial" w:eastAsia="Times New Roman" w:hAnsi="Arial" w:cs="Arial"/>
          <w:i/>
          <w:iCs/>
          <w:color w:val="2F2F2F"/>
          <w:sz w:val="18"/>
          <w:szCs w:val="18"/>
          <w:lang w:eastAsia="es-MX"/>
        </w:rPr>
        <w:t>Puntaje total</w:t>
      </w:r>
      <w:r w:rsidRPr="000C258A">
        <w:rPr>
          <w:rFonts w:ascii="Arial" w:eastAsia="Times New Roman" w:hAnsi="Arial" w:cs="Arial"/>
          <w:color w:val="2F2F2F"/>
          <w:sz w:val="18"/>
          <w:szCs w:val="18"/>
          <w:lang w:eastAsia="es-MX"/>
        </w:rPr>
        <w:t> para suministro calificado, aplicando nuevamente la ecuación (14), está dado por la suma de las variables cuyos valores posibles aparecen en la Tabla 7:</w:t>
      </w:r>
    </w:p>
    <w:tbl>
      <w:tblPr>
        <w:tblW w:w="0" w:type="auto"/>
        <w:tblCellMar>
          <w:top w:w="15" w:type="dxa"/>
          <w:left w:w="15" w:type="dxa"/>
          <w:bottom w:w="15" w:type="dxa"/>
          <w:right w:w="15" w:type="dxa"/>
        </w:tblCellMar>
        <w:tblLook w:val="04A0" w:firstRow="1" w:lastRow="0" w:firstColumn="1" w:lastColumn="0" w:noHBand="0" w:noVBand="1"/>
      </w:tblPr>
      <w:tblGrid>
        <w:gridCol w:w="898"/>
        <w:gridCol w:w="7186"/>
        <w:gridCol w:w="898"/>
      </w:tblGrid>
      <w:tr w:rsidR="000C258A" w:rsidRPr="000C258A" w:rsidTr="000C258A">
        <w:trPr>
          <w:trHeight w:val="406"/>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2495550" cy="171450"/>
                  <wp:effectExtent l="0" t="0" r="0" b="0"/>
                  <wp:docPr id="12" name="Imagen 12" descr="https://www.dof.gob.mx/imagenes_diarios/2023/05/08/MAT/cre11_Cimg_372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dof.gob.mx/imagenes_diarios/2023/05/08/MAT/cre11_Cimg_37267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95550" cy="171450"/>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(25)</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El cálculo del Índice de Verificación para los permisos de suministro está dado por la normalización del </w:t>
      </w:r>
      <w:r w:rsidRPr="000C258A">
        <w:rPr>
          <w:rFonts w:ascii="Arial" w:eastAsia="Times New Roman" w:hAnsi="Arial" w:cs="Arial"/>
          <w:i/>
          <w:iCs/>
          <w:color w:val="2F2F2F"/>
          <w:sz w:val="18"/>
          <w:szCs w:val="18"/>
          <w:lang w:eastAsia="es-MX"/>
        </w:rPr>
        <w:t>Puntaje total</w:t>
      </w:r>
      <w:r w:rsidRPr="000C258A">
        <w:rPr>
          <w:rFonts w:ascii="Arial" w:eastAsia="Times New Roman" w:hAnsi="Arial" w:cs="Arial"/>
          <w:color w:val="2F2F2F"/>
          <w:sz w:val="18"/>
          <w:szCs w:val="18"/>
          <w:lang w:eastAsia="es-MX"/>
        </w:rPr>
        <w:t> a valores entre 0 y 10:</w:t>
      </w:r>
    </w:p>
    <w:tbl>
      <w:tblPr>
        <w:tblW w:w="0" w:type="auto"/>
        <w:tblCellMar>
          <w:top w:w="15" w:type="dxa"/>
          <w:left w:w="15" w:type="dxa"/>
          <w:bottom w:w="15" w:type="dxa"/>
          <w:right w:w="15" w:type="dxa"/>
        </w:tblCellMar>
        <w:tblLook w:val="04A0" w:firstRow="1" w:lastRow="0" w:firstColumn="1" w:lastColumn="0" w:noHBand="0" w:noVBand="1"/>
      </w:tblPr>
      <w:tblGrid>
        <w:gridCol w:w="899"/>
        <w:gridCol w:w="7185"/>
        <w:gridCol w:w="898"/>
      </w:tblGrid>
      <w:tr w:rsidR="000C258A" w:rsidRPr="000C258A" w:rsidTr="000C258A">
        <w:trPr>
          <w:trHeight w:val="772"/>
        </w:trPr>
        <w:tc>
          <w:tcPr>
            <w:tcW w:w="899" w:type="dxa"/>
            <w:tcMar>
              <w:top w:w="15" w:type="dxa"/>
              <w:left w:w="72" w:type="dxa"/>
              <w:bottom w:w="15" w:type="dxa"/>
              <w:right w:w="72"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Times New Roman" w:eastAsia="Times New Roman" w:hAnsi="Times New Roman" w:cs="Times New Roman"/>
                <w:color w:val="000000"/>
                <w:sz w:val="18"/>
                <w:szCs w:val="18"/>
                <w:lang w:eastAsia="es-MX"/>
              </w:rPr>
              <w:t> </w:t>
            </w:r>
          </w:p>
        </w:tc>
        <w:tc>
          <w:tcPr>
            <w:tcW w:w="7187" w:type="dxa"/>
            <w:tcMar>
              <w:top w:w="15" w:type="dxa"/>
              <w:left w:w="72" w:type="dxa"/>
              <w:bottom w:w="15" w:type="dxa"/>
              <w:right w:w="72" w:type="dxa"/>
            </w:tcMa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2028825" cy="409575"/>
                  <wp:effectExtent l="0" t="0" r="9525" b="9525"/>
                  <wp:docPr id="11" name="Imagen 11" descr="https://www.dof.gob.mx/imagenes_diarios/2023/05/08/MAT/cre11_Cimg_379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dof.gob.mx/imagenes_diarios/2023/05/08/MAT/cre11_Cimg_37990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28825" cy="409575"/>
                          </a:xfrm>
                          <a:prstGeom prst="rect">
                            <a:avLst/>
                          </a:prstGeom>
                          <a:noFill/>
                          <a:ln>
                            <a:noFill/>
                          </a:ln>
                        </pic:spPr>
                      </pic:pic>
                    </a:graphicData>
                  </a:graphic>
                </wp:inline>
              </w:drawing>
            </w:r>
          </w:p>
        </w:tc>
        <w:tc>
          <w:tcPr>
            <w:tcW w:w="898" w:type="dxa"/>
            <w:tcMar>
              <w:top w:w="15" w:type="dxa"/>
              <w:left w:w="72" w:type="dxa"/>
              <w:bottom w:w="15" w:type="dxa"/>
              <w:right w:w="72"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(26)</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ANEXO II. EJEMPLOS DE APLICACIÓN DE LA METODOLOGÍA DE VERIFICACIÓN</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Como resultado de la aplicación de esta metodología, a continuación, se aplica a dos permisos: uno sujeto de ser visitado mediante la metodología descrita para permisos de generación de energía eléctrica (Ejemplo 1) y otro sujeto a un muestreo aleatorio simple (Ejemplo 2). Cabe señalar que los datos que aparecen en estos ejemplos no son reales y se utilizan únicamente para ejemplificar los procedimientos.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Ejemplo 1: Permisionario sujeto a una visita de verificación.</w:t>
      </w:r>
    </w:p>
    <w:tbl>
      <w:tblPr>
        <w:tblW w:w="0" w:type="auto"/>
        <w:tblCellMar>
          <w:top w:w="15" w:type="dxa"/>
          <w:left w:w="15" w:type="dxa"/>
          <w:bottom w:w="15" w:type="dxa"/>
          <w:right w:w="15" w:type="dxa"/>
        </w:tblCellMar>
        <w:tblLook w:val="04A0" w:firstRow="1" w:lastRow="0" w:firstColumn="1" w:lastColumn="0" w:noHBand="0" w:noVBand="1"/>
      </w:tblPr>
      <w:tblGrid>
        <w:gridCol w:w="386"/>
        <w:gridCol w:w="3749"/>
        <w:gridCol w:w="4843"/>
      </w:tblGrid>
      <w:tr w:rsidR="000C258A" w:rsidRPr="000C258A" w:rsidTr="000C258A">
        <w:trPr>
          <w:trHeight w:val="332"/>
        </w:trPr>
        <w:tc>
          <w:tcPr>
            <w:tcW w:w="7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w:t>
            </w:r>
          </w:p>
        </w:tc>
        <w:tc>
          <w:tcPr>
            <w:tcW w:w="51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Concepto</w:t>
            </w:r>
          </w:p>
        </w:tc>
        <w:tc>
          <w:tcPr>
            <w:tcW w:w="3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Descripción</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Permisionario</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Permisionario COG</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Número de permiso</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E/XXXX/COG/20XX</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Aumento de capacidad autorizada</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aumento de capacidad</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4</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Número de socios en el otorgamiento</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18</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5</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Número de socios actuales</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18</w:t>
            </w:r>
          </w:p>
        </w:tc>
      </w:tr>
      <w:tr w:rsidR="000C258A" w:rsidRPr="000C258A" w:rsidTr="000C258A">
        <w:trPr>
          <w:trHeight w:val="533"/>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6</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Modificaciones referentes al aprovechamiento de la energía eléctrica generada</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Dos resoluciones de modificación</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7</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Modificaciones de la descripción de las instalaciones</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modificación de las instalaciones</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lastRenderedPageBreak/>
              <w:t>8</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Transferencia del permiso</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transferencia</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9</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Exclusión de capacidad</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exclusión de capacidad</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10</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Número incumplimientos de pagos por supervisión anual</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11</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Número incumplimientos de reportes de operación</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12</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Cumplimiento al programa de obras</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Permiso en operación</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13</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Años de acreditación de cogeneración eficiente</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 años de acreditación</w:t>
            </w:r>
          </w:p>
        </w:tc>
      </w:tr>
      <w:tr w:rsidR="000C258A" w:rsidRPr="000C258A" w:rsidTr="000C258A">
        <w:trPr>
          <w:trHeight w:val="317"/>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14</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Año actual de acreditación de cogeneración eficiente</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En su tercer año de acreditación</w:t>
            </w:r>
          </w:p>
        </w:tc>
      </w:tr>
      <w:tr w:rsidR="000C258A" w:rsidRPr="000C258A" w:rsidTr="000C258A">
        <w:trPr>
          <w:trHeight w:val="533"/>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15</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Necesidades Propias</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se encuentra bajo esquema de Generación Local o Abasto Aislado</w:t>
            </w:r>
          </w:p>
        </w:tc>
      </w:tr>
      <w:tr w:rsidR="000C258A" w:rsidRPr="000C258A" w:rsidTr="000C258A">
        <w:trPr>
          <w:trHeight w:val="533"/>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16</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Interconexión en compuerta critica</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Se interconecta a una compuerta crítica definida por CENACE.</w:t>
            </w:r>
          </w:p>
        </w:tc>
      </w:tr>
      <w:tr w:rsidR="000C258A" w:rsidRPr="000C258A" w:rsidTr="000C258A">
        <w:trPr>
          <w:trHeight w:val="980"/>
        </w:trPr>
        <w:tc>
          <w:tcPr>
            <w:tcW w:w="7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17</w:t>
            </w:r>
          </w:p>
        </w:tc>
        <w:tc>
          <w:tcPr>
            <w:tcW w:w="51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Diferencia en capacidad con MGP</w:t>
            </w:r>
          </w:p>
        </w:tc>
        <w:tc>
          <w:tcPr>
            <w:tcW w:w="309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Existe una diferencia de 1 MW entre la capacidad autorizada y la considerada en el MGP de CENACE.</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Valor de variables:</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El permisionario no aumentó capacidad autorizada desde su otorgamiento, por lo tanto: </w:t>
      </w:r>
      <w:r w:rsidRPr="000C258A">
        <w:rPr>
          <w:rFonts w:ascii="Arial" w:eastAsia="Times New Roman" w:hAnsi="Arial" w:cs="Arial"/>
          <w:i/>
          <w:iCs/>
          <w:color w:val="2F2F2F"/>
          <w:sz w:val="18"/>
          <w:szCs w:val="18"/>
          <w:lang w:eastAsia="es-MX"/>
        </w:rPr>
        <w:t>AC</w:t>
      </w:r>
      <w:r w:rsidRPr="000C258A">
        <w:rPr>
          <w:rFonts w:ascii="Arial" w:eastAsia="Times New Roman" w:hAnsi="Arial" w:cs="Arial"/>
          <w:color w:val="2F2F2F"/>
          <w:sz w:val="18"/>
          <w:szCs w:val="18"/>
          <w:lang w:eastAsia="es-MX"/>
        </w:rPr>
        <w:t> = 0.</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El por ciento de </w:t>
      </w:r>
      <w:r w:rsidRPr="000C258A">
        <w:rPr>
          <w:rFonts w:ascii="Arial" w:eastAsia="Times New Roman" w:hAnsi="Arial" w:cs="Arial"/>
          <w:i/>
          <w:iCs/>
          <w:color w:val="2F2F2F"/>
          <w:sz w:val="18"/>
          <w:szCs w:val="18"/>
          <w:lang w:eastAsia="es-MX"/>
        </w:rPr>
        <w:t>AS</w:t>
      </w:r>
      <w:r w:rsidRPr="000C258A">
        <w:rPr>
          <w:rFonts w:ascii="Arial" w:eastAsia="Times New Roman" w:hAnsi="Arial" w:cs="Arial"/>
          <w:color w:val="2F2F2F"/>
          <w:sz w:val="18"/>
          <w:szCs w:val="18"/>
          <w:lang w:eastAsia="es-MX"/>
        </w:rPr>
        <w:t> es 0% debido a que el número de socios se ha mantenido. Así pues, </w:t>
      </w:r>
      <w:r w:rsidRPr="000C258A">
        <w:rPr>
          <w:rFonts w:ascii="Arial" w:eastAsia="Times New Roman" w:hAnsi="Arial" w:cs="Arial"/>
          <w:i/>
          <w:iCs/>
          <w:color w:val="2F2F2F"/>
          <w:sz w:val="18"/>
          <w:szCs w:val="18"/>
          <w:lang w:eastAsia="es-MX"/>
        </w:rPr>
        <w:t>AS</w:t>
      </w:r>
      <w:r w:rsidRPr="000C258A">
        <w:rPr>
          <w:rFonts w:ascii="Arial" w:eastAsia="Times New Roman" w:hAnsi="Arial" w:cs="Arial"/>
          <w:color w:val="2F2F2F"/>
          <w:sz w:val="18"/>
          <w:szCs w:val="18"/>
          <w:lang w:eastAsia="es-MX"/>
        </w:rPr>
        <w:t> = 0.</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Al permisionario se le han otorgado dos modificaciones de la condición referente al aprovechamiento de la energía eléctrica generada de modo que, </w:t>
      </w:r>
      <w:r w:rsidRPr="000C258A">
        <w:rPr>
          <w:rFonts w:ascii="Arial" w:eastAsia="Times New Roman" w:hAnsi="Arial" w:cs="Arial"/>
          <w:i/>
          <w:iCs/>
          <w:color w:val="2F2F2F"/>
          <w:sz w:val="18"/>
          <w:szCs w:val="18"/>
          <w:lang w:eastAsia="es-MX"/>
        </w:rPr>
        <w:t>MS</w:t>
      </w:r>
      <w:r w:rsidRPr="000C258A">
        <w:rPr>
          <w:rFonts w:ascii="Arial" w:eastAsia="Times New Roman" w:hAnsi="Arial" w:cs="Arial"/>
          <w:color w:val="FF0000"/>
          <w:sz w:val="18"/>
          <w:szCs w:val="18"/>
          <w:lang w:eastAsia="es-MX"/>
        </w:rPr>
        <w:t> </w:t>
      </w:r>
      <w:r w:rsidRPr="000C258A">
        <w:rPr>
          <w:rFonts w:ascii="Arial" w:eastAsia="Times New Roman" w:hAnsi="Arial" w:cs="Arial"/>
          <w:color w:val="2F2F2F"/>
          <w:sz w:val="18"/>
          <w:szCs w:val="18"/>
          <w:lang w:eastAsia="es-MX"/>
        </w:rPr>
        <w:t>= 2.</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El permisionario no ha modificado la descripción de las instalaciones por lo que </w:t>
      </w:r>
      <w:r w:rsidRPr="000C258A">
        <w:rPr>
          <w:rFonts w:ascii="Arial" w:eastAsia="Times New Roman" w:hAnsi="Arial" w:cs="Arial"/>
          <w:i/>
          <w:iCs/>
          <w:color w:val="2F2F2F"/>
          <w:sz w:val="18"/>
          <w:szCs w:val="18"/>
          <w:lang w:eastAsia="es-MX"/>
        </w:rPr>
        <w:t>MDI</w:t>
      </w:r>
      <w:r w:rsidRPr="000C258A">
        <w:rPr>
          <w:rFonts w:ascii="Arial" w:eastAsia="Times New Roman" w:hAnsi="Arial" w:cs="Arial"/>
          <w:color w:val="2F2F2F"/>
          <w:sz w:val="18"/>
          <w:szCs w:val="18"/>
          <w:lang w:eastAsia="es-MX"/>
        </w:rPr>
        <w:t> = 0.</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El permiso no ha sido transferido por lo que </w:t>
      </w:r>
      <w:r w:rsidRPr="000C258A">
        <w:rPr>
          <w:rFonts w:ascii="Arial" w:eastAsia="Times New Roman" w:hAnsi="Arial" w:cs="Arial"/>
          <w:i/>
          <w:iCs/>
          <w:color w:val="2F2F2F"/>
          <w:sz w:val="18"/>
          <w:szCs w:val="18"/>
          <w:lang w:eastAsia="es-MX"/>
        </w:rPr>
        <w:t>TP</w:t>
      </w:r>
      <w:r w:rsidRPr="000C258A">
        <w:rPr>
          <w:rFonts w:ascii="Arial" w:eastAsia="Times New Roman" w:hAnsi="Arial" w:cs="Arial"/>
          <w:color w:val="2F2F2F"/>
          <w:sz w:val="18"/>
          <w:szCs w:val="18"/>
          <w:lang w:eastAsia="es-MX"/>
        </w:rPr>
        <w:t> = 0.</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El permisionario no ha excluido capacidad por lo que </w:t>
      </w:r>
      <w:r w:rsidRPr="000C258A">
        <w:rPr>
          <w:rFonts w:ascii="Arial" w:eastAsia="Times New Roman" w:hAnsi="Arial" w:cs="Arial"/>
          <w:i/>
          <w:iCs/>
          <w:color w:val="2F2F2F"/>
          <w:sz w:val="18"/>
          <w:szCs w:val="18"/>
          <w:lang w:eastAsia="es-MX"/>
        </w:rPr>
        <w:t>EC</w:t>
      </w:r>
      <w:r w:rsidRPr="000C258A">
        <w:rPr>
          <w:rFonts w:ascii="Arial" w:eastAsia="Times New Roman" w:hAnsi="Arial" w:cs="Arial"/>
          <w:color w:val="2F2F2F"/>
          <w:sz w:val="18"/>
          <w:szCs w:val="18"/>
          <w:lang w:eastAsia="es-MX"/>
        </w:rPr>
        <w:t> = 0.</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A la fecha el permisionario cuenta con dos incumplimientos de pago por supervisión por lo que </w:t>
      </w:r>
      <w:r w:rsidRPr="000C258A">
        <w:rPr>
          <w:rFonts w:ascii="Arial" w:eastAsia="Times New Roman" w:hAnsi="Arial" w:cs="Arial"/>
          <w:i/>
          <w:iCs/>
          <w:color w:val="2F2F2F"/>
          <w:sz w:val="18"/>
          <w:szCs w:val="18"/>
          <w:lang w:eastAsia="es-MX"/>
        </w:rPr>
        <w:t>IP</w:t>
      </w:r>
      <w:r w:rsidRPr="000C258A">
        <w:rPr>
          <w:rFonts w:ascii="Arial" w:eastAsia="Times New Roman" w:hAnsi="Arial" w:cs="Arial"/>
          <w:color w:val="2F2F2F"/>
          <w:sz w:val="18"/>
          <w:szCs w:val="18"/>
          <w:lang w:eastAsia="es-MX"/>
        </w:rPr>
        <w:t> = 2.</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A la fecha el permisionario cuenta con dos incumplimientos en sus reportes estadísticos de generación de energía eléctrica por lo que </w:t>
      </w:r>
      <w:r w:rsidRPr="000C258A">
        <w:rPr>
          <w:rFonts w:ascii="Arial" w:eastAsia="Times New Roman" w:hAnsi="Arial" w:cs="Arial"/>
          <w:i/>
          <w:iCs/>
          <w:color w:val="2F2F2F"/>
          <w:sz w:val="18"/>
          <w:szCs w:val="18"/>
          <w:lang w:eastAsia="es-MX"/>
        </w:rPr>
        <w:t>IR</w:t>
      </w:r>
      <w:r w:rsidRPr="000C258A">
        <w:rPr>
          <w:rFonts w:ascii="Arial" w:eastAsia="Times New Roman" w:hAnsi="Arial" w:cs="Arial"/>
          <w:color w:val="2F2F2F"/>
          <w:sz w:val="18"/>
          <w:szCs w:val="18"/>
          <w:lang w:eastAsia="es-MX"/>
        </w:rPr>
        <w:t> = 2.</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El permisionario se encuentra en operación por lo que su programa de obras se encuentra vigente y </w:t>
      </w:r>
      <w:r w:rsidRPr="000C258A">
        <w:rPr>
          <w:rFonts w:ascii="Arial" w:eastAsia="Times New Roman" w:hAnsi="Arial" w:cs="Arial"/>
          <w:i/>
          <w:iCs/>
          <w:color w:val="2F2F2F"/>
          <w:sz w:val="18"/>
          <w:szCs w:val="18"/>
          <w:lang w:eastAsia="es-MX"/>
        </w:rPr>
        <w:t>CPO</w:t>
      </w:r>
      <w:r w:rsidRPr="000C258A">
        <w:rPr>
          <w:rFonts w:ascii="Arial" w:eastAsia="Times New Roman" w:hAnsi="Arial" w:cs="Arial"/>
          <w:color w:val="2F2F2F"/>
          <w:sz w:val="18"/>
          <w:szCs w:val="18"/>
          <w:lang w:eastAsia="es-MX"/>
        </w:rPr>
        <w:t> = 0.</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El permisionario tiene una acreditación de cogeneración eficiente vigente por 3 años por lo que </w:t>
      </w:r>
      <w:r w:rsidRPr="000C258A">
        <w:rPr>
          <w:rFonts w:ascii="Arial" w:eastAsia="Times New Roman" w:hAnsi="Arial" w:cs="Arial"/>
          <w:i/>
          <w:iCs/>
          <w:color w:val="2F2F2F"/>
          <w:sz w:val="18"/>
          <w:szCs w:val="18"/>
          <w:lang w:eastAsia="es-MX"/>
        </w:rPr>
        <w:t>AACE</w:t>
      </w:r>
      <w:r w:rsidRPr="000C258A">
        <w:rPr>
          <w:rFonts w:ascii="Arial" w:eastAsia="Times New Roman" w:hAnsi="Arial" w:cs="Arial"/>
          <w:color w:val="2F2F2F"/>
          <w:sz w:val="18"/>
          <w:szCs w:val="18"/>
          <w:lang w:eastAsia="es-MX"/>
        </w:rPr>
        <w:t> = 3.</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El permisionario se encuentra en su tercer año de acreditación por lo que </w:t>
      </w:r>
      <w:r w:rsidRPr="000C258A">
        <w:rPr>
          <w:rFonts w:ascii="Arial" w:eastAsia="Times New Roman" w:hAnsi="Arial" w:cs="Arial"/>
          <w:i/>
          <w:iCs/>
          <w:color w:val="2F2F2F"/>
          <w:sz w:val="18"/>
          <w:szCs w:val="18"/>
          <w:lang w:eastAsia="es-MX"/>
        </w:rPr>
        <w:t>AAACE</w:t>
      </w:r>
      <w:r w:rsidRPr="000C258A">
        <w:rPr>
          <w:rFonts w:ascii="Arial" w:eastAsia="Times New Roman" w:hAnsi="Arial" w:cs="Arial"/>
          <w:color w:val="2F2F2F"/>
          <w:sz w:val="18"/>
          <w:szCs w:val="18"/>
          <w:lang w:eastAsia="es-MX"/>
        </w:rPr>
        <w:t>=1.</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El permiso no se encuentra bajo esquema de Generación Local o Abasto Aislado, por lo tanto, </w:t>
      </w:r>
      <w:r w:rsidRPr="000C258A">
        <w:rPr>
          <w:rFonts w:ascii="Arial" w:eastAsia="Times New Roman" w:hAnsi="Arial" w:cs="Arial"/>
          <w:i/>
          <w:iCs/>
          <w:color w:val="2F2F2F"/>
          <w:sz w:val="18"/>
          <w:szCs w:val="18"/>
          <w:lang w:eastAsia="es-MX"/>
        </w:rPr>
        <w:t>NP</w:t>
      </w:r>
      <w:r w:rsidRPr="000C258A">
        <w:rPr>
          <w:rFonts w:ascii="Arial" w:eastAsia="Times New Roman" w:hAnsi="Arial" w:cs="Arial"/>
          <w:color w:val="2F2F2F"/>
          <w:sz w:val="18"/>
          <w:szCs w:val="18"/>
          <w:lang w:eastAsia="es-MX"/>
        </w:rPr>
        <w:t>=0.</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La central se interconecta a una compuerta crítica definida por CENACE, en consecuencia, ICC=1.</w:t>
      </w:r>
    </w:p>
    <w:p w:rsidR="000C258A" w:rsidRPr="000C258A" w:rsidRDefault="000C258A" w:rsidP="000C258A">
      <w:pPr>
        <w:shd w:val="clear" w:color="auto" w:fill="FFFFFF"/>
        <w:spacing w:after="101" w:line="240" w:lineRule="auto"/>
        <w:ind w:hanging="360"/>
        <w:jc w:val="both"/>
        <w:rPr>
          <w:rFonts w:ascii="Arial" w:eastAsia="Times New Roman" w:hAnsi="Arial" w:cs="Arial"/>
          <w:color w:val="2F2F2F"/>
          <w:sz w:val="18"/>
          <w:szCs w:val="18"/>
          <w:lang w:eastAsia="es-MX"/>
        </w:rPr>
      </w:pPr>
      <w:r w:rsidRPr="000C258A">
        <w:rPr>
          <w:rFonts w:ascii="Symbol" w:eastAsia="Times New Roman" w:hAnsi="Symbol" w:cs="Arial"/>
          <w:color w:val="2F2F2F"/>
          <w:sz w:val="20"/>
          <w:szCs w:val="20"/>
          <w:lang w:eastAsia="es-MX"/>
        </w:rPr>
        <w:t></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8"/>
          <w:szCs w:val="18"/>
          <w:lang w:eastAsia="es-MX"/>
        </w:rPr>
        <w:t>Existe diferencia entre la capacidad autorizada y la capacidad considerada en el Modelo General de Planeación del CENACE, por ende, </w:t>
      </w:r>
      <w:r w:rsidRPr="000C258A">
        <w:rPr>
          <w:rFonts w:ascii="Arial" w:eastAsia="Times New Roman" w:hAnsi="Arial" w:cs="Arial"/>
          <w:i/>
          <w:iCs/>
          <w:color w:val="2F2F2F"/>
          <w:sz w:val="18"/>
          <w:szCs w:val="18"/>
          <w:lang w:eastAsia="es-MX"/>
        </w:rPr>
        <w:t>DMGP</w:t>
      </w:r>
      <w:r w:rsidRPr="000C258A">
        <w:rPr>
          <w:rFonts w:ascii="Arial" w:eastAsia="Times New Roman" w:hAnsi="Arial" w:cs="Arial"/>
          <w:color w:val="2F2F2F"/>
          <w:sz w:val="18"/>
          <w:szCs w:val="18"/>
          <w:lang w:eastAsia="es-MX"/>
        </w:rPr>
        <w:t>=1.</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Obtención del Índice de Verificación (IV):</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Con los valores de todas las variables se puede calcular el Puntaje total:</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867275" cy="171450"/>
            <wp:effectExtent l="0" t="0" r="9525" b="0"/>
            <wp:docPr id="10" name="Imagen 10" descr="https://www.dof.gob.mx/imagenes_diarios/2023/05/08/MAT/cre11_Cimg_393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dof.gob.mx/imagenes_diarios/2023/05/08/MAT/cre11_Cimg_39378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67275" cy="171450"/>
                    </a:xfrm>
                    <a:prstGeom prst="rect">
                      <a:avLst/>
                    </a:prstGeom>
                    <a:noFill/>
                    <a:ln>
                      <a:noFill/>
                    </a:ln>
                  </pic:spPr>
                </pic:pic>
              </a:graphicData>
            </a:graphic>
          </wp:inline>
        </w:drawing>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lastRenderedPageBreak/>
        <w:t>Se calcula el </w:t>
      </w:r>
      <w:r w:rsidRPr="000C258A">
        <w:rPr>
          <w:rFonts w:ascii="Arial" w:eastAsia="Times New Roman" w:hAnsi="Arial" w:cs="Arial"/>
          <w:i/>
          <w:iCs/>
          <w:color w:val="2F2F2F"/>
          <w:sz w:val="18"/>
          <w:szCs w:val="18"/>
          <w:lang w:eastAsia="es-MX"/>
        </w:rPr>
        <w:t>Puntaje total</w:t>
      </w:r>
      <w:r w:rsidRPr="000C258A">
        <w:rPr>
          <w:rFonts w:ascii="Arial" w:eastAsia="Times New Roman" w:hAnsi="Arial" w:cs="Arial"/>
          <w:color w:val="2F2F2F"/>
          <w:sz w:val="18"/>
          <w:szCs w:val="18"/>
          <w:lang w:eastAsia="es-MX"/>
        </w:rPr>
        <w:t> de igual forma para todos los permisos de generación vigentes para poder realizar una regresión lineal generalizada con una distribución de Poisson del modelo propuesto. Una vez realizada la regresión se obtienen los coeficientes </w:t>
      </w:r>
      <w:r w:rsidRPr="000C258A">
        <w:rPr>
          <w:rFonts w:ascii="Symbol" w:eastAsia="Times New Roman" w:hAnsi="Symbol" w:cs="Arial"/>
          <w:color w:val="2F2F2F"/>
          <w:sz w:val="18"/>
          <w:szCs w:val="18"/>
          <w:lang w:eastAsia="es-MX"/>
        </w:rPr>
        <w:t></w:t>
      </w:r>
      <w:r w:rsidRPr="000C258A">
        <w:rPr>
          <w:rFonts w:ascii="Arial" w:eastAsia="Times New Roman" w:hAnsi="Arial" w:cs="Arial"/>
          <w:color w:val="2F2F2F"/>
          <w:sz w:val="18"/>
          <w:szCs w:val="18"/>
          <w:lang w:eastAsia="es-MX"/>
        </w:rPr>
        <w:t>:</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372100" cy="914400"/>
            <wp:effectExtent l="0" t="0" r="0" b="0"/>
            <wp:docPr id="9" name="Imagen 9" descr="https://www.dof.gob.mx/imagenes_diarios/2023/05/08/MAT/cre11_Cimg_40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dof.gob.mx/imagenes_diarios/2023/05/08/MAT/cre11_Cimg_40081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2100" cy="914400"/>
                    </a:xfrm>
                    <a:prstGeom prst="rect">
                      <a:avLst/>
                    </a:prstGeom>
                    <a:noFill/>
                    <a:ln>
                      <a:noFill/>
                    </a:ln>
                  </pic:spPr>
                </pic:pic>
              </a:graphicData>
            </a:graphic>
          </wp:inline>
        </w:drawing>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Sustituyendo los valores de las variables: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410200" cy="762000"/>
            <wp:effectExtent l="0" t="0" r="0" b="0"/>
            <wp:docPr id="8" name="Imagen 8" descr="https://www.dof.gob.mx/imagenes_diarios/2023/05/08/MAT/cre11_Cimg_441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dof.gob.mx/imagenes_diarios/2023/05/08/MAT/cre11_Cimg_44164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10200" cy="762000"/>
                    </a:xfrm>
                    <a:prstGeom prst="rect">
                      <a:avLst/>
                    </a:prstGeom>
                    <a:noFill/>
                    <a:ln>
                      <a:noFill/>
                    </a:ln>
                  </pic:spPr>
                </pic:pic>
              </a:graphicData>
            </a:graphic>
          </wp:inline>
        </w:drawing>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Despejando la ecuación anterior para calcular el valor del Ajuste:</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314575" cy="171450"/>
            <wp:effectExtent l="0" t="0" r="9525" b="0"/>
            <wp:docPr id="7" name="Imagen 7" descr="https://www.dof.gob.mx/imagenes_diarios/2023/05/08/MAT/cre11_Cimg_47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dof.gob.mx/imagenes_diarios/2023/05/08/MAT/cre11_Cimg_47100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4575" cy="171450"/>
                    </a:xfrm>
                    <a:prstGeom prst="rect">
                      <a:avLst/>
                    </a:prstGeom>
                    <a:noFill/>
                    <a:ln>
                      <a:noFill/>
                    </a:ln>
                  </pic:spPr>
                </pic:pic>
              </a:graphicData>
            </a:graphic>
          </wp:inline>
        </w:drawing>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Finalmente, se normaliza el valor del Ajuste de 0 a 10 y se obtiene el Índice de Verificación:</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914525" cy="371475"/>
            <wp:effectExtent l="0" t="0" r="9525" b="9525"/>
            <wp:docPr id="6" name="Imagen 6" descr="https://www.dof.gob.mx/imagenes_diarios/2023/05/08/MAT/cre11_Cimg_477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dof.gob.mx/imagenes_diarios/2023/05/08/MAT/cre11_Cimg_47778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4525" cy="371475"/>
                    </a:xfrm>
                    <a:prstGeom prst="rect">
                      <a:avLst/>
                    </a:prstGeom>
                    <a:noFill/>
                    <a:ln>
                      <a:noFill/>
                    </a:ln>
                  </pic:spPr>
                </pic:pic>
              </a:graphicData>
            </a:graphic>
          </wp:inline>
        </w:drawing>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Ejemplo 2: Permisionario sujeto a muestreo para determinar visita de verificación.</w:t>
      </w:r>
    </w:p>
    <w:tbl>
      <w:tblPr>
        <w:tblW w:w="0" w:type="auto"/>
        <w:tblCellMar>
          <w:top w:w="15" w:type="dxa"/>
          <w:left w:w="15" w:type="dxa"/>
          <w:bottom w:w="15" w:type="dxa"/>
          <w:right w:w="15" w:type="dxa"/>
        </w:tblCellMar>
        <w:tblLook w:val="04A0" w:firstRow="1" w:lastRow="0" w:firstColumn="1" w:lastColumn="0" w:noHBand="0" w:noVBand="1"/>
      </w:tblPr>
      <w:tblGrid>
        <w:gridCol w:w="405"/>
        <w:gridCol w:w="4019"/>
        <w:gridCol w:w="4554"/>
      </w:tblGrid>
      <w:tr w:rsidR="000C258A" w:rsidRPr="000C258A" w:rsidTr="000C258A">
        <w:trPr>
          <w:trHeight w:val="332"/>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Concepto</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Descripción</w:t>
            </w:r>
          </w:p>
        </w:tc>
      </w:tr>
      <w:tr w:rsidR="000C258A" w:rsidRPr="000C258A" w:rsidTr="000C258A">
        <w:trPr>
          <w:trHeight w:val="317"/>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Permisionario</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Permisionario PIE</w:t>
            </w:r>
          </w:p>
        </w:tc>
      </w:tr>
      <w:tr w:rsidR="000C258A" w:rsidRPr="000C258A" w:rsidTr="000C258A">
        <w:trPr>
          <w:trHeight w:val="317"/>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2</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Número de permiso</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E/XX/PIE/XX</w:t>
            </w:r>
          </w:p>
        </w:tc>
      </w:tr>
      <w:tr w:rsidR="000C258A" w:rsidRPr="000C258A" w:rsidTr="000C258A">
        <w:trPr>
          <w:trHeight w:val="317"/>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Aumento de capacidad autorizada</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aumento de capacidad</w:t>
            </w:r>
          </w:p>
        </w:tc>
      </w:tr>
      <w:tr w:rsidR="000C258A" w:rsidRPr="000C258A" w:rsidTr="000C258A">
        <w:trPr>
          <w:trHeight w:val="317"/>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4</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Número de socios en el otorgamiento</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aplica</w:t>
            </w:r>
          </w:p>
        </w:tc>
      </w:tr>
      <w:tr w:rsidR="000C258A" w:rsidRPr="000C258A" w:rsidTr="000C258A">
        <w:trPr>
          <w:trHeight w:val="317"/>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5</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Número de socios actuales</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aplica</w:t>
            </w:r>
          </w:p>
        </w:tc>
      </w:tr>
      <w:tr w:rsidR="000C258A" w:rsidRPr="000C258A" w:rsidTr="000C258A">
        <w:trPr>
          <w:trHeight w:val="581"/>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6</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Modificaciones referentes al aprovechamiento de la energía eléctrica generada</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aplica</w:t>
            </w:r>
          </w:p>
        </w:tc>
      </w:tr>
      <w:tr w:rsidR="000C258A" w:rsidRPr="000C258A" w:rsidTr="000C258A">
        <w:trPr>
          <w:trHeight w:val="341"/>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7</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Modificaciones de la descripción de las instalaciones</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modificación de las instalaciones</w:t>
            </w:r>
          </w:p>
        </w:tc>
      </w:tr>
      <w:tr w:rsidR="000C258A" w:rsidRPr="000C258A" w:rsidTr="000C258A">
        <w:trPr>
          <w:trHeight w:val="341"/>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8</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Transferencia del permiso</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transferencia</w:t>
            </w:r>
          </w:p>
        </w:tc>
      </w:tr>
      <w:tr w:rsidR="000C258A" w:rsidRPr="000C258A" w:rsidTr="000C258A">
        <w:trPr>
          <w:trHeight w:val="341"/>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9</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Exclusión de capacidad</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exclusión de capacidad</w:t>
            </w:r>
          </w:p>
        </w:tc>
      </w:tr>
      <w:tr w:rsidR="000C258A" w:rsidRPr="000C258A" w:rsidTr="000C258A">
        <w:trPr>
          <w:trHeight w:val="341"/>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10</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Número incumplimientos de pagos por supervisión anual</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adeudos</w:t>
            </w:r>
          </w:p>
        </w:tc>
      </w:tr>
      <w:tr w:rsidR="000C258A" w:rsidRPr="000C258A" w:rsidTr="000C258A">
        <w:trPr>
          <w:trHeight w:val="341"/>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11</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Número incumplimientos de reportes de operación</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Sin incumplimiento de reportes</w:t>
            </w:r>
          </w:p>
        </w:tc>
      </w:tr>
      <w:tr w:rsidR="000C258A" w:rsidRPr="000C258A" w:rsidTr="000C258A">
        <w:trPr>
          <w:trHeight w:val="341"/>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12</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Cumplimiento al programa de obras</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Permiso en operación</w:t>
            </w:r>
          </w:p>
        </w:tc>
      </w:tr>
      <w:tr w:rsidR="000C258A" w:rsidRPr="000C258A" w:rsidTr="000C258A">
        <w:trPr>
          <w:trHeight w:val="341"/>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13</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Años de acreditación de cogeneración eficiente</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aplica</w:t>
            </w:r>
          </w:p>
        </w:tc>
      </w:tr>
      <w:tr w:rsidR="000C258A" w:rsidRPr="000C258A" w:rsidTr="000C258A">
        <w:trPr>
          <w:trHeight w:val="341"/>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14</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Año actual de acreditación de cogeneración eficiente</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aplica</w:t>
            </w:r>
          </w:p>
        </w:tc>
      </w:tr>
      <w:tr w:rsidR="000C258A" w:rsidRPr="000C258A" w:rsidTr="000C258A">
        <w:trPr>
          <w:trHeight w:val="581"/>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lastRenderedPageBreak/>
              <w:t>15</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Necesidades Propias</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se encuentra bajo esquema de Generación Local o Abasto Aislado</w:t>
            </w:r>
          </w:p>
        </w:tc>
      </w:tr>
      <w:tr w:rsidR="000C258A" w:rsidRPr="000C258A" w:rsidTr="000C258A">
        <w:trPr>
          <w:trHeight w:val="581"/>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16</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Interconexión en compuerta critica</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se interconecta a una compuerta crítica definida por CENACE.</w:t>
            </w:r>
          </w:p>
        </w:tc>
      </w:tr>
      <w:tr w:rsidR="000C258A" w:rsidRPr="000C258A" w:rsidTr="000C258A">
        <w:trPr>
          <w:trHeight w:val="836"/>
        </w:trPr>
        <w:tc>
          <w:tcPr>
            <w:tcW w:w="7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17</w:t>
            </w:r>
          </w:p>
        </w:tc>
        <w:tc>
          <w:tcPr>
            <w:tcW w:w="47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Diferencia en capacidad con MGP</w:t>
            </w:r>
          </w:p>
        </w:tc>
        <w:tc>
          <w:tcPr>
            <w:tcW w:w="34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No hay diferencia entre la capacidad autorizada y la considerada en el MGP de CENACE.</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Valor de variables: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Con los datos de la tabla anterior se observa que a todas las variables les corresponde un valor de 0. Por lo que el puntaje total es:</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343025" cy="200025"/>
            <wp:effectExtent l="0" t="0" r="9525" b="9525"/>
            <wp:docPr id="5" name="Imagen 5" descr="https://www.dof.gob.mx/imagenes_diarios/2023/05/08/MAT/cre11_Cimg_488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dof.gob.mx/imagenes_diarios/2023/05/08/MAT/cre11_Cimg_48849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Este permisionario será un elemento del conjunto de permisionarios que no está dentro de los permisos con mayor </w:t>
      </w:r>
      <w:r w:rsidRPr="000C258A">
        <w:rPr>
          <w:rFonts w:ascii="Arial" w:eastAsia="Times New Roman" w:hAnsi="Arial" w:cs="Arial"/>
          <w:i/>
          <w:iCs/>
          <w:color w:val="2F2F2F"/>
          <w:sz w:val="18"/>
          <w:szCs w:val="18"/>
          <w:lang w:eastAsia="es-MX"/>
        </w:rPr>
        <w:t>IV </w:t>
      </w:r>
      <w:r w:rsidRPr="000C258A">
        <w:rPr>
          <w:rFonts w:ascii="Arial" w:eastAsia="Times New Roman" w:hAnsi="Arial" w:cs="Arial"/>
          <w:color w:val="2F2F2F"/>
          <w:sz w:val="18"/>
          <w:szCs w:val="18"/>
          <w:lang w:eastAsia="es-MX"/>
        </w:rPr>
        <w:t>y de los cuales se obtendrá un subconjunto mediante un muestreo aleatorio simple.</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Muestreo aleatorio simple</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1. Primero se en enlistan los números de permiso de generación de energía eléctrica, números de UIIE y permisos de suministro que no corresponden a los de mayor </w:t>
      </w:r>
      <w:r w:rsidRPr="000C258A">
        <w:rPr>
          <w:rFonts w:ascii="Arial" w:eastAsia="Times New Roman" w:hAnsi="Arial" w:cs="Arial"/>
          <w:i/>
          <w:iCs/>
          <w:color w:val="2F2F2F"/>
          <w:sz w:val="18"/>
          <w:szCs w:val="18"/>
          <w:lang w:eastAsia="es-MX"/>
        </w:rPr>
        <w:t>IV </w:t>
      </w:r>
      <w:r w:rsidRPr="000C258A">
        <w:rPr>
          <w:rFonts w:ascii="Arial" w:eastAsia="Times New Roman" w:hAnsi="Arial" w:cs="Arial"/>
          <w:color w:val="2F2F2F"/>
          <w:sz w:val="18"/>
          <w:szCs w:val="18"/>
          <w:lang w:eastAsia="es-MX"/>
        </w:rPr>
        <w:t>con base en</w:t>
      </w:r>
      <w:r w:rsidRPr="000C258A">
        <w:rPr>
          <w:rFonts w:ascii="Arial" w:eastAsia="Times New Roman" w:hAnsi="Arial" w:cs="Arial"/>
          <w:i/>
          <w:iCs/>
          <w:color w:val="2F2F2F"/>
          <w:sz w:val="18"/>
          <w:szCs w:val="18"/>
          <w:lang w:eastAsia="es-MX"/>
        </w:rPr>
        <w:t> </w:t>
      </w:r>
      <w:r w:rsidRPr="000C258A">
        <w:rPr>
          <w:rFonts w:ascii="Arial" w:eastAsia="Times New Roman" w:hAnsi="Arial" w:cs="Arial"/>
          <w:color w:val="2F2F2F"/>
          <w:sz w:val="18"/>
          <w:szCs w:val="18"/>
          <w:lang w:eastAsia="es-MX"/>
        </w:rPr>
        <w:t>la Tabla 1, después se ordenan alfabéticamente y se enumeran:</w:t>
      </w:r>
    </w:p>
    <w:tbl>
      <w:tblPr>
        <w:tblW w:w="0" w:type="auto"/>
        <w:tblCellMar>
          <w:top w:w="15" w:type="dxa"/>
          <w:left w:w="15" w:type="dxa"/>
          <w:bottom w:w="15" w:type="dxa"/>
          <w:right w:w="15" w:type="dxa"/>
        </w:tblCellMar>
        <w:tblLook w:val="04A0" w:firstRow="1" w:lastRow="0" w:firstColumn="1" w:lastColumn="0" w:noHBand="0" w:noVBand="1"/>
      </w:tblPr>
      <w:tblGrid>
        <w:gridCol w:w="2064"/>
        <w:gridCol w:w="2583"/>
      </w:tblGrid>
      <w:tr w:rsidR="000C258A" w:rsidRPr="000C258A" w:rsidTr="000C258A">
        <w:trPr>
          <w:trHeight w:val="596"/>
        </w:trPr>
        <w:tc>
          <w:tcPr>
            <w:tcW w:w="2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Enumeración</w:t>
            </w:r>
          </w:p>
        </w:tc>
        <w:tc>
          <w:tcPr>
            <w:tcW w:w="258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Número de permiso o</w:t>
            </w:r>
            <w:r w:rsidRPr="000C258A">
              <w:rPr>
                <w:rFonts w:ascii="Times New Roman" w:eastAsia="Times New Roman" w:hAnsi="Times New Roman" w:cs="Times New Roman"/>
                <w:color w:val="000000"/>
                <w:sz w:val="18"/>
                <w:szCs w:val="18"/>
                <w:lang w:eastAsia="es-MX"/>
              </w:rPr>
              <w:br/>
            </w:r>
            <w:r w:rsidRPr="000C258A">
              <w:rPr>
                <w:rFonts w:ascii="Arial" w:eastAsia="Times New Roman" w:hAnsi="Arial" w:cs="Arial"/>
                <w:color w:val="000000"/>
                <w:sz w:val="18"/>
                <w:szCs w:val="18"/>
                <w:lang w:eastAsia="es-MX"/>
              </w:rPr>
              <w:t>acreditación</w:t>
            </w:r>
          </w:p>
        </w:tc>
      </w:tr>
      <w:tr w:rsidR="000C258A" w:rsidRPr="000C258A" w:rsidTr="000C258A">
        <w:trPr>
          <w:trHeight w:val="341"/>
        </w:trPr>
        <w:tc>
          <w:tcPr>
            <w:tcW w:w="2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w:t>
            </w:r>
          </w:p>
        </w:tc>
        <w:tc>
          <w:tcPr>
            <w:tcW w:w="258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Permiso 1</w:t>
            </w:r>
          </w:p>
        </w:tc>
      </w:tr>
      <w:tr w:rsidR="000C258A" w:rsidRPr="000C258A" w:rsidTr="000C258A">
        <w:trPr>
          <w:trHeight w:val="341"/>
        </w:trPr>
        <w:tc>
          <w:tcPr>
            <w:tcW w:w="2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b/>
                <w:bCs/>
                <w:color w:val="000000"/>
                <w:sz w:val="18"/>
                <w:szCs w:val="18"/>
                <w:lang w:eastAsia="es-MX"/>
              </w:rPr>
              <w:t>...</w:t>
            </w:r>
          </w:p>
        </w:tc>
        <w:tc>
          <w:tcPr>
            <w:tcW w:w="258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b/>
                <w:bCs/>
                <w:color w:val="000000"/>
                <w:sz w:val="18"/>
                <w:szCs w:val="18"/>
                <w:lang w:eastAsia="es-MX"/>
              </w:rPr>
              <w:t>...</w:t>
            </w:r>
          </w:p>
        </w:tc>
      </w:tr>
      <w:tr w:rsidR="000C258A" w:rsidRPr="000C258A" w:rsidTr="000C258A">
        <w:trPr>
          <w:trHeight w:val="341"/>
        </w:trPr>
        <w:tc>
          <w:tcPr>
            <w:tcW w:w="2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159</w:t>
            </w:r>
          </w:p>
        </w:tc>
        <w:tc>
          <w:tcPr>
            <w:tcW w:w="258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E/XX/PIE/XX</w:t>
            </w:r>
          </w:p>
        </w:tc>
      </w:tr>
      <w:tr w:rsidR="000C258A" w:rsidRPr="000C258A" w:rsidTr="000C258A">
        <w:trPr>
          <w:trHeight w:val="341"/>
        </w:trPr>
        <w:tc>
          <w:tcPr>
            <w:tcW w:w="2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b/>
                <w:bCs/>
                <w:color w:val="000000"/>
                <w:sz w:val="18"/>
                <w:szCs w:val="18"/>
                <w:lang w:eastAsia="es-MX"/>
              </w:rPr>
              <w:t>...</w:t>
            </w:r>
          </w:p>
        </w:tc>
        <w:tc>
          <w:tcPr>
            <w:tcW w:w="258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b/>
                <w:bCs/>
                <w:color w:val="000000"/>
                <w:sz w:val="18"/>
                <w:szCs w:val="18"/>
                <w:lang w:eastAsia="es-MX"/>
              </w:rPr>
              <w:t>...</w:t>
            </w:r>
          </w:p>
        </w:tc>
      </w:tr>
      <w:tr w:rsidR="000C258A" w:rsidRPr="000C258A" w:rsidTr="000C258A">
        <w:trPr>
          <w:trHeight w:val="356"/>
        </w:trPr>
        <w:tc>
          <w:tcPr>
            <w:tcW w:w="2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center"/>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318</w:t>
            </w:r>
          </w:p>
        </w:tc>
        <w:tc>
          <w:tcPr>
            <w:tcW w:w="258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0C258A" w:rsidRPr="000C258A" w:rsidRDefault="000C258A" w:rsidP="000C258A">
            <w:pPr>
              <w:spacing w:after="101" w:line="240" w:lineRule="auto"/>
              <w:jc w:val="both"/>
              <w:rPr>
                <w:rFonts w:ascii="Times New Roman" w:eastAsia="Times New Roman" w:hAnsi="Times New Roman" w:cs="Times New Roman"/>
                <w:color w:val="000000"/>
                <w:sz w:val="18"/>
                <w:szCs w:val="18"/>
                <w:lang w:eastAsia="es-MX"/>
              </w:rPr>
            </w:pPr>
            <w:r w:rsidRPr="000C258A">
              <w:rPr>
                <w:rFonts w:ascii="Arial" w:eastAsia="Times New Roman" w:hAnsi="Arial" w:cs="Arial"/>
                <w:color w:val="000000"/>
                <w:sz w:val="18"/>
                <w:szCs w:val="18"/>
                <w:lang w:eastAsia="es-MX"/>
              </w:rPr>
              <w:t>Permiso 318</w:t>
            </w:r>
          </w:p>
        </w:tc>
      </w:tr>
    </w:tbl>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2. Mediante una herramienta informática se pueden generar números aleatorios. Por ejemplo, en Excel mediante la función =</w:t>
      </w:r>
      <w:proofErr w:type="gramStart"/>
      <w:r w:rsidRPr="000C258A">
        <w:rPr>
          <w:rFonts w:ascii="Arial" w:eastAsia="Times New Roman" w:hAnsi="Arial" w:cs="Arial"/>
          <w:color w:val="2F2F2F"/>
          <w:sz w:val="18"/>
          <w:szCs w:val="18"/>
          <w:lang w:eastAsia="es-MX"/>
        </w:rPr>
        <w:t>ALEATORIO.ENTRE(</w:t>
      </w:r>
      <w:proofErr w:type="gramEnd"/>
      <w:r w:rsidRPr="000C258A">
        <w:rPr>
          <w:rFonts w:ascii="Arial" w:eastAsia="Times New Roman" w:hAnsi="Arial" w:cs="Arial"/>
          <w:color w:val="2F2F2F"/>
          <w:sz w:val="18"/>
          <w:szCs w:val="18"/>
          <w:lang w:eastAsia="es-MX"/>
        </w:rPr>
        <w:t>inferior, superior) es posible obtener números aleatorios entre dos límites. Para este ejemplo se tienen 318 permisos por lo que la formula a utilizar es:</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714625" cy="219075"/>
            <wp:effectExtent l="0" t="0" r="9525" b="9525"/>
            <wp:docPr id="4" name="Imagen 4" descr="https://www.dof.gob.mx/imagenes_diarios/2023/05/08/MAT/cre11_Cimg_493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dof.gob.mx/imagenes_diarios/2023/05/08/MAT/cre11_Cimg_49339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4625" cy="219075"/>
                    </a:xfrm>
                    <a:prstGeom prst="rect">
                      <a:avLst/>
                    </a:prstGeom>
                    <a:noFill/>
                    <a:ln>
                      <a:noFill/>
                    </a:ln>
                  </pic:spPr>
                </pic:pic>
              </a:graphicData>
            </a:graphic>
          </wp:inline>
        </w:drawing>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3. Se toma el permiso con enumeración 159 el cual es </w:t>
      </w:r>
      <w:r w:rsidRPr="000C258A">
        <w:rPr>
          <w:rFonts w:ascii="Arial" w:eastAsia="Times New Roman" w:hAnsi="Arial" w:cs="Arial"/>
          <w:color w:val="000000"/>
          <w:sz w:val="18"/>
          <w:szCs w:val="18"/>
          <w:lang w:eastAsia="es-MX"/>
        </w:rPr>
        <w:t>E/57/PIE/97 de Aes Mérida III, S. de R. L. de C. V. y estaría sujeto a una visita de verificación dentro </w:t>
      </w:r>
      <w:proofErr w:type="gramStart"/>
      <w:r w:rsidRPr="000C258A">
        <w:rPr>
          <w:rFonts w:ascii="Arial" w:eastAsia="Times New Roman" w:hAnsi="Arial" w:cs="Arial"/>
          <w:color w:val="000000"/>
          <w:sz w:val="18"/>
          <w:szCs w:val="18"/>
          <w:lang w:eastAsia="es-MX"/>
        </w:rPr>
        <w:t>del</w:t>
      </w:r>
      <w:r w:rsidRPr="000C258A">
        <w:rPr>
          <w:rFonts w:ascii="Arial" w:eastAsia="Times New Roman" w:hAnsi="Arial" w:cs="Arial"/>
          <w:color w:val="2F2F2F"/>
          <w:sz w:val="18"/>
          <w:szCs w:val="18"/>
          <w:lang w:eastAsia="es-MX"/>
        </w:rPr>
        <w:t> </w:t>
      </w:r>
      <w:proofErr w:type="gramEnd"/>
      <w:r>
        <w:rPr>
          <w:rFonts w:ascii="Arial" w:eastAsia="Times New Roman" w:hAnsi="Arial" w:cs="Arial"/>
          <w:noProof/>
          <w:color w:val="2F2F2F"/>
          <w:sz w:val="18"/>
          <w:szCs w:val="18"/>
          <w:lang w:eastAsia="es-MX"/>
        </w:rPr>
        <w:drawing>
          <wp:inline distT="0" distB="0" distL="0" distR="0">
            <wp:extent cx="2152650" cy="180975"/>
            <wp:effectExtent l="0" t="0" r="0" b="9525"/>
            <wp:docPr id="3" name="Imagen 3" descr="https://www.dof.gob.mx/imagenes_diarios/2023/05/08/MAT/cre11_Cimg_500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dof.gob.mx/imagenes_diarios/2023/05/08/MAT/cre11_Cimg_50033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52650" cy="180975"/>
                    </a:xfrm>
                    <a:prstGeom prst="rect">
                      <a:avLst/>
                    </a:prstGeom>
                    <a:noFill/>
                    <a:ln>
                      <a:noFill/>
                    </a:ln>
                  </pic:spPr>
                </pic:pic>
              </a:graphicData>
            </a:graphic>
          </wp:inline>
        </w:drawing>
      </w:r>
      <w:r w:rsidRPr="000C258A">
        <w:rPr>
          <w:rFonts w:ascii="Arial" w:eastAsia="Times New Roman" w:hAnsi="Arial" w:cs="Arial"/>
          <w:color w:val="2F2F2F"/>
          <w:sz w:val="18"/>
          <w:szCs w:val="18"/>
          <w:lang w:eastAsia="es-MX"/>
        </w:rPr>
        <w:t>.</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b/>
          <w:bCs/>
          <w:color w:val="2F2F2F"/>
          <w:sz w:val="18"/>
          <w:szCs w:val="18"/>
          <w:lang w:eastAsia="es-MX"/>
        </w:rPr>
        <w:t>ANEXO III. TABLA DE ÁREAS BAJO LA CURVA DE DISTRIBUCIÓN NORMAL3</w:t>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6734175"/>
            <wp:effectExtent l="0" t="0" r="0" b="9525"/>
            <wp:docPr id="2" name="Imagen 2" descr="https://www.dof.gob.mx/imagenes_diarios/2023/05/08/MAT/cre11_Cimg_506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dof.gob.mx/imagenes_diarios/2023/05/08/MAT/cre11_Cimg_50610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9750" cy="6734175"/>
                    </a:xfrm>
                    <a:prstGeom prst="rect">
                      <a:avLst/>
                    </a:prstGeom>
                    <a:noFill/>
                    <a:ln>
                      <a:noFill/>
                    </a:ln>
                  </pic:spPr>
                </pic:pic>
              </a:graphicData>
            </a:graphic>
          </wp:inline>
        </w:drawing>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5981700"/>
            <wp:effectExtent l="0" t="0" r="9525" b="0"/>
            <wp:docPr id="1" name="Imagen 1" descr="https://www.dof.gob.mx/imagenes_diarios/2023/05/08/MAT/cre11_Cimg_1665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dof.gob.mx/imagenes_diarios/2023/05/08/MAT/cre11_Cimg_166583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0225" cy="5981700"/>
                    </a:xfrm>
                    <a:prstGeom prst="rect">
                      <a:avLst/>
                    </a:prstGeom>
                    <a:noFill/>
                    <a:ln>
                      <a:noFill/>
                    </a:ln>
                  </pic:spPr>
                </pic:pic>
              </a:graphicData>
            </a:graphic>
          </wp:inline>
        </w:drawing>
      </w:r>
    </w:p>
    <w:p w:rsidR="000C258A" w:rsidRPr="000C258A" w:rsidRDefault="000C258A" w:rsidP="000C258A">
      <w:pPr>
        <w:shd w:val="clear" w:color="auto" w:fill="FFFFFF"/>
        <w:spacing w:after="101" w:line="240" w:lineRule="auto"/>
        <w:jc w:val="center"/>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________________________________________</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8"/>
          <w:szCs w:val="18"/>
          <w:lang w:eastAsia="es-MX"/>
        </w:rPr>
      </w:pPr>
      <w:r w:rsidRPr="000C258A">
        <w:rPr>
          <w:rFonts w:ascii="Arial" w:eastAsia="Times New Roman" w:hAnsi="Arial" w:cs="Arial"/>
          <w:color w:val="2F2F2F"/>
          <w:sz w:val="18"/>
          <w:szCs w:val="18"/>
          <w:lang w:eastAsia="es-MX"/>
        </w:rPr>
        <w:t> </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6"/>
          <w:szCs w:val="16"/>
          <w:lang w:eastAsia="es-MX"/>
        </w:rPr>
      </w:pPr>
      <w:r w:rsidRPr="000C258A">
        <w:rPr>
          <w:rFonts w:ascii="Arial" w:eastAsia="Times New Roman" w:hAnsi="Arial" w:cs="Arial"/>
          <w:color w:val="2F2F2F"/>
          <w:sz w:val="16"/>
          <w:szCs w:val="16"/>
          <w:lang w:eastAsia="es-MX"/>
        </w:rPr>
        <w:t>1</w:t>
      </w:r>
      <w:r w:rsidRPr="000C258A">
        <w:rPr>
          <w:rFonts w:ascii="Arial" w:eastAsia="Times New Roman" w:hAnsi="Arial" w:cs="Arial"/>
          <w:color w:val="2F2F2F"/>
          <w:sz w:val="20"/>
          <w:szCs w:val="20"/>
          <w:lang w:eastAsia="es-MX"/>
        </w:rPr>
        <w:t>     </w:t>
      </w:r>
      <w:r w:rsidRPr="000C258A">
        <w:rPr>
          <w:rFonts w:ascii="Arial" w:eastAsia="Times New Roman" w:hAnsi="Arial" w:cs="Arial"/>
          <w:color w:val="2F2F2F"/>
          <w:sz w:val="16"/>
          <w:szCs w:val="16"/>
          <w:lang w:eastAsia="es-MX"/>
        </w:rPr>
        <w:t xml:space="preserve">Long, J.S. and </w:t>
      </w:r>
      <w:proofErr w:type="spellStart"/>
      <w:r w:rsidRPr="000C258A">
        <w:rPr>
          <w:rFonts w:ascii="Arial" w:eastAsia="Times New Roman" w:hAnsi="Arial" w:cs="Arial"/>
          <w:color w:val="2F2F2F"/>
          <w:sz w:val="16"/>
          <w:szCs w:val="16"/>
          <w:lang w:eastAsia="es-MX"/>
        </w:rPr>
        <w:t>Freese</w:t>
      </w:r>
      <w:proofErr w:type="spellEnd"/>
      <w:r w:rsidRPr="000C258A">
        <w:rPr>
          <w:rFonts w:ascii="Arial" w:eastAsia="Times New Roman" w:hAnsi="Arial" w:cs="Arial"/>
          <w:color w:val="2F2F2F"/>
          <w:sz w:val="16"/>
          <w:szCs w:val="16"/>
          <w:lang w:eastAsia="es-MX"/>
        </w:rPr>
        <w:t xml:space="preserve">, J. </w:t>
      </w:r>
      <w:proofErr w:type="spellStart"/>
      <w:r w:rsidRPr="000C258A">
        <w:rPr>
          <w:rFonts w:ascii="Arial" w:eastAsia="Times New Roman" w:hAnsi="Arial" w:cs="Arial"/>
          <w:color w:val="2F2F2F"/>
          <w:sz w:val="16"/>
          <w:szCs w:val="16"/>
          <w:lang w:eastAsia="es-MX"/>
        </w:rPr>
        <w:t>Regression</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Models</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for</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Categorical</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Dependent</w:t>
      </w:r>
      <w:proofErr w:type="spellEnd"/>
      <w:r w:rsidRPr="000C258A">
        <w:rPr>
          <w:rFonts w:ascii="Arial" w:eastAsia="Times New Roman" w:hAnsi="Arial" w:cs="Arial"/>
          <w:color w:val="2F2F2F"/>
          <w:sz w:val="16"/>
          <w:szCs w:val="16"/>
          <w:lang w:eastAsia="es-MX"/>
        </w:rPr>
        <w:t xml:space="preserve"> Variables </w:t>
      </w:r>
      <w:proofErr w:type="spellStart"/>
      <w:r w:rsidRPr="000C258A">
        <w:rPr>
          <w:rFonts w:ascii="Arial" w:eastAsia="Times New Roman" w:hAnsi="Arial" w:cs="Arial"/>
          <w:color w:val="2F2F2F"/>
          <w:sz w:val="16"/>
          <w:szCs w:val="16"/>
          <w:lang w:eastAsia="es-MX"/>
        </w:rPr>
        <w:t>Using</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Stata</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Third</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Edition</w:t>
      </w:r>
      <w:proofErr w:type="spellEnd"/>
      <w:r w:rsidRPr="000C258A">
        <w:rPr>
          <w:rFonts w:ascii="Arial" w:eastAsia="Times New Roman" w:hAnsi="Arial" w:cs="Arial"/>
          <w:color w:val="2F2F2F"/>
          <w:sz w:val="16"/>
          <w:szCs w:val="16"/>
          <w:lang w:eastAsia="es-MX"/>
        </w:rPr>
        <w:t>. A </w:t>
      </w:r>
      <w:proofErr w:type="spellStart"/>
      <w:r w:rsidRPr="000C258A">
        <w:rPr>
          <w:rFonts w:ascii="Arial" w:eastAsia="Times New Roman" w:hAnsi="Arial" w:cs="Arial"/>
          <w:color w:val="2F2F2F"/>
          <w:sz w:val="16"/>
          <w:szCs w:val="16"/>
          <w:lang w:eastAsia="es-MX"/>
        </w:rPr>
        <w:t>Stata</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Press</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Publication</w:t>
      </w:r>
      <w:proofErr w:type="spellEnd"/>
      <w:r w:rsidRPr="000C258A">
        <w:rPr>
          <w:rFonts w:ascii="Arial" w:eastAsia="Times New Roman" w:hAnsi="Arial" w:cs="Arial"/>
          <w:color w:val="2F2F2F"/>
          <w:sz w:val="16"/>
          <w:szCs w:val="16"/>
          <w:lang w:eastAsia="es-MX"/>
        </w:rPr>
        <w:t xml:space="preserve">, USA. 2014; Long, J.S. </w:t>
      </w:r>
      <w:proofErr w:type="spellStart"/>
      <w:r w:rsidRPr="000C258A">
        <w:rPr>
          <w:rFonts w:ascii="Arial" w:eastAsia="Times New Roman" w:hAnsi="Arial" w:cs="Arial"/>
          <w:color w:val="2F2F2F"/>
          <w:sz w:val="16"/>
          <w:szCs w:val="16"/>
          <w:lang w:eastAsia="es-MX"/>
        </w:rPr>
        <w:t>Regression</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Models</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for</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Categorical</w:t>
      </w:r>
      <w:proofErr w:type="spellEnd"/>
      <w:r w:rsidRPr="000C258A">
        <w:rPr>
          <w:rFonts w:ascii="Arial" w:eastAsia="Times New Roman" w:hAnsi="Arial" w:cs="Arial"/>
          <w:color w:val="2F2F2F"/>
          <w:sz w:val="16"/>
          <w:szCs w:val="16"/>
          <w:lang w:eastAsia="es-MX"/>
        </w:rPr>
        <w:t xml:space="preserve"> and </w:t>
      </w:r>
      <w:proofErr w:type="spellStart"/>
      <w:r w:rsidRPr="000C258A">
        <w:rPr>
          <w:rFonts w:ascii="Arial" w:eastAsia="Times New Roman" w:hAnsi="Arial" w:cs="Arial"/>
          <w:color w:val="2F2F2F"/>
          <w:sz w:val="16"/>
          <w:szCs w:val="16"/>
          <w:lang w:eastAsia="es-MX"/>
        </w:rPr>
        <w:t>Limited</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Dependent</w:t>
      </w:r>
      <w:proofErr w:type="spellEnd"/>
      <w:r w:rsidRPr="000C258A">
        <w:rPr>
          <w:rFonts w:ascii="Arial" w:eastAsia="Times New Roman" w:hAnsi="Arial" w:cs="Arial"/>
          <w:color w:val="2F2F2F"/>
          <w:sz w:val="16"/>
          <w:szCs w:val="16"/>
          <w:lang w:eastAsia="es-MX"/>
        </w:rPr>
        <w:t xml:space="preserve"> Variables, </w:t>
      </w:r>
      <w:proofErr w:type="spellStart"/>
      <w:r w:rsidRPr="000C258A">
        <w:rPr>
          <w:rFonts w:ascii="Arial" w:eastAsia="Times New Roman" w:hAnsi="Arial" w:cs="Arial"/>
          <w:color w:val="2F2F2F"/>
          <w:sz w:val="16"/>
          <w:szCs w:val="16"/>
          <w:lang w:eastAsia="es-MX"/>
        </w:rPr>
        <w:t>Advanced</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Quantitative</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Techniques</w:t>
      </w:r>
      <w:proofErr w:type="spellEnd"/>
      <w:r w:rsidRPr="000C258A">
        <w:rPr>
          <w:rFonts w:ascii="Arial" w:eastAsia="Times New Roman" w:hAnsi="Arial" w:cs="Arial"/>
          <w:color w:val="2F2F2F"/>
          <w:sz w:val="16"/>
          <w:szCs w:val="16"/>
          <w:lang w:eastAsia="es-MX"/>
        </w:rPr>
        <w:t xml:space="preserve">, USA. 1997; y </w:t>
      </w:r>
      <w:proofErr w:type="spellStart"/>
      <w:r w:rsidRPr="000C258A">
        <w:rPr>
          <w:rFonts w:ascii="Arial" w:eastAsia="Times New Roman" w:hAnsi="Arial" w:cs="Arial"/>
          <w:color w:val="2F2F2F"/>
          <w:sz w:val="16"/>
          <w:szCs w:val="16"/>
          <w:lang w:eastAsia="es-MX"/>
        </w:rPr>
        <w:t>Tutz</w:t>
      </w:r>
      <w:proofErr w:type="spellEnd"/>
      <w:r w:rsidRPr="000C258A">
        <w:rPr>
          <w:rFonts w:ascii="Arial" w:eastAsia="Times New Roman" w:hAnsi="Arial" w:cs="Arial"/>
          <w:color w:val="2F2F2F"/>
          <w:sz w:val="16"/>
          <w:szCs w:val="16"/>
          <w:lang w:eastAsia="es-MX"/>
        </w:rPr>
        <w:t xml:space="preserve">, G. </w:t>
      </w:r>
      <w:proofErr w:type="spellStart"/>
      <w:r w:rsidRPr="000C258A">
        <w:rPr>
          <w:rFonts w:ascii="Arial" w:eastAsia="Times New Roman" w:hAnsi="Arial" w:cs="Arial"/>
          <w:color w:val="2F2F2F"/>
          <w:sz w:val="16"/>
          <w:szCs w:val="16"/>
          <w:lang w:eastAsia="es-MX"/>
        </w:rPr>
        <w:t>Regression</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for</w:t>
      </w:r>
      <w:proofErr w:type="spellEnd"/>
      <w:r w:rsidRPr="000C258A">
        <w:rPr>
          <w:rFonts w:ascii="Arial" w:eastAsia="Times New Roman" w:hAnsi="Arial" w:cs="Arial"/>
          <w:color w:val="2F2F2F"/>
          <w:sz w:val="16"/>
          <w:szCs w:val="16"/>
          <w:lang w:eastAsia="es-MX"/>
        </w:rPr>
        <w:t xml:space="preserve"> </w:t>
      </w:r>
      <w:proofErr w:type="spellStart"/>
      <w:r w:rsidRPr="000C258A">
        <w:rPr>
          <w:rFonts w:ascii="Arial" w:eastAsia="Times New Roman" w:hAnsi="Arial" w:cs="Arial"/>
          <w:color w:val="2F2F2F"/>
          <w:sz w:val="16"/>
          <w:szCs w:val="16"/>
          <w:lang w:eastAsia="es-MX"/>
        </w:rPr>
        <w:t>Categorical</w:t>
      </w:r>
      <w:proofErr w:type="spellEnd"/>
      <w:r w:rsidRPr="000C258A">
        <w:rPr>
          <w:rFonts w:ascii="Arial" w:eastAsia="Times New Roman" w:hAnsi="Arial" w:cs="Arial"/>
          <w:color w:val="2F2F2F"/>
          <w:sz w:val="16"/>
          <w:szCs w:val="16"/>
          <w:lang w:eastAsia="es-MX"/>
        </w:rPr>
        <w:t xml:space="preserve"> Data, Cambridge U. </w:t>
      </w:r>
      <w:proofErr w:type="spellStart"/>
      <w:r w:rsidRPr="000C258A">
        <w:rPr>
          <w:rFonts w:ascii="Arial" w:eastAsia="Times New Roman" w:hAnsi="Arial" w:cs="Arial"/>
          <w:color w:val="2F2F2F"/>
          <w:sz w:val="16"/>
          <w:szCs w:val="16"/>
          <w:lang w:eastAsia="es-MX"/>
        </w:rPr>
        <w:t>Press</w:t>
      </w:r>
      <w:proofErr w:type="spellEnd"/>
      <w:r w:rsidRPr="000C258A">
        <w:rPr>
          <w:rFonts w:ascii="Arial" w:eastAsia="Times New Roman" w:hAnsi="Arial" w:cs="Arial"/>
          <w:color w:val="2F2F2F"/>
          <w:sz w:val="16"/>
          <w:szCs w:val="16"/>
          <w:lang w:eastAsia="es-MX"/>
        </w:rPr>
        <w:t>, USA. 201.</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6"/>
          <w:szCs w:val="16"/>
          <w:lang w:eastAsia="es-MX"/>
        </w:rPr>
      </w:pPr>
      <w:r w:rsidRPr="000C258A">
        <w:rPr>
          <w:rFonts w:ascii="Arial" w:eastAsia="Times New Roman" w:hAnsi="Arial" w:cs="Arial"/>
          <w:color w:val="2F2F2F"/>
          <w:sz w:val="16"/>
          <w:szCs w:val="16"/>
          <w:lang w:eastAsia="es-MX"/>
        </w:rPr>
        <w:t>2</w:t>
      </w:r>
      <w:r w:rsidRPr="000C258A">
        <w:rPr>
          <w:rFonts w:ascii="Arial" w:eastAsia="Times New Roman" w:hAnsi="Arial" w:cs="Arial"/>
          <w:color w:val="2F2F2F"/>
          <w:sz w:val="20"/>
          <w:szCs w:val="20"/>
          <w:lang w:eastAsia="es-MX"/>
        </w:rPr>
        <w:t>     </w:t>
      </w:r>
      <w:proofErr w:type="spellStart"/>
      <w:r w:rsidRPr="000C258A">
        <w:rPr>
          <w:rFonts w:ascii="Arial" w:eastAsia="Times New Roman" w:hAnsi="Arial" w:cs="Arial"/>
          <w:color w:val="2F2F2F"/>
          <w:sz w:val="16"/>
          <w:szCs w:val="16"/>
          <w:lang w:eastAsia="es-MX"/>
        </w:rPr>
        <w:t>OECDiLibrary</w:t>
      </w:r>
      <w:proofErr w:type="spellEnd"/>
      <w:r w:rsidRPr="000C258A">
        <w:rPr>
          <w:rFonts w:ascii="Arial" w:eastAsia="Times New Roman" w:hAnsi="Arial" w:cs="Arial"/>
          <w:color w:val="2F2F2F"/>
          <w:sz w:val="16"/>
          <w:szCs w:val="16"/>
          <w:lang w:eastAsia="es-MX"/>
        </w:rPr>
        <w:t>. (s.f.). Obtenido de Guía de la OCDE para el cumplimiento regulatorio y las inspecciones: https://www.oecd-ilibrary.org/sites/0fe43505-es/index.html?itemId=/content/publication/0fe43505-es</w:t>
      </w:r>
    </w:p>
    <w:p w:rsidR="000C258A" w:rsidRPr="000C258A" w:rsidRDefault="000C258A" w:rsidP="000C258A">
      <w:pPr>
        <w:shd w:val="clear" w:color="auto" w:fill="FFFFFF"/>
        <w:spacing w:after="101" w:line="240" w:lineRule="auto"/>
        <w:ind w:firstLine="288"/>
        <w:jc w:val="both"/>
        <w:rPr>
          <w:rFonts w:ascii="Arial" w:eastAsia="Times New Roman" w:hAnsi="Arial" w:cs="Arial"/>
          <w:color w:val="2F2F2F"/>
          <w:sz w:val="16"/>
          <w:szCs w:val="16"/>
          <w:lang w:eastAsia="es-MX"/>
        </w:rPr>
      </w:pPr>
      <w:r w:rsidRPr="000C258A">
        <w:rPr>
          <w:rFonts w:ascii="Arial" w:eastAsia="Times New Roman" w:hAnsi="Arial" w:cs="Arial"/>
          <w:color w:val="2F2F2F"/>
          <w:sz w:val="16"/>
          <w:szCs w:val="16"/>
          <w:lang w:eastAsia="es-MX"/>
        </w:rPr>
        <w:t>3</w:t>
      </w:r>
      <w:r w:rsidRPr="000C258A">
        <w:rPr>
          <w:rFonts w:ascii="Arial" w:eastAsia="Times New Roman" w:hAnsi="Arial" w:cs="Arial"/>
          <w:color w:val="2F2F2F"/>
          <w:sz w:val="20"/>
          <w:szCs w:val="20"/>
          <w:lang w:eastAsia="es-MX"/>
        </w:rPr>
        <w:t>     </w:t>
      </w:r>
      <w:proofErr w:type="spellStart"/>
      <w:r w:rsidRPr="000C258A">
        <w:rPr>
          <w:rFonts w:ascii="Arial" w:eastAsia="Times New Roman" w:hAnsi="Arial" w:cs="Arial"/>
          <w:color w:val="2F2F2F"/>
          <w:sz w:val="16"/>
          <w:szCs w:val="16"/>
          <w:lang w:eastAsia="es-MX"/>
        </w:rPr>
        <w:t>Walpole</w:t>
      </w:r>
      <w:proofErr w:type="spellEnd"/>
      <w:r w:rsidRPr="000C258A">
        <w:rPr>
          <w:rFonts w:ascii="Arial" w:eastAsia="Times New Roman" w:hAnsi="Arial" w:cs="Arial"/>
          <w:color w:val="2F2F2F"/>
          <w:sz w:val="16"/>
          <w:szCs w:val="16"/>
          <w:lang w:eastAsia="es-MX"/>
        </w:rPr>
        <w:t>, R. E., Myers, R. H., Myers, S. L., &amp; Cruz, R. (2012). Probabilidad y estadística para ingeniería y ciencias 9ª edición. México: Pearson.</w:t>
      </w:r>
    </w:p>
    <w:p w:rsidR="000C258A" w:rsidRDefault="000C258A" w:rsidP="000C258A">
      <w:pPr>
        <w:jc w:val="both"/>
      </w:pPr>
    </w:p>
    <w:sectPr w:rsidR="000C258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58A"/>
    <w:rsid w:val="000C258A"/>
    <w:rsid w:val="00A82E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58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972171032level1">
    <w:name w:val="liststyle_972171032_level_1"/>
    <w:basedOn w:val="Fuentedeprrafopredeter"/>
    <w:rsid w:val="000C258A"/>
  </w:style>
  <w:style w:type="paragraph" w:styleId="Textodeglobo">
    <w:name w:val="Balloon Text"/>
    <w:basedOn w:val="Normal"/>
    <w:link w:val="TextodegloboCar"/>
    <w:uiPriority w:val="99"/>
    <w:semiHidden/>
    <w:unhideWhenUsed/>
    <w:rsid w:val="000C25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25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58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972171032level1">
    <w:name w:val="liststyle_972171032_level_1"/>
    <w:basedOn w:val="Fuentedeprrafopredeter"/>
    <w:rsid w:val="000C258A"/>
  </w:style>
  <w:style w:type="paragraph" w:styleId="Textodeglobo">
    <w:name w:val="Balloon Text"/>
    <w:basedOn w:val="Normal"/>
    <w:link w:val="TextodegloboCar"/>
    <w:uiPriority w:val="99"/>
    <w:semiHidden/>
    <w:unhideWhenUsed/>
    <w:rsid w:val="000C25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25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132236">
      <w:bodyDiv w:val="1"/>
      <w:marLeft w:val="0"/>
      <w:marRight w:val="0"/>
      <w:marTop w:val="0"/>
      <w:marBottom w:val="0"/>
      <w:divBdr>
        <w:top w:val="none" w:sz="0" w:space="0" w:color="auto"/>
        <w:left w:val="none" w:sz="0" w:space="0" w:color="auto"/>
        <w:bottom w:val="none" w:sz="0" w:space="0" w:color="auto"/>
        <w:right w:val="none" w:sz="0" w:space="0" w:color="auto"/>
      </w:divBdr>
      <w:divsChild>
        <w:div w:id="423645621">
          <w:marLeft w:val="0"/>
          <w:marRight w:val="0"/>
          <w:marTop w:val="101"/>
          <w:marBottom w:val="101"/>
          <w:divBdr>
            <w:top w:val="none" w:sz="0" w:space="0" w:color="auto"/>
            <w:left w:val="none" w:sz="0" w:space="0" w:color="auto"/>
            <w:bottom w:val="none" w:sz="0" w:space="0" w:color="auto"/>
            <w:right w:val="none" w:sz="0" w:space="0" w:color="auto"/>
          </w:divBdr>
        </w:div>
        <w:div w:id="1068499928">
          <w:marLeft w:val="0"/>
          <w:marRight w:val="0"/>
          <w:marTop w:val="0"/>
          <w:marBottom w:val="101"/>
          <w:divBdr>
            <w:top w:val="none" w:sz="0" w:space="0" w:color="auto"/>
            <w:left w:val="none" w:sz="0" w:space="0" w:color="auto"/>
            <w:bottom w:val="none" w:sz="0" w:space="0" w:color="auto"/>
            <w:right w:val="none" w:sz="0" w:space="0" w:color="auto"/>
          </w:divBdr>
        </w:div>
        <w:div w:id="1973708622">
          <w:marLeft w:val="0"/>
          <w:marRight w:val="0"/>
          <w:marTop w:val="101"/>
          <w:marBottom w:val="101"/>
          <w:divBdr>
            <w:top w:val="none" w:sz="0" w:space="0" w:color="auto"/>
            <w:left w:val="none" w:sz="0" w:space="0" w:color="auto"/>
            <w:bottom w:val="none" w:sz="0" w:space="0" w:color="auto"/>
            <w:right w:val="none" w:sz="0" w:space="0" w:color="auto"/>
          </w:divBdr>
        </w:div>
        <w:div w:id="1270699175">
          <w:marLeft w:val="0"/>
          <w:marRight w:val="0"/>
          <w:marTop w:val="0"/>
          <w:marBottom w:val="101"/>
          <w:divBdr>
            <w:top w:val="none" w:sz="0" w:space="0" w:color="auto"/>
            <w:left w:val="none" w:sz="0" w:space="0" w:color="auto"/>
            <w:bottom w:val="none" w:sz="0" w:space="0" w:color="auto"/>
            <w:right w:val="none" w:sz="0" w:space="0" w:color="auto"/>
          </w:divBdr>
        </w:div>
        <w:div w:id="649209023">
          <w:marLeft w:val="0"/>
          <w:marRight w:val="0"/>
          <w:marTop w:val="0"/>
          <w:marBottom w:val="101"/>
          <w:divBdr>
            <w:top w:val="none" w:sz="0" w:space="0" w:color="auto"/>
            <w:left w:val="none" w:sz="0" w:space="0" w:color="auto"/>
            <w:bottom w:val="none" w:sz="0" w:space="0" w:color="auto"/>
            <w:right w:val="none" w:sz="0" w:space="0" w:color="auto"/>
          </w:divBdr>
        </w:div>
        <w:div w:id="1114985251">
          <w:marLeft w:val="0"/>
          <w:marRight w:val="0"/>
          <w:marTop w:val="0"/>
          <w:marBottom w:val="101"/>
          <w:divBdr>
            <w:top w:val="none" w:sz="0" w:space="0" w:color="auto"/>
            <w:left w:val="none" w:sz="0" w:space="0" w:color="auto"/>
            <w:bottom w:val="none" w:sz="0" w:space="0" w:color="auto"/>
            <w:right w:val="none" w:sz="0" w:space="0" w:color="auto"/>
          </w:divBdr>
        </w:div>
        <w:div w:id="2050757447">
          <w:marLeft w:val="0"/>
          <w:marRight w:val="0"/>
          <w:marTop w:val="0"/>
          <w:marBottom w:val="101"/>
          <w:divBdr>
            <w:top w:val="none" w:sz="0" w:space="0" w:color="auto"/>
            <w:left w:val="none" w:sz="0" w:space="0" w:color="auto"/>
            <w:bottom w:val="none" w:sz="0" w:space="0" w:color="auto"/>
            <w:right w:val="none" w:sz="0" w:space="0" w:color="auto"/>
          </w:divBdr>
        </w:div>
        <w:div w:id="253981058">
          <w:marLeft w:val="0"/>
          <w:marRight w:val="0"/>
          <w:marTop w:val="0"/>
          <w:marBottom w:val="101"/>
          <w:divBdr>
            <w:top w:val="none" w:sz="0" w:space="0" w:color="auto"/>
            <w:left w:val="none" w:sz="0" w:space="0" w:color="auto"/>
            <w:bottom w:val="none" w:sz="0" w:space="0" w:color="auto"/>
            <w:right w:val="none" w:sz="0" w:space="0" w:color="auto"/>
          </w:divBdr>
        </w:div>
        <w:div w:id="1023360771">
          <w:marLeft w:val="0"/>
          <w:marRight w:val="0"/>
          <w:marTop w:val="0"/>
          <w:marBottom w:val="101"/>
          <w:divBdr>
            <w:top w:val="none" w:sz="0" w:space="0" w:color="auto"/>
            <w:left w:val="none" w:sz="0" w:space="0" w:color="auto"/>
            <w:bottom w:val="none" w:sz="0" w:space="0" w:color="auto"/>
            <w:right w:val="none" w:sz="0" w:space="0" w:color="auto"/>
          </w:divBdr>
        </w:div>
        <w:div w:id="15037300">
          <w:marLeft w:val="0"/>
          <w:marRight w:val="0"/>
          <w:marTop w:val="0"/>
          <w:marBottom w:val="101"/>
          <w:divBdr>
            <w:top w:val="none" w:sz="0" w:space="0" w:color="auto"/>
            <w:left w:val="none" w:sz="0" w:space="0" w:color="auto"/>
            <w:bottom w:val="none" w:sz="0" w:space="0" w:color="auto"/>
            <w:right w:val="none" w:sz="0" w:space="0" w:color="auto"/>
          </w:divBdr>
        </w:div>
        <w:div w:id="1610090605">
          <w:marLeft w:val="0"/>
          <w:marRight w:val="0"/>
          <w:marTop w:val="0"/>
          <w:marBottom w:val="101"/>
          <w:divBdr>
            <w:top w:val="none" w:sz="0" w:space="0" w:color="auto"/>
            <w:left w:val="none" w:sz="0" w:space="0" w:color="auto"/>
            <w:bottom w:val="none" w:sz="0" w:space="0" w:color="auto"/>
            <w:right w:val="none" w:sz="0" w:space="0" w:color="auto"/>
          </w:divBdr>
        </w:div>
        <w:div w:id="1061365289">
          <w:marLeft w:val="0"/>
          <w:marRight w:val="0"/>
          <w:marTop w:val="0"/>
          <w:marBottom w:val="101"/>
          <w:divBdr>
            <w:top w:val="none" w:sz="0" w:space="0" w:color="auto"/>
            <w:left w:val="none" w:sz="0" w:space="0" w:color="auto"/>
            <w:bottom w:val="none" w:sz="0" w:space="0" w:color="auto"/>
            <w:right w:val="none" w:sz="0" w:space="0" w:color="auto"/>
          </w:divBdr>
        </w:div>
        <w:div w:id="325398665">
          <w:marLeft w:val="0"/>
          <w:marRight w:val="0"/>
          <w:marTop w:val="0"/>
          <w:marBottom w:val="101"/>
          <w:divBdr>
            <w:top w:val="none" w:sz="0" w:space="0" w:color="auto"/>
            <w:left w:val="none" w:sz="0" w:space="0" w:color="auto"/>
            <w:bottom w:val="none" w:sz="0" w:space="0" w:color="auto"/>
            <w:right w:val="none" w:sz="0" w:space="0" w:color="auto"/>
          </w:divBdr>
        </w:div>
        <w:div w:id="118693888">
          <w:marLeft w:val="0"/>
          <w:marRight w:val="0"/>
          <w:marTop w:val="0"/>
          <w:marBottom w:val="101"/>
          <w:divBdr>
            <w:top w:val="none" w:sz="0" w:space="0" w:color="auto"/>
            <w:left w:val="none" w:sz="0" w:space="0" w:color="auto"/>
            <w:bottom w:val="none" w:sz="0" w:space="0" w:color="auto"/>
            <w:right w:val="none" w:sz="0" w:space="0" w:color="auto"/>
          </w:divBdr>
        </w:div>
        <w:div w:id="552430087">
          <w:marLeft w:val="720"/>
          <w:marRight w:val="0"/>
          <w:marTop w:val="0"/>
          <w:marBottom w:val="101"/>
          <w:divBdr>
            <w:top w:val="none" w:sz="0" w:space="0" w:color="auto"/>
            <w:left w:val="none" w:sz="0" w:space="0" w:color="auto"/>
            <w:bottom w:val="none" w:sz="0" w:space="0" w:color="auto"/>
            <w:right w:val="none" w:sz="0" w:space="0" w:color="auto"/>
          </w:divBdr>
        </w:div>
        <w:div w:id="707753217">
          <w:marLeft w:val="720"/>
          <w:marRight w:val="0"/>
          <w:marTop w:val="0"/>
          <w:marBottom w:val="101"/>
          <w:divBdr>
            <w:top w:val="none" w:sz="0" w:space="0" w:color="auto"/>
            <w:left w:val="none" w:sz="0" w:space="0" w:color="auto"/>
            <w:bottom w:val="none" w:sz="0" w:space="0" w:color="auto"/>
            <w:right w:val="none" w:sz="0" w:space="0" w:color="auto"/>
          </w:divBdr>
        </w:div>
        <w:div w:id="1135560306">
          <w:marLeft w:val="720"/>
          <w:marRight w:val="0"/>
          <w:marTop w:val="0"/>
          <w:marBottom w:val="101"/>
          <w:divBdr>
            <w:top w:val="none" w:sz="0" w:space="0" w:color="auto"/>
            <w:left w:val="none" w:sz="0" w:space="0" w:color="auto"/>
            <w:bottom w:val="none" w:sz="0" w:space="0" w:color="auto"/>
            <w:right w:val="none" w:sz="0" w:space="0" w:color="auto"/>
          </w:divBdr>
        </w:div>
        <w:div w:id="403454705">
          <w:marLeft w:val="720"/>
          <w:marRight w:val="0"/>
          <w:marTop w:val="0"/>
          <w:marBottom w:val="101"/>
          <w:divBdr>
            <w:top w:val="none" w:sz="0" w:space="0" w:color="auto"/>
            <w:left w:val="none" w:sz="0" w:space="0" w:color="auto"/>
            <w:bottom w:val="none" w:sz="0" w:space="0" w:color="auto"/>
            <w:right w:val="none" w:sz="0" w:space="0" w:color="auto"/>
          </w:divBdr>
        </w:div>
        <w:div w:id="1450708664">
          <w:marLeft w:val="0"/>
          <w:marRight w:val="0"/>
          <w:marTop w:val="0"/>
          <w:marBottom w:val="101"/>
          <w:divBdr>
            <w:top w:val="none" w:sz="0" w:space="0" w:color="auto"/>
            <w:left w:val="none" w:sz="0" w:space="0" w:color="auto"/>
            <w:bottom w:val="none" w:sz="0" w:space="0" w:color="auto"/>
            <w:right w:val="none" w:sz="0" w:space="0" w:color="auto"/>
          </w:divBdr>
        </w:div>
        <w:div w:id="689449444">
          <w:marLeft w:val="0"/>
          <w:marRight w:val="0"/>
          <w:marTop w:val="0"/>
          <w:marBottom w:val="101"/>
          <w:divBdr>
            <w:top w:val="none" w:sz="0" w:space="0" w:color="auto"/>
            <w:left w:val="none" w:sz="0" w:space="0" w:color="auto"/>
            <w:bottom w:val="none" w:sz="0" w:space="0" w:color="auto"/>
            <w:right w:val="none" w:sz="0" w:space="0" w:color="auto"/>
          </w:divBdr>
        </w:div>
        <w:div w:id="411397512">
          <w:marLeft w:val="0"/>
          <w:marRight w:val="0"/>
          <w:marTop w:val="0"/>
          <w:marBottom w:val="101"/>
          <w:divBdr>
            <w:top w:val="none" w:sz="0" w:space="0" w:color="auto"/>
            <w:left w:val="none" w:sz="0" w:space="0" w:color="auto"/>
            <w:bottom w:val="none" w:sz="0" w:space="0" w:color="auto"/>
            <w:right w:val="none" w:sz="0" w:space="0" w:color="auto"/>
          </w:divBdr>
        </w:div>
        <w:div w:id="475071840">
          <w:marLeft w:val="720"/>
          <w:marRight w:val="0"/>
          <w:marTop w:val="0"/>
          <w:marBottom w:val="101"/>
          <w:divBdr>
            <w:top w:val="none" w:sz="0" w:space="0" w:color="auto"/>
            <w:left w:val="none" w:sz="0" w:space="0" w:color="auto"/>
            <w:bottom w:val="none" w:sz="0" w:space="0" w:color="auto"/>
            <w:right w:val="none" w:sz="0" w:space="0" w:color="auto"/>
          </w:divBdr>
        </w:div>
        <w:div w:id="1118525957">
          <w:marLeft w:val="720"/>
          <w:marRight w:val="0"/>
          <w:marTop w:val="0"/>
          <w:marBottom w:val="101"/>
          <w:divBdr>
            <w:top w:val="none" w:sz="0" w:space="0" w:color="auto"/>
            <w:left w:val="none" w:sz="0" w:space="0" w:color="auto"/>
            <w:bottom w:val="none" w:sz="0" w:space="0" w:color="auto"/>
            <w:right w:val="none" w:sz="0" w:space="0" w:color="auto"/>
          </w:divBdr>
        </w:div>
        <w:div w:id="57170442">
          <w:marLeft w:val="720"/>
          <w:marRight w:val="0"/>
          <w:marTop w:val="0"/>
          <w:marBottom w:val="101"/>
          <w:divBdr>
            <w:top w:val="none" w:sz="0" w:space="0" w:color="auto"/>
            <w:left w:val="none" w:sz="0" w:space="0" w:color="auto"/>
            <w:bottom w:val="none" w:sz="0" w:space="0" w:color="auto"/>
            <w:right w:val="none" w:sz="0" w:space="0" w:color="auto"/>
          </w:divBdr>
        </w:div>
        <w:div w:id="1627156945">
          <w:marLeft w:val="720"/>
          <w:marRight w:val="0"/>
          <w:marTop w:val="0"/>
          <w:marBottom w:val="101"/>
          <w:divBdr>
            <w:top w:val="none" w:sz="0" w:space="0" w:color="auto"/>
            <w:left w:val="none" w:sz="0" w:space="0" w:color="auto"/>
            <w:bottom w:val="none" w:sz="0" w:space="0" w:color="auto"/>
            <w:right w:val="none" w:sz="0" w:space="0" w:color="auto"/>
          </w:divBdr>
        </w:div>
        <w:div w:id="179397721">
          <w:marLeft w:val="0"/>
          <w:marRight w:val="0"/>
          <w:marTop w:val="0"/>
          <w:marBottom w:val="101"/>
          <w:divBdr>
            <w:top w:val="none" w:sz="0" w:space="0" w:color="auto"/>
            <w:left w:val="none" w:sz="0" w:space="0" w:color="auto"/>
            <w:bottom w:val="none" w:sz="0" w:space="0" w:color="auto"/>
            <w:right w:val="none" w:sz="0" w:space="0" w:color="auto"/>
          </w:divBdr>
        </w:div>
        <w:div w:id="1466046543">
          <w:marLeft w:val="0"/>
          <w:marRight w:val="0"/>
          <w:marTop w:val="0"/>
          <w:marBottom w:val="101"/>
          <w:divBdr>
            <w:top w:val="none" w:sz="0" w:space="0" w:color="auto"/>
            <w:left w:val="none" w:sz="0" w:space="0" w:color="auto"/>
            <w:bottom w:val="none" w:sz="0" w:space="0" w:color="auto"/>
            <w:right w:val="none" w:sz="0" w:space="0" w:color="auto"/>
          </w:divBdr>
        </w:div>
        <w:div w:id="425268603">
          <w:marLeft w:val="0"/>
          <w:marRight w:val="0"/>
          <w:marTop w:val="0"/>
          <w:marBottom w:val="101"/>
          <w:divBdr>
            <w:top w:val="none" w:sz="0" w:space="0" w:color="auto"/>
            <w:left w:val="none" w:sz="0" w:space="0" w:color="auto"/>
            <w:bottom w:val="none" w:sz="0" w:space="0" w:color="auto"/>
            <w:right w:val="none" w:sz="0" w:space="0" w:color="auto"/>
          </w:divBdr>
        </w:div>
        <w:div w:id="564412603">
          <w:marLeft w:val="720"/>
          <w:marRight w:val="0"/>
          <w:marTop w:val="0"/>
          <w:marBottom w:val="101"/>
          <w:divBdr>
            <w:top w:val="none" w:sz="0" w:space="0" w:color="auto"/>
            <w:left w:val="none" w:sz="0" w:space="0" w:color="auto"/>
            <w:bottom w:val="none" w:sz="0" w:space="0" w:color="auto"/>
            <w:right w:val="none" w:sz="0" w:space="0" w:color="auto"/>
          </w:divBdr>
        </w:div>
        <w:div w:id="1566333817">
          <w:marLeft w:val="1080"/>
          <w:marRight w:val="0"/>
          <w:marTop w:val="0"/>
          <w:marBottom w:val="101"/>
          <w:divBdr>
            <w:top w:val="none" w:sz="0" w:space="0" w:color="auto"/>
            <w:left w:val="none" w:sz="0" w:space="0" w:color="auto"/>
            <w:bottom w:val="none" w:sz="0" w:space="0" w:color="auto"/>
            <w:right w:val="none" w:sz="0" w:space="0" w:color="auto"/>
          </w:divBdr>
        </w:div>
        <w:div w:id="1366518783">
          <w:marLeft w:val="1080"/>
          <w:marRight w:val="0"/>
          <w:marTop w:val="0"/>
          <w:marBottom w:val="101"/>
          <w:divBdr>
            <w:top w:val="none" w:sz="0" w:space="0" w:color="auto"/>
            <w:left w:val="none" w:sz="0" w:space="0" w:color="auto"/>
            <w:bottom w:val="none" w:sz="0" w:space="0" w:color="auto"/>
            <w:right w:val="none" w:sz="0" w:space="0" w:color="auto"/>
          </w:divBdr>
        </w:div>
        <w:div w:id="893541554">
          <w:marLeft w:val="1080"/>
          <w:marRight w:val="0"/>
          <w:marTop w:val="0"/>
          <w:marBottom w:val="101"/>
          <w:divBdr>
            <w:top w:val="none" w:sz="0" w:space="0" w:color="auto"/>
            <w:left w:val="none" w:sz="0" w:space="0" w:color="auto"/>
            <w:bottom w:val="none" w:sz="0" w:space="0" w:color="auto"/>
            <w:right w:val="none" w:sz="0" w:space="0" w:color="auto"/>
          </w:divBdr>
        </w:div>
        <w:div w:id="1050105541">
          <w:marLeft w:val="720"/>
          <w:marRight w:val="0"/>
          <w:marTop w:val="0"/>
          <w:marBottom w:val="101"/>
          <w:divBdr>
            <w:top w:val="none" w:sz="0" w:space="0" w:color="auto"/>
            <w:left w:val="none" w:sz="0" w:space="0" w:color="auto"/>
            <w:bottom w:val="none" w:sz="0" w:space="0" w:color="auto"/>
            <w:right w:val="none" w:sz="0" w:space="0" w:color="auto"/>
          </w:divBdr>
        </w:div>
        <w:div w:id="1991667366">
          <w:marLeft w:val="1080"/>
          <w:marRight w:val="0"/>
          <w:marTop w:val="0"/>
          <w:marBottom w:val="101"/>
          <w:divBdr>
            <w:top w:val="none" w:sz="0" w:space="0" w:color="auto"/>
            <w:left w:val="none" w:sz="0" w:space="0" w:color="auto"/>
            <w:bottom w:val="none" w:sz="0" w:space="0" w:color="auto"/>
            <w:right w:val="none" w:sz="0" w:space="0" w:color="auto"/>
          </w:divBdr>
        </w:div>
        <w:div w:id="19819823">
          <w:marLeft w:val="1080"/>
          <w:marRight w:val="0"/>
          <w:marTop w:val="0"/>
          <w:marBottom w:val="101"/>
          <w:divBdr>
            <w:top w:val="none" w:sz="0" w:space="0" w:color="auto"/>
            <w:left w:val="none" w:sz="0" w:space="0" w:color="auto"/>
            <w:bottom w:val="none" w:sz="0" w:space="0" w:color="auto"/>
            <w:right w:val="none" w:sz="0" w:space="0" w:color="auto"/>
          </w:divBdr>
        </w:div>
        <w:div w:id="1295404542">
          <w:marLeft w:val="1080"/>
          <w:marRight w:val="0"/>
          <w:marTop w:val="0"/>
          <w:marBottom w:val="101"/>
          <w:divBdr>
            <w:top w:val="none" w:sz="0" w:space="0" w:color="auto"/>
            <w:left w:val="none" w:sz="0" w:space="0" w:color="auto"/>
            <w:bottom w:val="none" w:sz="0" w:space="0" w:color="auto"/>
            <w:right w:val="none" w:sz="0" w:space="0" w:color="auto"/>
          </w:divBdr>
        </w:div>
        <w:div w:id="480393614">
          <w:marLeft w:val="1080"/>
          <w:marRight w:val="0"/>
          <w:marTop w:val="0"/>
          <w:marBottom w:val="101"/>
          <w:divBdr>
            <w:top w:val="none" w:sz="0" w:space="0" w:color="auto"/>
            <w:left w:val="none" w:sz="0" w:space="0" w:color="auto"/>
            <w:bottom w:val="none" w:sz="0" w:space="0" w:color="auto"/>
            <w:right w:val="none" w:sz="0" w:space="0" w:color="auto"/>
          </w:divBdr>
        </w:div>
        <w:div w:id="563025425">
          <w:marLeft w:val="0"/>
          <w:marRight w:val="0"/>
          <w:marTop w:val="0"/>
          <w:marBottom w:val="101"/>
          <w:divBdr>
            <w:top w:val="none" w:sz="0" w:space="0" w:color="auto"/>
            <w:left w:val="none" w:sz="0" w:space="0" w:color="auto"/>
            <w:bottom w:val="none" w:sz="0" w:space="0" w:color="auto"/>
            <w:right w:val="none" w:sz="0" w:space="0" w:color="auto"/>
          </w:divBdr>
        </w:div>
        <w:div w:id="455223965">
          <w:marLeft w:val="0"/>
          <w:marRight w:val="0"/>
          <w:marTop w:val="0"/>
          <w:marBottom w:val="101"/>
          <w:divBdr>
            <w:top w:val="none" w:sz="0" w:space="0" w:color="auto"/>
            <w:left w:val="none" w:sz="0" w:space="0" w:color="auto"/>
            <w:bottom w:val="none" w:sz="0" w:space="0" w:color="auto"/>
            <w:right w:val="none" w:sz="0" w:space="0" w:color="auto"/>
          </w:divBdr>
        </w:div>
        <w:div w:id="1293439791">
          <w:marLeft w:val="0"/>
          <w:marRight w:val="0"/>
          <w:marTop w:val="101"/>
          <w:marBottom w:val="101"/>
          <w:divBdr>
            <w:top w:val="none" w:sz="0" w:space="0" w:color="auto"/>
            <w:left w:val="none" w:sz="0" w:space="0" w:color="auto"/>
            <w:bottom w:val="none" w:sz="0" w:space="0" w:color="auto"/>
            <w:right w:val="none" w:sz="0" w:space="0" w:color="auto"/>
          </w:divBdr>
        </w:div>
        <w:div w:id="1595086906">
          <w:marLeft w:val="0"/>
          <w:marRight w:val="0"/>
          <w:marTop w:val="0"/>
          <w:marBottom w:val="101"/>
          <w:divBdr>
            <w:top w:val="none" w:sz="0" w:space="0" w:color="auto"/>
            <w:left w:val="none" w:sz="0" w:space="0" w:color="auto"/>
            <w:bottom w:val="none" w:sz="0" w:space="0" w:color="auto"/>
            <w:right w:val="none" w:sz="0" w:space="0" w:color="auto"/>
          </w:divBdr>
        </w:div>
        <w:div w:id="1761215073">
          <w:marLeft w:val="0"/>
          <w:marRight w:val="0"/>
          <w:marTop w:val="0"/>
          <w:marBottom w:val="101"/>
          <w:divBdr>
            <w:top w:val="none" w:sz="0" w:space="0" w:color="auto"/>
            <w:left w:val="none" w:sz="0" w:space="0" w:color="auto"/>
            <w:bottom w:val="none" w:sz="0" w:space="0" w:color="auto"/>
            <w:right w:val="none" w:sz="0" w:space="0" w:color="auto"/>
          </w:divBdr>
        </w:div>
        <w:div w:id="1328896748">
          <w:marLeft w:val="0"/>
          <w:marRight w:val="0"/>
          <w:marTop w:val="0"/>
          <w:marBottom w:val="101"/>
          <w:divBdr>
            <w:top w:val="none" w:sz="0" w:space="0" w:color="auto"/>
            <w:left w:val="none" w:sz="0" w:space="0" w:color="auto"/>
            <w:bottom w:val="none" w:sz="0" w:space="0" w:color="auto"/>
            <w:right w:val="none" w:sz="0" w:space="0" w:color="auto"/>
          </w:divBdr>
        </w:div>
        <w:div w:id="758522118">
          <w:marLeft w:val="0"/>
          <w:marRight w:val="0"/>
          <w:marTop w:val="0"/>
          <w:marBottom w:val="101"/>
          <w:divBdr>
            <w:top w:val="none" w:sz="0" w:space="0" w:color="auto"/>
            <w:left w:val="none" w:sz="0" w:space="0" w:color="auto"/>
            <w:bottom w:val="none" w:sz="0" w:space="0" w:color="auto"/>
            <w:right w:val="none" w:sz="0" w:space="0" w:color="auto"/>
          </w:divBdr>
        </w:div>
        <w:div w:id="1994796061">
          <w:marLeft w:val="0"/>
          <w:marRight w:val="0"/>
          <w:marTop w:val="0"/>
          <w:marBottom w:val="101"/>
          <w:divBdr>
            <w:top w:val="none" w:sz="0" w:space="0" w:color="auto"/>
            <w:left w:val="none" w:sz="0" w:space="0" w:color="auto"/>
            <w:bottom w:val="none" w:sz="0" w:space="0" w:color="auto"/>
            <w:right w:val="none" w:sz="0" w:space="0" w:color="auto"/>
          </w:divBdr>
        </w:div>
        <w:div w:id="1472287235">
          <w:marLeft w:val="0"/>
          <w:marRight w:val="0"/>
          <w:marTop w:val="0"/>
          <w:marBottom w:val="101"/>
          <w:divBdr>
            <w:top w:val="none" w:sz="0" w:space="0" w:color="auto"/>
            <w:left w:val="none" w:sz="0" w:space="0" w:color="auto"/>
            <w:bottom w:val="none" w:sz="0" w:space="0" w:color="auto"/>
            <w:right w:val="none" w:sz="0" w:space="0" w:color="auto"/>
          </w:divBdr>
        </w:div>
        <w:div w:id="1644432126">
          <w:marLeft w:val="0"/>
          <w:marRight w:val="0"/>
          <w:marTop w:val="0"/>
          <w:marBottom w:val="101"/>
          <w:divBdr>
            <w:top w:val="none" w:sz="0" w:space="0" w:color="auto"/>
            <w:left w:val="none" w:sz="0" w:space="0" w:color="auto"/>
            <w:bottom w:val="none" w:sz="0" w:space="0" w:color="auto"/>
            <w:right w:val="none" w:sz="0" w:space="0" w:color="auto"/>
          </w:divBdr>
        </w:div>
        <w:div w:id="1184856488">
          <w:marLeft w:val="0"/>
          <w:marRight w:val="0"/>
          <w:marTop w:val="0"/>
          <w:marBottom w:val="101"/>
          <w:divBdr>
            <w:top w:val="none" w:sz="0" w:space="0" w:color="auto"/>
            <w:left w:val="none" w:sz="0" w:space="0" w:color="auto"/>
            <w:bottom w:val="none" w:sz="0" w:space="0" w:color="auto"/>
            <w:right w:val="none" w:sz="0" w:space="0" w:color="auto"/>
          </w:divBdr>
        </w:div>
        <w:div w:id="1103962489">
          <w:marLeft w:val="0"/>
          <w:marRight w:val="0"/>
          <w:marTop w:val="0"/>
          <w:marBottom w:val="101"/>
          <w:divBdr>
            <w:top w:val="none" w:sz="0" w:space="0" w:color="auto"/>
            <w:left w:val="none" w:sz="0" w:space="0" w:color="auto"/>
            <w:bottom w:val="none" w:sz="0" w:space="0" w:color="auto"/>
            <w:right w:val="none" w:sz="0" w:space="0" w:color="auto"/>
          </w:divBdr>
        </w:div>
        <w:div w:id="1075204826">
          <w:marLeft w:val="0"/>
          <w:marRight w:val="0"/>
          <w:marTop w:val="0"/>
          <w:marBottom w:val="101"/>
          <w:divBdr>
            <w:top w:val="none" w:sz="0" w:space="0" w:color="auto"/>
            <w:left w:val="none" w:sz="0" w:space="0" w:color="auto"/>
            <w:bottom w:val="none" w:sz="0" w:space="0" w:color="auto"/>
            <w:right w:val="none" w:sz="0" w:space="0" w:color="auto"/>
          </w:divBdr>
        </w:div>
        <w:div w:id="187722314">
          <w:marLeft w:val="0"/>
          <w:marRight w:val="0"/>
          <w:marTop w:val="0"/>
          <w:marBottom w:val="80"/>
          <w:divBdr>
            <w:top w:val="none" w:sz="0" w:space="0" w:color="auto"/>
            <w:left w:val="none" w:sz="0" w:space="0" w:color="auto"/>
            <w:bottom w:val="none" w:sz="0" w:space="0" w:color="auto"/>
            <w:right w:val="none" w:sz="0" w:space="0" w:color="auto"/>
          </w:divBdr>
        </w:div>
        <w:div w:id="881597180">
          <w:marLeft w:val="0"/>
          <w:marRight w:val="0"/>
          <w:marTop w:val="0"/>
          <w:marBottom w:val="80"/>
          <w:divBdr>
            <w:top w:val="none" w:sz="0" w:space="0" w:color="auto"/>
            <w:left w:val="none" w:sz="0" w:space="0" w:color="auto"/>
            <w:bottom w:val="none" w:sz="0" w:space="0" w:color="auto"/>
            <w:right w:val="none" w:sz="0" w:space="0" w:color="auto"/>
          </w:divBdr>
        </w:div>
        <w:div w:id="1042364199">
          <w:marLeft w:val="0"/>
          <w:marRight w:val="0"/>
          <w:marTop w:val="0"/>
          <w:marBottom w:val="80"/>
          <w:divBdr>
            <w:top w:val="none" w:sz="0" w:space="0" w:color="auto"/>
            <w:left w:val="none" w:sz="0" w:space="0" w:color="auto"/>
            <w:bottom w:val="none" w:sz="0" w:space="0" w:color="auto"/>
            <w:right w:val="none" w:sz="0" w:space="0" w:color="auto"/>
          </w:divBdr>
        </w:div>
        <w:div w:id="1603882140">
          <w:marLeft w:val="0"/>
          <w:marRight w:val="0"/>
          <w:marTop w:val="0"/>
          <w:marBottom w:val="80"/>
          <w:divBdr>
            <w:top w:val="none" w:sz="0" w:space="0" w:color="auto"/>
            <w:left w:val="none" w:sz="0" w:space="0" w:color="auto"/>
            <w:bottom w:val="none" w:sz="0" w:space="0" w:color="auto"/>
            <w:right w:val="none" w:sz="0" w:space="0" w:color="auto"/>
          </w:divBdr>
        </w:div>
        <w:div w:id="375469110">
          <w:marLeft w:val="0"/>
          <w:marRight w:val="0"/>
          <w:marTop w:val="0"/>
          <w:marBottom w:val="80"/>
          <w:divBdr>
            <w:top w:val="none" w:sz="0" w:space="0" w:color="auto"/>
            <w:left w:val="none" w:sz="0" w:space="0" w:color="auto"/>
            <w:bottom w:val="none" w:sz="0" w:space="0" w:color="auto"/>
            <w:right w:val="none" w:sz="0" w:space="0" w:color="auto"/>
          </w:divBdr>
        </w:div>
        <w:div w:id="492188975">
          <w:marLeft w:val="0"/>
          <w:marRight w:val="0"/>
          <w:marTop w:val="0"/>
          <w:marBottom w:val="80"/>
          <w:divBdr>
            <w:top w:val="none" w:sz="0" w:space="0" w:color="auto"/>
            <w:left w:val="none" w:sz="0" w:space="0" w:color="auto"/>
            <w:bottom w:val="none" w:sz="0" w:space="0" w:color="auto"/>
            <w:right w:val="none" w:sz="0" w:space="0" w:color="auto"/>
          </w:divBdr>
        </w:div>
        <w:div w:id="1504390143">
          <w:marLeft w:val="0"/>
          <w:marRight w:val="0"/>
          <w:marTop w:val="0"/>
          <w:marBottom w:val="80"/>
          <w:divBdr>
            <w:top w:val="none" w:sz="0" w:space="0" w:color="auto"/>
            <w:left w:val="none" w:sz="0" w:space="0" w:color="auto"/>
            <w:bottom w:val="none" w:sz="0" w:space="0" w:color="auto"/>
            <w:right w:val="none" w:sz="0" w:space="0" w:color="auto"/>
          </w:divBdr>
        </w:div>
        <w:div w:id="1594436795">
          <w:marLeft w:val="0"/>
          <w:marRight w:val="0"/>
          <w:marTop w:val="0"/>
          <w:marBottom w:val="80"/>
          <w:divBdr>
            <w:top w:val="none" w:sz="0" w:space="0" w:color="auto"/>
            <w:left w:val="none" w:sz="0" w:space="0" w:color="auto"/>
            <w:bottom w:val="none" w:sz="0" w:space="0" w:color="auto"/>
            <w:right w:val="none" w:sz="0" w:space="0" w:color="auto"/>
          </w:divBdr>
        </w:div>
        <w:div w:id="394739082">
          <w:marLeft w:val="720"/>
          <w:marRight w:val="0"/>
          <w:marTop w:val="0"/>
          <w:marBottom w:val="80"/>
          <w:divBdr>
            <w:top w:val="none" w:sz="0" w:space="0" w:color="auto"/>
            <w:left w:val="none" w:sz="0" w:space="0" w:color="auto"/>
            <w:bottom w:val="none" w:sz="0" w:space="0" w:color="auto"/>
            <w:right w:val="none" w:sz="0" w:space="0" w:color="auto"/>
          </w:divBdr>
        </w:div>
        <w:div w:id="1847016944">
          <w:marLeft w:val="720"/>
          <w:marRight w:val="0"/>
          <w:marTop w:val="0"/>
          <w:marBottom w:val="80"/>
          <w:divBdr>
            <w:top w:val="none" w:sz="0" w:space="0" w:color="auto"/>
            <w:left w:val="none" w:sz="0" w:space="0" w:color="auto"/>
            <w:bottom w:val="none" w:sz="0" w:space="0" w:color="auto"/>
            <w:right w:val="none" w:sz="0" w:space="0" w:color="auto"/>
          </w:divBdr>
        </w:div>
        <w:div w:id="1120958607">
          <w:marLeft w:val="720"/>
          <w:marRight w:val="0"/>
          <w:marTop w:val="0"/>
          <w:marBottom w:val="80"/>
          <w:divBdr>
            <w:top w:val="none" w:sz="0" w:space="0" w:color="auto"/>
            <w:left w:val="none" w:sz="0" w:space="0" w:color="auto"/>
            <w:bottom w:val="none" w:sz="0" w:space="0" w:color="auto"/>
            <w:right w:val="none" w:sz="0" w:space="0" w:color="auto"/>
          </w:divBdr>
        </w:div>
        <w:div w:id="805199680">
          <w:marLeft w:val="0"/>
          <w:marRight w:val="0"/>
          <w:marTop w:val="0"/>
          <w:marBottom w:val="80"/>
          <w:divBdr>
            <w:top w:val="none" w:sz="0" w:space="0" w:color="auto"/>
            <w:left w:val="none" w:sz="0" w:space="0" w:color="auto"/>
            <w:bottom w:val="none" w:sz="0" w:space="0" w:color="auto"/>
            <w:right w:val="none" w:sz="0" w:space="0" w:color="auto"/>
          </w:divBdr>
        </w:div>
        <w:div w:id="1223492402">
          <w:marLeft w:val="0"/>
          <w:marRight w:val="0"/>
          <w:marTop w:val="0"/>
          <w:marBottom w:val="80"/>
          <w:divBdr>
            <w:top w:val="none" w:sz="0" w:space="0" w:color="auto"/>
            <w:left w:val="none" w:sz="0" w:space="0" w:color="auto"/>
            <w:bottom w:val="none" w:sz="0" w:space="0" w:color="auto"/>
            <w:right w:val="none" w:sz="0" w:space="0" w:color="auto"/>
          </w:divBdr>
        </w:div>
        <w:div w:id="413669860">
          <w:marLeft w:val="720"/>
          <w:marRight w:val="0"/>
          <w:marTop w:val="0"/>
          <w:marBottom w:val="80"/>
          <w:divBdr>
            <w:top w:val="none" w:sz="0" w:space="0" w:color="auto"/>
            <w:left w:val="none" w:sz="0" w:space="0" w:color="auto"/>
            <w:bottom w:val="none" w:sz="0" w:space="0" w:color="auto"/>
            <w:right w:val="none" w:sz="0" w:space="0" w:color="auto"/>
          </w:divBdr>
        </w:div>
        <w:div w:id="1237941073">
          <w:marLeft w:val="720"/>
          <w:marRight w:val="0"/>
          <w:marTop w:val="0"/>
          <w:marBottom w:val="80"/>
          <w:divBdr>
            <w:top w:val="none" w:sz="0" w:space="0" w:color="auto"/>
            <w:left w:val="none" w:sz="0" w:space="0" w:color="auto"/>
            <w:bottom w:val="none" w:sz="0" w:space="0" w:color="auto"/>
            <w:right w:val="none" w:sz="0" w:space="0" w:color="auto"/>
          </w:divBdr>
        </w:div>
        <w:div w:id="241260124">
          <w:marLeft w:val="720"/>
          <w:marRight w:val="0"/>
          <w:marTop w:val="0"/>
          <w:marBottom w:val="80"/>
          <w:divBdr>
            <w:top w:val="none" w:sz="0" w:space="0" w:color="auto"/>
            <w:left w:val="none" w:sz="0" w:space="0" w:color="auto"/>
            <w:bottom w:val="none" w:sz="0" w:space="0" w:color="auto"/>
            <w:right w:val="none" w:sz="0" w:space="0" w:color="auto"/>
          </w:divBdr>
        </w:div>
        <w:div w:id="605192151">
          <w:marLeft w:val="720"/>
          <w:marRight w:val="0"/>
          <w:marTop w:val="0"/>
          <w:marBottom w:val="80"/>
          <w:divBdr>
            <w:top w:val="none" w:sz="0" w:space="0" w:color="auto"/>
            <w:left w:val="none" w:sz="0" w:space="0" w:color="auto"/>
            <w:bottom w:val="none" w:sz="0" w:space="0" w:color="auto"/>
            <w:right w:val="none" w:sz="0" w:space="0" w:color="auto"/>
          </w:divBdr>
        </w:div>
        <w:div w:id="2107648773">
          <w:marLeft w:val="720"/>
          <w:marRight w:val="0"/>
          <w:marTop w:val="0"/>
          <w:marBottom w:val="80"/>
          <w:divBdr>
            <w:top w:val="none" w:sz="0" w:space="0" w:color="auto"/>
            <w:left w:val="none" w:sz="0" w:space="0" w:color="auto"/>
            <w:bottom w:val="none" w:sz="0" w:space="0" w:color="auto"/>
            <w:right w:val="none" w:sz="0" w:space="0" w:color="auto"/>
          </w:divBdr>
        </w:div>
        <w:div w:id="2120370577">
          <w:marLeft w:val="0"/>
          <w:marRight w:val="0"/>
          <w:marTop w:val="0"/>
          <w:marBottom w:val="80"/>
          <w:divBdr>
            <w:top w:val="none" w:sz="0" w:space="0" w:color="auto"/>
            <w:left w:val="none" w:sz="0" w:space="0" w:color="auto"/>
            <w:bottom w:val="none" w:sz="0" w:space="0" w:color="auto"/>
            <w:right w:val="none" w:sz="0" w:space="0" w:color="auto"/>
          </w:divBdr>
        </w:div>
        <w:div w:id="1394499776">
          <w:marLeft w:val="0"/>
          <w:marRight w:val="0"/>
          <w:marTop w:val="0"/>
          <w:marBottom w:val="80"/>
          <w:divBdr>
            <w:top w:val="none" w:sz="0" w:space="0" w:color="auto"/>
            <w:left w:val="none" w:sz="0" w:space="0" w:color="auto"/>
            <w:bottom w:val="none" w:sz="0" w:space="0" w:color="auto"/>
            <w:right w:val="none" w:sz="0" w:space="0" w:color="auto"/>
          </w:divBdr>
        </w:div>
        <w:div w:id="1036344979">
          <w:marLeft w:val="0"/>
          <w:marRight w:val="0"/>
          <w:marTop w:val="0"/>
          <w:marBottom w:val="80"/>
          <w:divBdr>
            <w:top w:val="none" w:sz="0" w:space="0" w:color="auto"/>
            <w:left w:val="none" w:sz="0" w:space="0" w:color="auto"/>
            <w:bottom w:val="none" w:sz="0" w:space="0" w:color="auto"/>
            <w:right w:val="none" w:sz="0" w:space="0" w:color="auto"/>
          </w:divBdr>
        </w:div>
        <w:div w:id="1403675361">
          <w:marLeft w:val="0"/>
          <w:marRight w:val="0"/>
          <w:marTop w:val="0"/>
          <w:marBottom w:val="80"/>
          <w:divBdr>
            <w:top w:val="none" w:sz="0" w:space="0" w:color="auto"/>
            <w:left w:val="none" w:sz="0" w:space="0" w:color="auto"/>
            <w:bottom w:val="none" w:sz="0" w:space="0" w:color="auto"/>
            <w:right w:val="none" w:sz="0" w:space="0" w:color="auto"/>
          </w:divBdr>
        </w:div>
        <w:div w:id="1985040981">
          <w:marLeft w:val="0"/>
          <w:marRight w:val="0"/>
          <w:marTop w:val="0"/>
          <w:marBottom w:val="80"/>
          <w:divBdr>
            <w:top w:val="none" w:sz="0" w:space="0" w:color="auto"/>
            <w:left w:val="none" w:sz="0" w:space="0" w:color="auto"/>
            <w:bottom w:val="none" w:sz="0" w:space="0" w:color="auto"/>
            <w:right w:val="none" w:sz="0" w:space="0" w:color="auto"/>
          </w:divBdr>
        </w:div>
        <w:div w:id="721909692">
          <w:marLeft w:val="720"/>
          <w:marRight w:val="0"/>
          <w:marTop w:val="0"/>
          <w:marBottom w:val="80"/>
          <w:divBdr>
            <w:top w:val="none" w:sz="0" w:space="0" w:color="auto"/>
            <w:left w:val="none" w:sz="0" w:space="0" w:color="auto"/>
            <w:bottom w:val="none" w:sz="0" w:space="0" w:color="auto"/>
            <w:right w:val="none" w:sz="0" w:space="0" w:color="auto"/>
          </w:divBdr>
        </w:div>
        <w:div w:id="77291765">
          <w:marLeft w:val="720"/>
          <w:marRight w:val="0"/>
          <w:marTop w:val="0"/>
          <w:marBottom w:val="101"/>
          <w:divBdr>
            <w:top w:val="none" w:sz="0" w:space="0" w:color="auto"/>
            <w:left w:val="none" w:sz="0" w:space="0" w:color="auto"/>
            <w:bottom w:val="none" w:sz="0" w:space="0" w:color="auto"/>
            <w:right w:val="none" w:sz="0" w:space="0" w:color="auto"/>
          </w:divBdr>
        </w:div>
        <w:div w:id="953101039">
          <w:marLeft w:val="720"/>
          <w:marRight w:val="0"/>
          <w:marTop w:val="0"/>
          <w:marBottom w:val="101"/>
          <w:divBdr>
            <w:top w:val="none" w:sz="0" w:space="0" w:color="auto"/>
            <w:left w:val="none" w:sz="0" w:space="0" w:color="auto"/>
            <w:bottom w:val="none" w:sz="0" w:space="0" w:color="auto"/>
            <w:right w:val="none" w:sz="0" w:space="0" w:color="auto"/>
          </w:divBdr>
        </w:div>
        <w:div w:id="423258832">
          <w:marLeft w:val="0"/>
          <w:marRight w:val="0"/>
          <w:marTop w:val="0"/>
          <w:marBottom w:val="101"/>
          <w:divBdr>
            <w:top w:val="none" w:sz="0" w:space="0" w:color="auto"/>
            <w:left w:val="none" w:sz="0" w:space="0" w:color="auto"/>
            <w:bottom w:val="none" w:sz="0" w:space="0" w:color="auto"/>
            <w:right w:val="none" w:sz="0" w:space="0" w:color="auto"/>
          </w:divBdr>
        </w:div>
        <w:div w:id="1162309438">
          <w:marLeft w:val="0"/>
          <w:marRight w:val="0"/>
          <w:marTop w:val="0"/>
          <w:marBottom w:val="101"/>
          <w:divBdr>
            <w:top w:val="none" w:sz="0" w:space="0" w:color="auto"/>
            <w:left w:val="none" w:sz="0" w:space="0" w:color="auto"/>
            <w:bottom w:val="none" w:sz="0" w:space="0" w:color="auto"/>
            <w:right w:val="none" w:sz="0" w:space="0" w:color="auto"/>
          </w:divBdr>
        </w:div>
        <w:div w:id="997537366">
          <w:marLeft w:val="0"/>
          <w:marRight w:val="0"/>
          <w:marTop w:val="0"/>
          <w:marBottom w:val="101"/>
          <w:divBdr>
            <w:top w:val="none" w:sz="0" w:space="0" w:color="auto"/>
            <w:left w:val="none" w:sz="0" w:space="0" w:color="auto"/>
            <w:bottom w:val="none" w:sz="0" w:space="0" w:color="auto"/>
            <w:right w:val="none" w:sz="0" w:space="0" w:color="auto"/>
          </w:divBdr>
        </w:div>
        <w:div w:id="374349894">
          <w:marLeft w:val="0"/>
          <w:marRight w:val="0"/>
          <w:marTop w:val="0"/>
          <w:marBottom w:val="101"/>
          <w:divBdr>
            <w:top w:val="none" w:sz="0" w:space="0" w:color="auto"/>
            <w:left w:val="none" w:sz="0" w:space="0" w:color="auto"/>
            <w:bottom w:val="none" w:sz="0" w:space="0" w:color="auto"/>
            <w:right w:val="none" w:sz="0" w:space="0" w:color="auto"/>
          </w:divBdr>
        </w:div>
        <w:div w:id="805704931">
          <w:marLeft w:val="0"/>
          <w:marRight w:val="0"/>
          <w:marTop w:val="0"/>
          <w:marBottom w:val="101"/>
          <w:divBdr>
            <w:top w:val="none" w:sz="0" w:space="0" w:color="auto"/>
            <w:left w:val="none" w:sz="0" w:space="0" w:color="auto"/>
            <w:bottom w:val="none" w:sz="0" w:space="0" w:color="auto"/>
            <w:right w:val="none" w:sz="0" w:space="0" w:color="auto"/>
          </w:divBdr>
        </w:div>
        <w:div w:id="1453016460">
          <w:marLeft w:val="0"/>
          <w:marRight w:val="0"/>
          <w:marTop w:val="0"/>
          <w:marBottom w:val="101"/>
          <w:divBdr>
            <w:top w:val="none" w:sz="0" w:space="0" w:color="auto"/>
            <w:left w:val="none" w:sz="0" w:space="0" w:color="auto"/>
            <w:bottom w:val="none" w:sz="0" w:space="0" w:color="auto"/>
            <w:right w:val="none" w:sz="0" w:space="0" w:color="auto"/>
          </w:divBdr>
        </w:div>
        <w:div w:id="1011685662">
          <w:marLeft w:val="0"/>
          <w:marRight w:val="0"/>
          <w:marTop w:val="0"/>
          <w:marBottom w:val="101"/>
          <w:divBdr>
            <w:top w:val="none" w:sz="0" w:space="0" w:color="auto"/>
            <w:left w:val="none" w:sz="0" w:space="0" w:color="auto"/>
            <w:bottom w:val="none" w:sz="0" w:space="0" w:color="auto"/>
            <w:right w:val="none" w:sz="0" w:space="0" w:color="auto"/>
          </w:divBdr>
        </w:div>
        <w:div w:id="811678939">
          <w:marLeft w:val="0"/>
          <w:marRight w:val="0"/>
          <w:marTop w:val="0"/>
          <w:marBottom w:val="101"/>
          <w:divBdr>
            <w:top w:val="none" w:sz="0" w:space="0" w:color="auto"/>
            <w:left w:val="none" w:sz="0" w:space="0" w:color="auto"/>
            <w:bottom w:val="none" w:sz="0" w:space="0" w:color="auto"/>
            <w:right w:val="none" w:sz="0" w:space="0" w:color="auto"/>
          </w:divBdr>
        </w:div>
        <w:div w:id="1157846904">
          <w:marLeft w:val="0"/>
          <w:marRight w:val="0"/>
          <w:marTop w:val="0"/>
          <w:marBottom w:val="101"/>
          <w:divBdr>
            <w:top w:val="none" w:sz="0" w:space="0" w:color="auto"/>
            <w:left w:val="none" w:sz="0" w:space="0" w:color="auto"/>
            <w:bottom w:val="none" w:sz="0" w:space="0" w:color="auto"/>
            <w:right w:val="none" w:sz="0" w:space="0" w:color="auto"/>
          </w:divBdr>
        </w:div>
        <w:div w:id="860826373">
          <w:marLeft w:val="0"/>
          <w:marRight w:val="0"/>
          <w:marTop w:val="0"/>
          <w:marBottom w:val="101"/>
          <w:divBdr>
            <w:top w:val="none" w:sz="0" w:space="0" w:color="auto"/>
            <w:left w:val="none" w:sz="0" w:space="0" w:color="auto"/>
            <w:bottom w:val="none" w:sz="0" w:space="0" w:color="auto"/>
            <w:right w:val="none" w:sz="0" w:space="0" w:color="auto"/>
          </w:divBdr>
        </w:div>
        <w:div w:id="1933318033">
          <w:marLeft w:val="0"/>
          <w:marRight w:val="0"/>
          <w:marTop w:val="0"/>
          <w:marBottom w:val="101"/>
          <w:divBdr>
            <w:top w:val="none" w:sz="0" w:space="0" w:color="auto"/>
            <w:left w:val="none" w:sz="0" w:space="0" w:color="auto"/>
            <w:bottom w:val="none" w:sz="0" w:space="0" w:color="auto"/>
            <w:right w:val="none" w:sz="0" w:space="0" w:color="auto"/>
          </w:divBdr>
        </w:div>
        <w:div w:id="396704343">
          <w:marLeft w:val="0"/>
          <w:marRight w:val="0"/>
          <w:marTop w:val="0"/>
          <w:marBottom w:val="101"/>
          <w:divBdr>
            <w:top w:val="none" w:sz="0" w:space="0" w:color="auto"/>
            <w:left w:val="none" w:sz="0" w:space="0" w:color="auto"/>
            <w:bottom w:val="none" w:sz="0" w:space="0" w:color="auto"/>
            <w:right w:val="none" w:sz="0" w:space="0" w:color="auto"/>
          </w:divBdr>
        </w:div>
        <w:div w:id="764612110">
          <w:marLeft w:val="0"/>
          <w:marRight w:val="0"/>
          <w:marTop w:val="0"/>
          <w:marBottom w:val="101"/>
          <w:divBdr>
            <w:top w:val="none" w:sz="0" w:space="0" w:color="auto"/>
            <w:left w:val="none" w:sz="0" w:space="0" w:color="auto"/>
            <w:bottom w:val="none" w:sz="0" w:space="0" w:color="auto"/>
            <w:right w:val="none" w:sz="0" w:space="0" w:color="auto"/>
          </w:divBdr>
        </w:div>
        <w:div w:id="899556639">
          <w:marLeft w:val="0"/>
          <w:marRight w:val="0"/>
          <w:marTop w:val="0"/>
          <w:marBottom w:val="101"/>
          <w:divBdr>
            <w:top w:val="none" w:sz="0" w:space="0" w:color="auto"/>
            <w:left w:val="none" w:sz="0" w:space="0" w:color="auto"/>
            <w:bottom w:val="none" w:sz="0" w:space="0" w:color="auto"/>
            <w:right w:val="none" w:sz="0" w:space="0" w:color="auto"/>
          </w:divBdr>
        </w:div>
        <w:div w:id="519242458">
          <w:marLeft w:val="0"/>
          <w:marRight w:val="0"/>
          <w:marTop w:val="0"/>
          <w:marBottom w:val="101"/>
          <w:divBdr>
            <w:top w:val="none" w:sz="0" w:space="0" w:color="auto"/>
            <w:left w:val="none" w:sz="0" w:space="0" w:color="auto"/>
            <w:bottom w:val="none" w:sz="0" w:space="0" w:color="auto"/>
            <w:right w:val="none" w:sz="0" w:space="0" w:color="auto"/>
          </w:divBdr>
        </w:div>
        <w:div w:id="1963993609">
          <w:marLeft w:val="0"/>
          <w:marRight w:val="0"/>
          <w:marTop w:val="0"/>
          <w:marBottom w:val="101"/>
          <w:divBdr>
            <w:top w:val="none" w:sz="0" w:space="0" w:color="auto"/>
            <w:left w:val="none" w:sz="0" w:space="0" w:color="auto"/>
            <w:bottom w:val="none" w:sz="0" w:space="0" w:color="auto"/>
            <w:right w:val="none" w:sz="0" w:space="0" w:color="auto"/>
          </w:divBdr>
        </w:div>
        <w:div w:id="480267913">
          <w:marLeft w:val="0"/>
          <w:marRight w:val="0"/>
          <w:marTop w:val="0"/>
          <w:marBottom w:val="101"/>
          <w:divBdr>
            <w:top w:val="none" w:sz="0" w:space="0" w:color="auto"/>
            <w:left w:val="none" w:sz="0" w:space="0" w:color="auto"/>
            <w:bottom w:val="none" w:sz="0" w:space="0" w:color="auto"/>
            <w:right w:val="none" w:sz="0" w:space="0" w:color="auto"/>
          </w:divBdr>
        </w:div>
        <w:div w:id="1936211438">
          <w:marLeft w:val="0"/>
          <w:marRight w:val="0"/>
          <w:marTop w:val="0"/>
          <w:marBottom w:val="101"/>
          <w:divBdr>
            <w:top w:val="none" w:sz="0" w:space="0" w:color="auto"/>
            <w:left w:val="none" w:sz="0" w:space="0" w:color="auto"/>
            <w:bottom w:val="none" w:sz="0" w:space="0" w:color="auto"/>
            <w:right w:val="none" w:sz="0" w:space="0" w:color="auto"/>
          </w:divBdr>
        </w:div>
        <w:div w:id="1653673479">
          <w:marLeft w:val="0"/>
          <w:marRight w:val="0"/>
          <w:marTop w:val="0"/>
          <w:marBottom w:val="101"/>
          <w:divBdr>
            <w:top w:val="none" w:sz="0" w:space="0" w:color="auto"/>
            <w:left w:val="none" w:sz="0" w:space="0" w:color="auto"/>
            <w:bottom w:val="none" w:sz="0" w:space="0" w:color="auto"/>
            <w:right w:val="none" w:sz="0" w:space="0" w:color="auto"/>
          </w:divBdr>
        </w:div>
        <w:div w:id="932543469">
          <w:marLeft w:val="0"/>
          <w:marRight w:val="0"/>
          <w:marTop w:val="0"/>
          <w:marBottom w:val="101"/>
          <w:divBdr>
            <w:top w:val="none" w:sz="0" w:space="0" w:color="auto"/>
            <w:left w:val="none" w:sz="0" w:space="0" w:color="auto"/>
            <w:bottom w:val="none" w:sz="0" w:space="0" w:color="auto"/>
            <w:right w:val="none" w:sz="0" w:space="0" w:color="auto"/>
          </w:divBdr>
        </w:div>
        <w:div w:id="1549956600">
          <w:marLeft w:val="0"/>
          <w:marRight w:val="0"/>
          <w:marTop w:val="0"/>
          <w:marBottom w:val="101"/>
          <w:divBdr>
            <w:top w:val="none" w:sz="0" w:space="0" w:color="auto"/>
            <w:left w:val="none" w:sz="0" w:space="0" w:color="auto"/>
            <w:bottom w:val="none" w:sz="0" w:space="0" w:color="auto"/>
            <w:right w:val="none" w:sz="0" w:space="0" w:color="auto"/>
          </w:divBdr>
        </w:div>
        <w:div w:id="1329673151">
          <w:marLeft w:val="0"/>
          <w:marRight w:val="0"/>
          <w:marTop w:val="0"/>
          <w:marBottom w:val="101"/>
          <w:divBdr>
            <w:top w:val="none" w:sz="0" w:space="0" w:color="auto"/>
            <w:left w:val="none" w:sz="0" w:space="0" w:color="auto"/>
            <w:bottom w:val="none" w:sz="0" w:space="0" w:color="auto"/>
            <w:right w:val="none" w:sz="0" w:space="0" w:color="auto"/>
          </w:divBdr>
        </w:div>
        <w:div w:id="1042485896">
          <w:marLeft w:val="0"/>
          <w:marRight w:val="0"/>
          <w:marTop w:val="0"/>
          <w:marBottom w:val="101"/>
          <w:divBdr>
            <w:top w:val="none" w:sz="0" w:space="0" w:color="auto"/>
            <w:left w:val="none" w:sz="0" w:space="0" w:color="auto"/>
            <w:bottom w:val="none" w:sz="0" w:space="0" w:color="auto"/>
            <w:right w:val="none" w:sz="0" w:space="0" w:color="auto"/>
          </w:divBdr>
        </w:div>
        <w:div w:id="1882474731">
          <w:marLeft w:val="0"/>
          <w:marRight w:val="0"/>
          <w:marTop w:val="0"/>
          <w:marBottom w:val="101"/>
          <w:divBdr>
            <w:top w:val="none" w:sz="0" w:space="0" w:color="auto"/>
            <w:left w:val="none" w:sz="0" w:space="0" w:color="auto"/>
            <w:bottom w:val="none" w:sz="0" w:space="0" w:color="auto"/>
            <w:right w:val="none" w:sz="0" w:space="0" w:color="auto"/>
          </w:divBdr>
        </w:div>
        <w:div w:id="253057679">
          <w:marLeft w:val="0"/>
          <w:marRight w:val="0"/>
          <w:marTop w:val="0"/>
          <w:marBottom w:val="101"/>
          <w:divBdr>
            <w:top w:val="none" w:sz="0" w:space="0" w:color="auto"/>
            <w:left w:val="none" w:sz="0" w:space="0" w:color="auto"/>
            <w:bottom w:val="none" w:sz="0" w:space="0" w:color="auto"/>
            <w:right w:val="none" w:sz="0" w:space="0" w:color="auto"/>
          </w:divBdr>
        </w:div>
        <w:div w:id="867640807">
          <w:marLeft w:val="0"/>
          <w:marRight w:val="0"/>
          <w:marTop w:val="0"/>
          <w:marBottom w:val="101"/>
          <w:divBdr>
            <w:top w:val="none" w:sz="0" w:space="0" w:color="auto"/>
            <w:left w:val="none" w:sz="0" w:space="0" w:color="auto"/>
            <w:bottom w:val="none" w:sz="0" w:space="0" w:color="auto"/>
            <w:right w:val="none" w:sz="0" w:space="0" w:color="auto"/>
          </w:divBdr>
        </w:div>
        <w:div w:id="490219349">
          <w:marLeft w:val="0"/>
          <w:marRight w:val="0"/>
          <w:marTop w:val="0"/>
          <w:marBottom w:val="101"/>
          <w:divBdr>
            <w:top w:val="none" w:sz="0" w:space="0" w:color="auto"/>
            <w:left w:val="none" w:sz="0" w:space="0" w:color="auto"/>
            <w:bottom w:val="none" w:sz="0" w:space="0" w:color="auto"/>
            <w:right w:val="none" w:sz="0" w:space="0" w:color="auto"/>
          </w:divBdr>
        </w:div>
        <w:div w:id="2032293199">
          <w:marLeft w:val="0"/>
          <w:marRight w:val="0"/>
          <w:marTop w:val="0"/>
          <w:marBottom w:val="101"/>
          <w:divBdr>
            <w:top w:val="none" w:sz="0" w:space="0" w:color="auto"/>
            <w:left w:val="none" w:sz="0" w:space="0" w:color="auto"/>
            <w:bottom w:val="none" w:sz="0" w:space="0" w:color="auto"/>
            <w:right w:val="none" w:sz="0" w:space="0" w:color="auto"/>
          </w:divBdr>
        </w:div>
        <w:div w:id="1899898368">
          <w:marLeft w:val="0"/>
          <w:marRight w:val="0"/>
          <w:marTop w:val="0"/>
          <w:marBottom w:val="101"/>
          <w:divBdr>
            <w:top w:val="none" w:sz="0" w:space="0" w:color="auto"/>
            <w:left w:val="none" w:sz="0" w:space="0" w:color="auto"/>
            <w:bottom w:val="none" w:sz="0" w:space="0" w:color="auto"/>
            <w:right w:val="none" w:sz="0" w:space="0" w:color="auto"/>
          </w:divBdr>
        </w:div>
        <w:div w:id="1582137219">
          <w:marLeft w:val="0"/>
          <w:marRight w:val="0"/>
          <w:marTop w:val="0"/>
          <w:marBottom w:val="101"/>
          <w:divBdr>
            <w:top w:val="none" w:sz="0" w:space="0" w:color="auto"/>
            <w:left w:val="none" w:sz="0" w:space="0" w:color="auto"/>
            <w:bottom w:val="none" w:sz="0" w:space="0" w:color="auto"/>
            <w:right w:val="none" w:sz="0" w:space="0" w:color="auto"/>
          </w:divBdr>
        </w:div>
        <w:div w:id="2048869887">
          <w:marLeft w:val="0"/>
          <w:marRight w:val="0"/>
          <w:marTop w:val="0"/>
          <w:marBottom w:val="101"/>
          <w:divBdr>
            <w:top w:val="none" w:sz="0" w:space="0" w:color="auto"/>
            <w:left w:val="none" w:sz="0" w:space="0" w:color="auto"/>
            <w:bottom w:val="none" w:sz="0" w:space="0" w:color="auto"/>
            <w:right w:val="none" w:sz="0" w:space="0" w:color="auto"/>
          </w:divBdr>
        </w:div>
        <w:div w:id="1665670432">
          <w:marLeft w:val="0"/>
          <w:marRight w:val="0"/>
          <w:marTop w:val="0"/>
          <w:marBottom w:val="101"/>
          <w:divBdr>
            <w:top w:val="none" w:sz="0" w:space="0" w:color="auto"/>
            <w:left w:val="none" w:sz="0" w:space="0" w:color="auto"/>
            <w:bottom w:val="none" w:sz="0" w:space="0" w:color="auto"/>
            <w:right w:val="none" w:sz="0" w:space="0" w:color="auto"/>
          </w:divBdr>
        </w:div>
        <w:div w:id="1610308840">
          <w:marLeft w:val="0"/>
          <w:marRight w:val="0"/>
          <w:marTop w:val="0"/>
          <w:marBottom w:val="101"/>
          <w:divBdr>
            <w:top w:val="none" w:sz="0" w:space="0" w:color="auto"/>
            <w:left w:val="none" w:sz="0" w:space="0" w:color="auto"/>
            <w:bottom w:val="none" w:sz="0" w:space="0" w:color="auto"/>
            <w:right w:val="none" w:sz="0" w:space="0" w:color="auto"/>
          </w:divBdr>
        </w:div>
        <w:div w:id="506673001">
          <w:marLeft w:val="0"/>
          <w:marRight w:val="0"/>
          <w:marTop w:val="0"/>
          <w:marBottom w:val="101"/>
          <w:divBdr>
            <w:top w:val="none" w:sz="0" w:space="0" w:color="auto"/>
            <w:left w:val="none" w:sz="0" w:space="0" w:color="auto"/>
            <w:bottom w:val="none" w:sz="0" w:space="0" w:color="auto"/>
            <w:right w:val="none" w:sz="0" w:space="0" w:color="auto"/>
          </w:divBdr>
        </w:div>
        <w:div w:id="1135215296">
          <w:marLeft w:val="0"/>
          <w:marRight w:val="0"/>
          <w:marTop w:val="0"/>
          <w:marBottom w:val="101"/>
          <w:divBdr>
            <w:top w:val="none" w:sz="0" w:space="0" w:color="auto"/>
            <w:left w:val="none" w:sz="0" w:space="0" w:color="auto"/>
            <w:bottom w:val="none" w:sz="0" w:space="0" w:color="auto"/>
            <w:right w:val="none" w:sz="0" w:space="0" w:color="auto"/>
          </w:divBdr>
        </w:div>
        <w:div w:id="68886327">
          <w:marLeft w:val="0"/>
          <w:marRight w:val="0"/>
          <w:marTop w:val="0"/>
          <w:marBottom w:val="101"/>
          <w:divBdr>
            <w:top w:val="none" w:sz="0" w:space="0" w:color="auto"/>
            <w:left w:val="none" w:sz="0" w:space="0" w:color="auto"/>
            <w:bottom w:val="none" w:sz="0" w:space="0" w:color="auto"/>
            <w:right w:val="none" w:sz="0" w:space="0" w:color="auto"/>
          </w:divBdr>
        </w:div>
        <w:div w:id="35739070">
          <w:marLeft w:val="0"/>
          <w:marRight w:val="0"/>
          <w:marTop w:val="0"/>
          <w:marBottom w:val="101"/>
          <w:divBdr>
            <w:top w:val="none" w:sz="0" w:space="0" w:color="auto"/>
            <w:left w:val="none" w:sz="0" w:space="0" w:color="auto"/>
            <w:bottom w:val="none" w:sz="0" w:space="0" w:color="auto"/>
            <w:right w:val="none" w:sz="0" w:space="0" w:color="auto"/>
          </w:divBdr>
        </w:div>
        <w:div w:id="1910722534">
          <w:marLeft w:val="0"/>
          <w:marRight w:val="0"/>
          <w:marTop w:val="0"/>
          <w:marBottom w:val="101"/>
          <w:divBdr>
            <w:top w:val="none" w:sz="0" w:space="0" w:color="auto"/>
            <w:left w:val="none" w:sz="0" w:space="0" w:color="auto"/>
            <w:bottom w:val="none" w:sz="0" w:space="0" w:color="auto"/>
            <w:right w:val="none" w:sz="0" w:space="0" w:color="auto"/>
          </w:divBdr>
        </w:div>
        <w:div w:id="1083717768">
          <w:marLeft w:val="0"/>
          <w:marRight w:val="0"/>
          <w:marTop w:val="0"/>
          <w:marBottom w:val="101"/>
          <w:divBdr>
            <w:top w:val="none" w:sz="0" w:space="0" w:color="auto"/>
            <w:left w:val="none" w:sz="0" w:space="0" w:color="auto"/>
            <w:bottom w:val="none" w:sz="0" w:space="0" w:color="auto"/>
            <w:right w:val="none" w:sz="0" w:space="0" w:color="auto"/>
          </w:divBdr>
        </w:div>
        <w:div w:id="1468358392">
          <w:marLeft w:val="0"/>
          <w:marRight w:val="0"/>
          <w:marTop w:val="0"/>
          <w:marBottom w:val="101"/>
          <w:divBdr>
            <w:top w:val="none" w:sz="0" w:space="0" w:color="auto"/>
            <w:left w:val="none" w:sz="0" w:space="0" w:color="auto"/>
            <w:bottom w:val="none" w:sz="0" w:space="0" w:color="auto"/>
            <w:right w:val="none" w:sz="0" w:space="0" w:color="auto"/>
          </w:divBdr>
        </w:div>
        <w:div w:id="1746686790">
          <w:marLeft w:val="0"/>
          <w:marRight w:val="0"/>
          <w:marTop w:val="0"/>
          <w:marBottom w:val="101"/>
          <w:divBdr>
            <w:top w:val="none" w:sz="0" w:space="0" w:color="auto"/>
            <w:left w:val="none" w:sz="0" w:space="0" w:color="auto"/>
            <w:bottom w:val="none" w:sz="0" w:space="0" w:color="auto"/>
            <w:right w:val="none" w:sz="0" w:space="0" w:color="auto"/>
          </w:divBdr>
        </w:div>
        <w:div w:id="932780042">
          <w:marLeft w:val="0"/>
          <w:marRight w:val="0"/>
          <w:marTop w:val="0"/>
          <w:marBottom w:val="101"/>
          <w:divBdr>
            <w:top w:val="none" w:sz="0" w:space="0" w:color="auto"/>
            <w:left w:val="none" w:sz="0" w:space="0" w:color="auto"/>
            <w:bottom w:val="none" w:sz="0" w:space="0" w:color="auto"/>
            <w:right w:val="none" w:sz="0" w:space="0" w:color="auto"/>
          </w:divBdr>
        </w:div>
        <w:div w:id="987127519">
          <w:marLeft w:val="0"/>
          <w:marRight w:val="0"/>
          <w:marTop w:val="0"/>
          <w:marBottom w:val="101"/>
          <w:divBdr>
            <w:top w:val="none" w:sz="0" w:space="0" w:color="auto"/>
            <w:left w:val="none" w:sz="0" w:space="0" w:color="auto"/>
            <w:bottom w:val="none" w:sz="0" w:space="0" w:color="auto"/>
            <w:right w:val="none" w:sz="0" w:space="0" w:color="auto"/>
          </w:divBdr>
        </w:div>
        <w:div w:id="1490290210">
          <w:marLeft w:val="0"/>
          <w:marRight w:val="0"/>
          <w:marTop w:val="0"/>
          <w:marBottom w:val="101"/>
          <w:divBdr>
            <w:top w:val="none" w:sz="0" w:space="0" w:color="auto"/>
            <w:left w:val="none" w:sz="0" w:space="0" w:color="auto"/>
            <w:bottom w:val="none" w:sz="0" w:space="0" w:color="auto"/>
            <w:right w:val="none" w:sz="0" w:space="0" w:color="auto"/>
          </w:divBdr>
        </w:div>
        <w:div w:id="1469011107">
          <w:marLeft w:val="0"/>
          <w:marRight w:val="0"/>
          <w:marTop w:val="0"/>
          <w:marBottom w:val="101"/>
          <w:divBdr>
            <w:top w:val="none" w:sz="0" w:space="0" w:color="auto"/>
            <w:left w:val="none" w:sz="0" w:space="0" w:color="auto"/>
            <w:bottom w:val="none" w:sz="0" w:space="0" w:color="auto"/>
            <w:right w:val="none" w:sz="0" w:space="0" w:color="auto"/>
          </w:divBdr>
        </w:div>
        <w:div w:id="162555345">
          <w:marLeft w:val="0"/>
          <w:marRight w:val="0"/>
          <w:marTop w:val="0"/>
          <w:marBottom w:val="101"/>
          <w:divBdr>
            <w:top w:val="none" w:sz="0" w:space="0" w:color="auto"/>
            <w:left w:val="none" w:sz="0" w:space="0" w:color="auto"/>
            <w:bottom w:val="none" w:sz="0" w:space="0" w:color="auto"/>
            <w:right w:val="none" w:sz="0" w:space="0" w:color="auto"/>
          </w:divBdr>
        </w:div>
        <w:div w:id="385687617">
          <w:marLeft w:val="0"/>
          <w:marRight w:val="0"/>
          <w:marTop w:val="0"/>
          <w:marBottom w:val="101"/>
          <w:divBdr>
            <w:top w:val="none" w:sz="0" w:space="0" w:color="auto"/>
            <w:left w:val="none" w:sz="0" w:space="0" w:color="auto"/>
            <w:bottom w:val="none" w:sz="0" w:space="0" w:color="auto"/>
            <w:right w:val="none" w:sz="0" w:space="0" w:color="auto"/>
          </w:divBdr>
        </w:div>
        <w:div w:id="1767339837">
          <w:marLeft w:val="0"/>
          <w:marRight w:val="0"/>
          <w:marTop w:val="0"/>
          <w:marBottom w:val="101"/>
          <w:divBdr>
            <w:top w:val="none" w:sz="0" w:space="0" w:color="auto"/>
            <w:left w:val="none" w:sz="0" w:space="0" w:color="auto"/>
            <w:bottom w:val="none" w:sz="0" w:space="0" w:color="auto"/>
            <w:right w:val="none" w:sz="0" w:space="0" w:color="auto"/>
          </w:divBdr>
        </w:div>
        <w:div w:id="896478939">
          <w:marLeft w:val="0"/>
          <w:marRight w:val="0"/>
          <w:marTop w:val="0"/>
          <w:marBottom w:val="101"/>
          <w:divBdr>
            <w:top w:val="none" w:sz="0" w:space="0" w:color="auto"/>
            <w:left w:val="none" w:sz="0" w:space="0" w:color="auto"/>
            <w:bottom w:val="none" w:sz="0" w:space="0" w:color="auto"/>
            <w:right w:val="none" w:sz="0" w:space="0" w:color="auto"/>
          </w:divBdr>
        </w:div>
        <w:div w:id="520123393">
          <w:marLeft w:val="0"/>
          <w:marRight w:val="0"/>
          <w:marTop w:val="0"/>
          <w:marBottom w:val="101"/>
          <w:divBdr>
            <w:top w:val="none" w:sz="0" w:space="0" w:color="auto"/>
            <w:left w:val="none" w:sz="0" w:space="0" w:color="auto"/>
            <w:bottom w:val="none" w:sz="0" w:space="0" w:color="auto"/>
            <w:right w:val="none" w:sz="0" w:space="0" w:color="auto"/>
          </w:divBdr>
        </w:div>
        <w:div w:id="1126070">
          <w:marLeft w:val="0"/>
          <w:marRight w:val="0"/>
          <w:marTop w:val="0"/>
          <w:marBottom w:val="101"/>
          <w:divBdr>
            <w:top w:val="none" w:sz="0" w:space="0" w:color="auto"/>
            <w:left w:val="none" w:sz="0" w:space="0" w:color="auto"/>
            <w:bottom w:val="none" w:sz="0" w:space="0" w:color="auto"/>
            <w:right w:val="none" w:sz="0" w:space="0" w:color="auto"/>
          </w:divBdr>
        </w:div>
        <w:div w:id="266694618">
          <w:marLeft w:val="0"/>
          <w:marRight w:val="0"/>
          <w:marTop w:val="0"/>
          <w:marBottom w:val="101"/>
          <w:divBdr>
            <w:top w:val="none" w:sz="0" w:space="0" w:color="auto"/>
            <w:left w:val="none" w:sz="0" w:space="0" w:color="auto"/>
            <w:bottom w:val="none" w:sz="0" w:space="0" w:color="auto"/>
            <w:right w:val="none" w:sz="0" w:space="0" w:color="auto"/>
          </w:divBdr>
        </w:div>
        <w:div w:id="968703562">
          <w:marLeft w:val="0"/>
          <w:marRight w:val="0"/>
          <w:marTop w:val="0"/>
          <w:marBottom w:val="101"/>
          <w:divBdr>
            <w:top w:val="none" w:sz="0" w:space="0" w:color="auto"/>
            <w:left w:val="none" w:sz="0" w:space="0" w:color="auto"/>
            <w:bottom w:val="none" w:sz="0" w:space="0" w:color="auto"/>
            <w:right w:val="none" w:sz="0" w:space="0" w:color="auto"/>
          </w:divBdr>
        </w:div>
        <w:div w:id="725179901">
          <w:marLeft w:val="0"/>
          <w:marRight w:val="0"/>
          <w:marTop w:val="0"/>
          <w:marBottom w:val="101"/>
          <w:divBdr>
            <w:top w:val="none" w:sz="0" w:space="0" w:color="auto"/>
            <w:left w:val="none" w:sz="0" w:space="0" w:color="auto"/>
            <w:bottom w:val="none" w:sz="0" w:space="0" w:color="auto"/>
            <w:right w:val="none" w:sz="0" w:space="0" w:color="auto"/>
          </w:divBdr>
        </w:div>
        <w:div w:id="1624191627">
          <w:marLeft w:val="0"/>
          <w:marRight w:val="0"/>
          <w:marTop w:val="0"/>
          <w:marBottom w:val="101"/>
          <w:divBdr>
            <w:top w:val="none" w:sz="0" w:space="0" w:color="auto"/>
            <w:left w:val="none" w:sz="0" w:space="0" w:color="auto"/>
            <w:bottom w:val="none" w:sz="0" w:space="0" w:color="auto"/>
            <w:right w:val="none" w:sz="0" w:space="0" w:color="auto"/>
          </w:divBdr>
        </w:div>
        <w:div w:id="298457056">
          <w:marLeft w:val="0"/>
          <w:marRight w:val="0"/>
          <w:marTop w:val="0"/>
          <w:marBottom w:val="101"/>
          <w:divBdr>
            <w:top w:val="none" w:sz="0" w:space="0" w:color="auto"/>
            <w:left w:val="none" w:sz="0" w:space="0" w:color="auto"/>
            <w:bottom w:val="none" w:sz="0" w:space="0" w:color="auto"/>
            <w:right w:val="none" w:sz="0" w:space="0" w:color="auto"/>
          </w:divBdr>
        </w:div>
        <w:div w:id="185599035">
          <w:marLeft w:val="0"/>
          <w:marRight w:val="0"/>
          <w:marTop w:val="0"/>
          <w:marBottom w:val="101"/>
          <w:divBdr>
            <w:top w:val="none" w:sz="0" w:space="0" w:color="auto"/>
            <w:left w:val="none" w:sz="0" w:space="0" w:color="auto"/>
            <w:bottom w:val="none" w:sz="0" w:space="0" w:color="auto"/>
            <w:right w:val="none" w:sz="0" w:space="0" w:color="auto"/>
          </w:divBdr>
        </w:div>
        <w:div w:id="1299147761">
          <w:marLeft w:val="0"/>
          <w:marRight w:val="0"/>
          <w:marTop w:val="0"/>
          <w:marBottom w:val="101"/>
          <w:divBdr>
            <w:top w:val="none" w:sz="0" w:space="0" w:color="auto"/>
            <w:left w:val="none" w:sz="0" w:space="0" w:color="auto"/>
            <w:bottom w:val="none" w:sz="0" w:space="0" w:color="auto"/>
            <w:right w:val="none" w:sz="0" w:space="0" w:color="auto"/>
          </w:divBdr>
        </w:div>
        <w:div w:id="507259301">
          <w:marLeft w:val="0"/>
          <w:marRight w:val="0"/>
          <w:marTop w:val="0"/>
          <w:marBottom w:val="101"/>
          <w:divBdr>
            <w:top w:val="none" w:sz="0" w:space="0" w:color="auto"/>
            <w:left w:val="none" w:sz="0" w:space="0" w:color="auto"/>
            <w:bottom w:val="none" w:sz="0" w:space="0" w:color="auto"/>
            <w:right w:val="none" w:sz="0" w:space="0" w:color="auto"/>
          </w:divBdr>
        </w:div>
        <w:div w:id="617489260">
          <w:marLeft w:val="0"/>
          <w:marRight w:val="0"/>
          <w:marTop w:val="0"/>
          <w:marBottom w:val="101"/>
          <w:divBdr>
            <w:top w:val="none" w:sz="0" w:space="0" w:color="auto"/>
            <w:left w:val="none" w:sz="0" w:space="0" w:color="auto"/>
            <w:bottom w:val="none" w:sz="0" w:space="0" w:color="auto"/>
            <w:right w:val="none" w:sz="0" w:space="0" w:color="auto"/>
          </w:divBdr>
        </w:div>
        <w:div w:id="65037164">
          <w:marLeft w:val="0"/>
          <w:marRight w:val="0"/>
          <w:marTop w:val="0"/>
          <w:marBottom w:val="101"/>
          <w:divBdr>
            <w:top w:val="none" w:sz="0" w:space="0" w:color="auto"/>
            <w:left w:val="none" w:sz="0" w:space="0" w:color="auto"/>
            <w:bottom w:val="none" w:sz="0" w:space="0" w:color="auto"/>
            <w:right w:val="none" w:sz="0" w:space="0" w:color="auto"/>
          </w:divBdr>
        </w:div>
        <w:div w:id="1232619134">
          <w:marLeft w:val="0"/>
          <w:marRight w:val="0"/>
          <w:marTop w:val="0"/>
          <w:marBottom w:val="101"/>
          <w:divBdr>
            <w:top w:val="none" w:sz="0" w:space="0" w:color="auto"/>
            <w:left w:val="none" w:sz="0" w:space="0" w:color="auto"/>
            <w:bottom w:val="none" w:sz="0" w:space="0" w:color="auto"/>
            <w:right w:val="none" w:sz="0" w:space="0" w:color="auto"/>
          </w:divBdr>
        </w:div>
        <w:div w:id="1695576648">
          <w:marLeft w:val="0"/>
          <w:marRight w:val="0"/>
          <w:marTop w:val="0"/>
          <w:marBottom w:val="101"/>
          <w:divBdr>
            <w:top w:val="none" w:sz="0" w:space="0" w:color="auto"/>
            <w:left w:val="none" w:sz="0" w:space="0" w:color="auto"/>
            <w:bottom w:val="none" w:sz="0" w:space="0" w:color="auto"/>
            <w:right w:val="none" w:sz="0" w:space="0" w:color="auto"/>
          </w:divBdr>
        </w:div>
        <w:div w:id="1607274291">
          <w:marLeft w:val="0"/>
          <w:marRight w:val="0"/>
          <w:marTop w:val="0"/>
          <w:marBottom w:val="101"/>
          <w:divBdr>
            <w:top w:val="none" w:sz="0" w:space="0" w:color="auto"/>
            <w:left w:val="none" w:sz="0" w:space="0" w:color="auto"/>
            <w:bottom w:val="none" w:sz="0" w:space="0" w:color="auto"/>
            <w:right w:val="none" w:sz="0" w:space="0" w:color="auto"/>
          </w:divBdr>
        </w:div>
        <w:div w:id="630021265">
          <w:marLeft w:val="0"/>
          <w:marRight w:val="0"/>
          <w:marTop w:val="0"/>
          <w:marBottom w:val="101"/>
          <w:divBdr>
            <w:top w:val="none" w:sz="0" w:space="0" w:color="auto"/>
            <w:left w:val="none" w:sz="0" w:space="0" w:color="auto"/>
            <w:bottom w:val="none" w:sz="0" w:space="0" w:color="auto"/>
            <w:right w:val="none" w:sz="0" w:space="0" w:color="auto"/>
          </w:divBdr>
        </w:div>
        <w:div w:id="976909357">
          <w:marLeft w:val="0"/>
          <w:marRight w:val="0"/>
          <w:marTop w:val="0"/>
          <w:marBottom w:val="101"/>
          <w:divBdr>
            <w:top w:val="none" w:sz="0" w:space="0" w:color="auto"/>
            <w:left w:val="none" w:sz="0" w:space="0" w:color="auto"/>
            <w:bottom w:val="none" w:sz="0" w:space="0" w:color="auto"/>
            <w:right w:val="none" w:sz="0" w:space="0" w:color="auto"/>
          </w:divBdr>
        </w:div>
        <w:div w:id="217983859">
          <w:marLeft w:val="0"/>
          <w:marRight w:val="0"/>
          <w:marTop w:val="0"/>
          <w:marBottom w:val="101"/>
          <w:divBdr>
            <w:top w:val="none" w:sz="0" w:space="0" w:color="auto"/>
            <w:left w:val="none" w:sz="0" w:space="0" w:color="auto"/>
            <w:bottom w:val="none" w:sz="0" w:space="0" w:color="auto"/>
            <w:right w:val="none" w:sz="0" w:space="0" w:color="auto"/>
          </w:divBdr>
        </w:div>
        <w:div w:id="1616326116">
          <w:marLeft w:val="0"/>
          <w:marRight w:val="0"/>
          <w:marTop w:val="0"/>
          <w:marBottom w:val="101"/>
          <w:divBdr>
            <w:top w:val="none" w:sz="0" w:space="0" w:color="auto"/>
            <w:left w:val="none" w:sz="0" w:space="0" w:color="auto"/>
            <w:bottom w:val="none" w:sz="0" w:space="0" w:color="auto"/>
            <w:right w:val="none" w:sz="0" w:space="0" w:color="auto"/>
          </w:divBdr>
        </w:div>
        <w:div w:id="249630268">
          <w:marLeft w:val="0"/>
          <w:marRight w:val="0"/>
          <w:marTop w:val="0"/>
          <w:marBottom w:val="101"/>
          <w:divBdr>
            <w:top w:val="none" w:sz="0" w:space="0" w:color="auto"/>
            <w:left w:val="none" w:sz="0" w:space="0" w:color="auto"/>
            <w:bottom w:val="none" w:sz="0" w:space="0" w:color="auto"/>
            <w:right w:val="none" w:sz="0" w:space="0" w:color="auto"/>
          </w:divBdr>
        </w:div>
        <w:div w:id="451293066">
          <w:marLeft w:val="0"/>
          <w:marRight w:val="0"/>
          <w:marTop w:val="0"/>
          <w:marBottom w:val="101"/>
          <w:divBdr>
            <w:top w:val="none" w:sz="0" w:space="0" w:color="auto"/>
            <w:left w:val="none" w:sz="0" w:space="0" w:color="auto"/>
            <w:bottom w:val="none" w:sz="0" w:space="0" w:color="auto"/>
            <w:right w:val="none" w:sz="0" w:space="0" w:color="auto"/>
          </w:divBdr>
        </w:div>
        <w:div w:id="1523588955">
          <w:marLeft w:val="0"/>
          <w:marRight w:val="0"/>
          <w:marTop w:val="0"/>
          <w:marBottom w:val="101"/>
          <w:divBdr>
            <w:top w:val="none" w:sz="0" w:space="0" w:color="auto"/>
            <w:left w:val="none" w:sz="0" w:space="0" w:color="auto"/>
            <w:bottom w:val="none" w:sz="0" w:space="0" w:color="auto"/>
            <w:right w:val="none" w:sz="0" w:space="0" w:color="auto"/>
          </w:divBdr>
        </w:div>
        <w:div w:id="63111381">
          <w:marLeft w:val="0"/>
          <w:marRight w:val="0"/>
          <w:marTop w:val="0"/>
          <w:marBottom w:val="101"/>
          <w:divBdr>
            <w:top w:val="none" w:sz="0" w:space="0" w:color="auto"/>
            <w:left w:val="none" w:sz="0" w:space="0" w:color="auto"/>
            <w:bottom w:val="none" w:sz="0" w:space="0" w:color="auto"/>
            <w:right w:val="none" w:sz="0" w:space="0" w:color="auto"/>
          </w:divBdr>
        </w:div>
        <w:div w:id="2126534754">
          <w:marLeft w:val="0"/>
          <w:marRight w:val="0"/>
          <w:marTop w:val="0"/>
          <w:marBottom w:val="101"/>
          <w:divBdr>
            <w:top w:val="none" w:sz="0" w:space="0" w:color="auto"/>
            <w:left w:val="none" w:sz="0" w:space="0" w:color="auto"/>
            <w:bottom w:val="none" w:sz="0" w:space="0" w:color="auto"/>
            <w:right w:val="none" w:sz="0" w:space="0" w:color="auto"/>
          </w:divBdr>
        </w:div>
        <w:div w:id="713890324">
          <w:marLeft w:val="0"/>
          <w:marRight w:val="0"/>
          <w:marTop w:val="0"/>
          <w:marBottom w:val="101"/>
          <w:divBdr>
            <w:top w:val="none" w:sz="0" w:space="0" w:color="auto"/>
            <w:left w:val="none" w:sz="0" w:space="0" w:color="auto"/>
            <w:bottom w:val="none" w:sz="0" w:space="0" w:color="auto"/>
            <w:right w:val="none" w:sz="0" w:space="0" w:color="auto"/>
          </w:divBdr>
        </w:div>
        <w:div w:id="284311069">
          <w:marLeft w:val="0"/>
          <w:marRight w:val="0"/>
          <w:marTop w:val="0"/>
          <w:marBottom w:val="101"/>
          <w:divBdr>
            <w:top w:val="none" w:sz="0" w:space="0" w:color="auto"/>
            <w:left w:val="none" w:sz="0" w:space="0" w:color="auto"/>
            <w:bottom w:val="none" w:sz="0" w:space="0" w:color="auto"/>
            <w:right w:val="none" w:sz="0" w:space="0" w:color="auto"/>
          </w:divBdr>
        </w:div>
        <w:div w:id="134882886">
          <w:marLeft w:val="0"/>
          <w:marRight w:val="0"/>
          <w:marTop w:val="0"/>
          <w:marBottom w:val="101"/>
          <w:divBdr>
            <w:top w:val="none" w:sz="0" w:space="0" w:color="auto"/>
            <w:left w:val="none" w:sz="0" w:space="0" w:color="auto"/>
            <w:bottom w:val="none" w:sz="0" w:space="0" w:color="auto"/>
            <w:right w:val="none" w:sz="0" w:space="0" w:color="auto"/>
          </w:divBdr>
        </w:div>
        <w:div w:id="1287470489">
          <w:marLeft w:val="0"/>
          <w:marRight w:val="0"/>
          <w:marTop w:val="0"/>
          <w:marBottom w:val="101"/>
          <w:divBdr>
            <w:top w:val="none" w:sz="0" w:space="0" w:color="auto"/>
            <w:left w:val="none" w:sz="0" w:space="0" w:color="auto"/>
            <w:bottom w:val="none" w:sz="0" w:space="0" w:color="auto"/>
            <w:right w:val="none" w:sz="0" w:space="0" w:color="auto"/>
          </w:divBdr>
        </w:div>
        <w:div w:id="728184769">
          <w:marLeft w:val="0"/>
          <w:marRight w:val="0"/>
          <w:marTop w:val="0"/>
          <w:marBottom w:val="101"/>
          <w:divBdr>
            <w:top w:val="none" w:sz="0" w:space="0" w:color="auto"/>
            <w:left w:val="none" w:sz="0" w:space="0" w:color="auto"/>
            <w:bottom w:val="none" w:sz="0" w:space="0" w:color="auto"/>
            <w:right w:val="none" w:sz="0" w:space="0" w:color="auto"/>
          </w:divBdr>
        </w:div>
        <w:div w:id="2140414236">
          <w:marLeft w:val="0"/>
          <w:marRight w:val="0"/>
          <w:marTop w:val="0"/>
          <w:marBottom w:val="101"/>
          <w:divBdr>
            <w:top w:val="none" w:sz="0" w:space="0" w:color="auto"/>
            <w:left w:val="none" w:sz="0" w:space="0" w:color="auto"/>
            <w:bottom w:val="none" w:sz="0" w:space="0" w:color="auto"/>
            <w:right w:val="none" w:sz="0" w:space="0" w:color="auto"/>
          </w:divBdr>
        </w:div>
        <w:div w:id="971133777">
          <w:marLeft w:val="0"/>
          <w:marRight w:val="0"/>
          <w:marTop w:val="0"/>
          <w:marBottom w:val="101"/>
          <w:divBdr>
            <w:top w:val="none" w:sz="0" w:space="0" w:color="auto"/>
            <w:left w:val="none" w:sz="0" w:space="0" w:color="auto"/>
            <w:bottom w:val="none" w:sz="0" w:space="0" w:color="auto"/>
            <w:right w:val="none" w:sz="0" w:space="0" w:color="auto"/>
          </w:divBdr>
        </w:div>
        <w:div w:id="1882128826">
          <w:marLeft w:val="0"/>
          <w:marRight w:val="0"/>
          <w:marTop w:val="0"/>
          <w:marBottom w:val="101"/>
          <w:divBdr>
            <w:top w:val="none" w:sz="0" w:space="0" w:color="auto"/>
            <w:left w:val="none" w:sz="0" w:space="0" w:color="auto"/>
            <w:bottom w:val="none" w:sz="0" w:space="0" w:color="auto"/>
            <w:right w:val="none" w:sz="0" w:space="0" w:color="auto"/>
          </w:divBdr>
        </w:div>
        <w:div w:id="490219677">
          <w:marLeft w:val="0"/>
          <w:marRight w:val="0"/>
          <w:marTop w:val="0"/>
          <w:marBottom w:val="101"/>
          <w:divBdr>
            <w:top w:val="none" w:sz="0" w:space="0" w:color="auto"/>
            <w:left w:val="none" w:sz="0" w:space="0" w:color="auto"/>
            <w:bottom w:val="none" w:sz="0" w:space="0" w:color="auto"/>
            <w:right w:val="none" w:sz="0" w:space="0" w:color="auto"/>
          </w:divBdr>
        </w:div>
        <w:div w:id="419718691">
          <w:marLeft w:val="0"/>
          <w:marRight w:val="0"/>
          <w:marTop w:val="0"/>
          <w:marBottom w:val="101"/>
          <w:divBdr>
            <w:top w:val="none" w:sz="0" w:space="0" w:color="auto"/>
            <w:left w:val="none" w:sz="0" w:space="0" w:color="auto"/>
            <w:bottom w:val="none" w:sz="0" w:space="0" w:color="auto"/>
            <w:right w:val="none" w:sz="0" w:space="0" w:color="auto"/>
          </w:divBdr>
        </w:div>
        <w:div w:id="2013797882">
          <w:marLeft w:val="0"/>
          <w:marRight w:val="0"/>
          <w:marTop w:val="0"/>
          <w:marBottom w:val="101"/>
          <w:divBdr>
            <w:top w:val="none" w:sz="0" w:space="0" w:color="auto"/>
            <w:left w:val="none" w:sz="0" w:space="0" w:color="auto"/>
            <w:bottom w:val="none" w:sz="0" w:space="0" w:color="auto"/>
            <w:right w:val="none" w:sz="0" w:space="0" w:color="auto"/>
          </w:divBdr>
        </w:div>
        <w:div w:id="2146503080">
          <w:marLeft w:val="0"/>
          <w:marRight w:val="0"/>
          <w:marTop w:val="0"/>
          <w:marBottom w:val="101"/>
          <w:divBdr>
            <w:top w:val="none" w:sz="0" w:space="0" w:color="auto"/>
            <w:left w:val="none" w:sz="0" w:space="0" w:color="auto"/>
            <w:bottom w:val="none" w:sz="0" w:space="0" w:color="auto"/>
            <w:right w:val="none" w:sz="0" w:space="0" w:color="auto"/>
          </w:divBdr>
        </w:div>
        <w:div w:id="2078938521">
          <w:marLeft w:val="0"/>
          <w:marRight w:val="0"/>
          <w:marTop w:val="0"/>
          <w:marBottom w:val="101"/>
          <w:divBdr>
            <w:top w:val="none" w:sz="0" w:space="0" w:color="auto"/>
            <w:left w:val="none" w:sz="0" w:space="0" w:color="auto"/>
            <w:bottom w:val="none" w:sz="0" w:space="0" w:color="auto"/>
            <w:right w:val="none" w:sz="0" w:space="0" w:color="auto"/>
          </w:divBdr>
        </w:div>
        <w:div w:id="202057909">
          <w:marLeft w:val="0"/>
          <w:marRight w:val="0"/>
          <w:marTop w:val="0"/>
          <w:marBottom w:val="101"/>
          <w:divBdr>
            <w:top w:val="none" w:sz="0" w:space="0" w:color="auto"/>
            <w:left w:val="none" w:sz="0" w:space="0" w:color="auto"/>
            <w:bottom w:val="none" w:sz="0" w:space="0" w:color="auto"/>
            <w:right w:val="none" w:sz="0" w:space="0" w:color="auto"/>
          </w:divBdr>
        </w:div>
        <w:div w:id="1515614322">
          <w:marLeft w:val="0"/>
          <w:marRight w:val="0"/>
          <w:marTop w:val="0"/>
          <w:marBottom w:val="101"/>
          <w:divBdr>
            <w:top w:val="none" w:sz="0" w:space="0" w:color="auto"/>
            <w:left w:val="none" w:sz="0" w:space="0" w:color="auto"/>
            <w:bottom w:val="none" w:sz="0" w:space="0" w:color="auto"/>
            <w:right w:val="none" w:sz="0" w:space="0" w:color="auto"/>
          </w:divBdr>
        </w:div>
        <w:div w:id="1798259421">
          <w:marLeft w:val="0"/>
          <w:marRight w:val="0"/>
          <w:marTop w:val="0"/>
          <w:marBottom w:val="101"/>
          <w:divBdr>
            <w:top w:val="none" w:sz="0" w:space="0" w:color="auto"/>
            <w:left w:val="none" w:sz="0" w:space="0" w:color="auto"/>
            <w:bottom w:val="none" w:sz="0" w:space="0" w:color="auto"/>
            <w:right w:val="none" w:sz="0" w:space="0" w:color="auto"/>
          </w:divBdr>
        </w:div>
        <w:div w:id="751658154">
          <w:marLeft w:val="0"/>
          <w:marRight w:val="0"/>
          <w:marTop w:val="0"/>
          <w:marBottom w:val="101"/>
          <w:divBdr>
            <w:top w:val="none" w:sz="0" w:space="0" w:color="auto"/>
            <w:left w:val="none" w:sz="0" w:space="0" w:color="auto"/>
            <w:bottom w:val="none" w:sz="0" w:space="0" w:color="auto"/>
            <w:right w:val="none" w:sz="0" w:space="0" w:color="auto"/>
          </w:divBdr>
        </w:div>
        <w:div w:id="94788076">
          <w:marLeft w:val="0"/>
          <w:marRight w:val="0"/>
          <w:marTop w:val="0"/>
          <w:marBottom w:val="101"/>
          <w:divBdr>
            <w:top w:val="none" w:sz="0" w:space="0" w:color="auto"/>
            <w:left w:val="none" w:sz="0" w:space="0" w:color="auto"/>
            <w:bottom w:val="none" w:sz="0" w:space="0" w:color="auto"/>
            <w:right w:val="none" w:sz="0" w:space="0" w:color="auto"/>
          </w:divBdr>
        </w:div>
        <w:div w:id="1431975679">
          <w:marLeft w:val="0"/>
          <w:marRight w:val="0"/>
          <w:marTop w:val="0"/>
          <w:marBottom w:val="101"/>
          <w:divBdr>
            <w:top w:val="none" w:sz="0" w:space="0" w:color="auto"/>
            <w:left w:val="none" w:sz="0" w:space="0" w:color="auto"/>
            <w:bottom w:val="none" w:sz="0" w:space="0" w:color="auto"/>
            <w:right w:val="none" w:sz="0" w:space="0" w:color="auto"/>
          </w:divBdr>
        </w:div>
        <w:div w:id="1690911607">
          <w:marLeft w:val="0"/>
          <w:marRight w:val="0"/>
          <w:marTop w:val="0"/>
          <w:marBottom w:val="101"/>
          <w:divBdr>
            <w:top w:val="none" w:sz="0" w:space="0" w:color="auto"/>
            <w:left w:val="none" w:sz="0" w:space="0" w:color="auto"/>
            <w:bottom w:val="none" w:sz="0" w:space="0" w:color="auto"/>
            <w:right w:val="none" w:sz="0" w:space="0" w:color="auto"/>
          </w:divBdr>
        </w:div>
        <w:div w:id="1091969346">
          <w:marLeft w:val="0"/>
          <w:marRight w:val="0"/>
          <w:marTop w:val="0"/>
          <w:marBottom w:val="101"/>
          <w:divBdr>
            <w:top w:val="none" w:sz="0" w:space="0" w:color="auto"/>
            <w:left w:val="none" w:sz="0" w:space="0" w:color="auto"/>
            <w:bottom w:val="none" w:sz="0" w:space="0" w:color="auto"/>
            <w:right w:val="none" w:sz="0" w:space="0" w:color="auto"/>
          </w:divBdr>
        </w:div>
        <w:div w:id="1985545488">
          <w:marLeft w:val="0"/>
          <w:marRight w:val="0"/>
          <w:marTop w:val="0"/>
          <w:marBottom w:val="101"/>
          <w:divBdr>
            <w:top w:val="none" w:sz="0" w:space="0" w:color="auto"/>
            <w:left w:val="none" w:sz="0" w:space="0" w:color="auto"/>
            <w:bottom w:val="none" w:sz="0" w:space="0" w:color="auto"/>
            <w:right w:val="none" w:sz="0" w:space="0" w:color="auto"/>
          </w:divBdr>
        </w:div>
        <w:div w:id="205289703">
          <w:marLeft w:val="0"/>
          <w:marRight w:val="0"/>
          <w:marTop w:val="0"/>
          <w:marBottom w:val="101"/>
          <w:divBdr>
            <w:top w:val="none" w:sz="0" w:space="0" w:color="auto"/>
            <w:left w:val="none" w:sz="0" w:space="0" w:color="auto"/>
            <w:bottom w:val="none" w:sz="0" w:space="0" w:color="auto"/>
            <w:right w:val="none" w:sz="0" w:space="0" w:color="auto"/>
          </w:divBdr>
        </w:div>
        <w:div w:id="1458137735">
          <w:marLeft w:val="0"/>
          <w:marRight w:val="0"/>
          <w:marTop w:val="0"/>
          <w:marBottom w:val="101"/>
          <w:divBdr>
            <w:top w:val="none" w:sz="0" w:space="0" w:color="auto"/>
            <w:left w:val="none" w:sz="0" w:space="0" w:color="auto"/>
            <w:bottom w:val="none" w:sz="0" w:space="0" w:color="auto"/>
            <w:right w:val="none" w:sz="0" w:space="0" w:color="auto"/>
          </w:divBdr>
        </w:div>
        <w:div w:id="1800880661">
          <w:marLeft w:val="0"/>
          <w:marRight w:val="0"/>
          <w:marTop w:val="0"/>
          <w:marBottom w:val="101"/>
          <w:divBdr>
            <w:top w:val="none" w:sz="0" w:space="0" w:color="auto"/>
            <w:left w:val="none" w:sz="0" w:space="0" w:color="auto"/>
            <w:bottom w:val="none" w:sz="0" w:space="0" w:color="auto"/>
            <w:right w:val="none" w:sz="0" w:space="0" w:color="auto"/>
          </w:divBdr>
        </w:div>
        <w:div w:id="1274248227">
          <w:marLeft w:val="0"/>
          <w:marRight w:val="0"/>
          <w:marTop w:val="0"/>
          <w:marBottom w:val="101"/>
          <w:divBdr>
            <w:top w:val="none" w:sz="0" w:space="0" w:color="auto"/>
            <w:left w:val="none" w:sz="0" w:space="0" w:color="auto"/>
            <w:bottom w:val="none" w:sz="0" w:space="0" w:color="auto"/>
            <w:right w:val="none" w:sz="0" w:space="0" w:color="auto"/>
          </w:divBdr>
        </w:div>
        <w:div w:id="155583610">
          <w:marLeft w:val="0"/>
          <w:marRight w:val="0"/>
          <w:marTop w:val="0"/>
          <w:marBottom w:val="101"/>
          <w:divBdr>
            <w:top w:val="none" w:sz="0" w:space="0" w:color="auto"/>
            <w:left w:val="none" w:sz="0" w:space="0" w:color="auto"/>
            <w:bottom w:val="none" w:sz="0" w:space="0" w:color="auto"/>
            <w:right w:val="none" w:sz="0" w:space="0" w:color="auto"/>
          </w:divBdr>
        </w:div>
        <w:div w:id="908267864">
          <w:marLeft w:val="0"/>
          <w:marRight w:val="0"/>
          <w:marTop w:val="0"/>
          <w:marBottom w:val="101"/>
          <w:divBdr>
            <w:top w:val="none" w:sz="0" w:space="0" w:color="auto"/>
            <w:left w:val="none" w:sz="0" w:space="0" w:color="auto"/>
            <w:bottom w:val="none" w:sz="0" w:space="0" w:color="auto"/>
            <w:right w:val="none" w:sz="0" w:space="0" w:color="auto"/>
          </w:divBdr>
        </w:div>
        <w:div w:id="1880162577">
          <w:marLeft w:val="0"/>
          <w:marRight w:val="0"/>
          <w:marTop w:val="0"/>
          <w:marBottom w:val="101"/>
          <w:divBdr>
            <w:top w:val="none" w:sz="0" w:space="0" w:color="auto"/>
            <w:left w:val="none" w:sz="0" w:space="0" w:color="auto"/>
            <w:bottom w:val="none" w:sz="0" w:space="0" w:color="auto"/>
            <w:right w:val="none" w:sz="0" w:space="0" w:color="auto"/>
          </w:divBdr>
        </w:div>
        <w:div w:id="1724060639">
          <w:marLeft w:val="0"/>
          <w:marRight w:val="0"/>
          <w:marTop w:val="0"/>
          <w:marBottom w:val="101"/>
          <w:divBdr>
            <w:top w:val="none" w:sz="0" w:space="0" w:color="auto"/>
            <w:left w:val="none" w:sz="0" w:space="0" w:color="auto"/>
            <w:bottom w:val="none" w:sz="0" w:space="0" w:color="auto"/>
            <w:right w:val="none" w:sz="0" w:space="0" w:color="auto"/>
          </w:divBdr>
        </w:div>
        <w:div w:id="1538154977">
          <w:marLeft w:val="0"/>
          <w:marRight w:val="0"/>
          <w:marTop w:val="0"/>
          <w:marBottom w:val="101"/>
          <w:divBdr>
            <w:top w:val="none" w:sz="0" w:space="0" w:color="auto"/>
            <w:left w:val="none" w:sz="0" w:space="0" w:color="auto"/>
            <w:bottom w:val="none" w:sz="0" w:space="0" w:color="auto"/>
            <w:right w:val="none" w:sz="0" w:space="0" w:color="auto"/>
          </w:divBdr>
        </w:div>
        <w:div w:id="438374159">
          <w:marLeft w:val="0"/>
          <w:marRight w:val="0"/>
          <w:marTop w:val="0"/>
          <w:marBottom w:val="101"/>
          <w:divBdr>
            <w:top w:val="none" w:sz="0" w:space="0" w:color="auto"/>
            <w:left w:val="none" w:sz="0" w:space="0" w:color="auto"/>
            <w:bottom w:val="none" w:sz="0" w:space="0" w:color="auto"/>
            <w:right w:val="none" w:sz="0" w:space="0" w:color="auto"/>
          </w:divBdr>
        </w:div>
        <w:div w:id="1015494642">
          <w:marLeft w:val="0"/>
          <w:marRight w:val="0"/>
          <w:marTop w:val="0"/>
          <w:marBottom w:val="101"/>
          <w:divBdr>
            <w:top w:val="none" w:sz="0" w:space="0" w:color="auto"/>
            <w:left w:val="none" w:sz="0" w:space="0" w:color="auto"/>
            <w:bottom w:val="none" w:sz="0" w:space="0" w:color="auto"/>
            <w:right w:val="none" w:sz="0" w:space="0" w:color="auto"/>
          </w:divBdr>
        </w:div>
        <w:div w:id="1640841754">
          <w:marLeft w:val="0"/>
          <w:marRight w:val="0"/>
          <w:marTop w:val="0"/>
          <w:marBottom w:val="101"/>
          <w:divBdr>
            <w:top w:val="none" w:sz="0" w:space="0" w:color="auto"/>
            <w:left w:val="none" w:sz="0" w:space="0" w:color="auto"/>
            <w:bottom w:val="none" w:sz="0" w:space="0" w:color="auto"/>
            <w:right w:val="none" w:sz="0" w:space="0" w:color="auto"/>
          </w:divBdr>
        </w:div>
        <w:div w:id="1997609281">
          <w:marLeft w:val="0"/>
          <w:marRight w:val="0"/>
          <w:marTop w:val="0"/>
          <w:marBottom w:val="101"/>
          <w:divBdr>
            <w:top w:val="none" w:sz="0" w:space="0" w:color="auto"/>
            <w:left w:val="none" w:sz="0" w:space="0" w:color="auto"/>
            <w:bottom w:val="none" w:sz="0" w:space="0" w:color="auto"/>
            <w:right w:val="none" w:sz="0" w:space="0" w:color="auto"/>
          </w:divBdr>
        </w:div>
        <w:div w:id="1959556468">
          <w:marLeft w:val="0"/>
          <w:marRight w:val="0"/>
          <w:marTop w:val="0"/>
          <w:marBottom w:val="101"/>
          <w:divBdr>
            <w:top w:val="none" w:sz="0" w:space="0" w:color="auto"/>
            <w:left w:val="none" w:sz="0" w:space="0" w:color="auto"/>
            <w:bottom w:val="none" w:sz="0" w:space="0" w:color="auto"/>
            <w:right w:val="none" w:sz="0" w:space="0" w:color="auto"/>
          </w:divBdr>
        </w:div>
        <w:div w:id="331682539">
          <w:marLeft w:val="0"/>
          <w:marRight w:val="0"/>
          <w:marTop w:val="0"/>
          <w:marBottom w:val="101"/>
          <w:divBdr>
            <w:top w:val="none" w:sz="0" w:space="0" w:color="auto"/>
            <w:left w:val="none" w:sz="0" w:space="0" w:color="auto"/>
            <w:bottom w:val="none" w:sz="0" w:space="0" w:color="auto"/>
            <w:right w:val="none" w:sz="0" w:space="0" w:color="auto"/>
          </w:divBdr>
        </w:div>
        <w:div w:id="1361708479">
          <w:marLeft w:val="0"/>
          <w:marRight w:val="0"/>
          <w:marTop w:val="0"/>
          <w:marBottom w:val="101"/>
          <w:divBdr>
            <w:top w:val="none" w:sz="0" w:space="0" w:color="auto"/>
            <w:left w:val="none" w:sz="0" w:space="0" w:color="auto"/>
            <w:bottom w:val="none" w:sz="0" w:space="0" w:color="auto"/>
            <w:right w:val="none" w:sz="0" w:space="0" w:color="auto"/>
          </w:divBdr>
        </w:div>
        <w:div w:id="54933078">
          <w:marLeft w:val="0"/>
          <w:marRight w:val="0"/>
          <w:marTop w:val="0"/>
          <w:marBottom w:val="101"/>
          <w:divBdr>
            <w:top w:val="none" w:sz="0" w:space="0" w:color="auto"/>
            <w:left w:val="none" w:sz="0" w:space="0" w:color="auto"/>
            <w:bottom w:val="none" w:sz="0" w:space="0" w:color="auto"/>
            <w:right w:val="none" w:sz="0" w:space="0" w:color="auto"/>
          </w:divBdr>
        </w:div>
        <w:div w:id="159121930">
          <w:marLeft w:val="0"/>
          <w:marRight w:val="0"/>
          <w:marTop w:val="0"/>
          <w:marBottom w:val="101"/>
          <w:divBdr>
            <w:top w:val="none" w:sz="0" w:space="0" w:color="auto"/>
            <w:left w:val="none" w:sz="0" w:space="0" w:color="auto"/>
            <w:bottom w:val="none" w:sz="0" w:space="0" w:color="auto"/>
            <w:right w:val="none" w:sz="0" w:space="0" w:color="auto"/>
          </w:divBdr>
        </w:div>
        <w:div w:id="1042942509">
          <w:marLeft w:val="0"/>
          <w:marRight w:val="0"/>
          <w:marTop w:val="0"/>
          <w:marBottom w:val="101"/>
          <w:divBdr>
            <w:top w:val="none" w:sz="0" w:space="0" w:color="auto"/>
            <w:left w:val="none" w:sz="0" w:space="0" w:color="auto"/>
            <w:bottom w:val="none" w:sz="0" w:space="0" w:color="auto"/>
            <w:right w:val="none" w:sz="0" w:space="0" w:color="auto"/>
          </w:divBdr>
        </w:div>
        <w:div w:id="1511722300">
          <w:marLeft w:val="0"/>
          <w:marRight w:val="0"/>
          <w:marTop w:val="0"/>
          <w:marBottom w:val="101"/>
          <w:divBdr>
            <w:top w:val="none" w:sz="0" w:space="0" w:color="auto"/>
            <w:left w:val="none" w:sz="0" w:space="0" w:color="auto"/>
            <w:bottom w:val="none" w:sz="0" w:space="0" w:color="auto"/>
            <w:right w:val="none" w:sz="0" w:space="0" w:color="auto"/>
          </w:divBdr>
        </w:div>
        <w:div w:id="1237740506">
          <w:marLeft w:val="0"/>
          <w:marRight w:val="0"/>
          <w:marTop w:val="0"/>
          <w:marBottom w:val="101"/>
          <w:divBdr>
            <w:top w:val="none" w:sz="0" w:space="0" w:color="auto"/>
            <w:left w:val="none" w:sz="0" w:space="0" w:color="auto"/>
            <w:bottom w:val="none" w:sz="0" w:space="0" w:color="auto"/>
            <w:right w:val="none" w:sz="0" w:space="0" w:color="auto"/>
          </w:divBdr>
        </w:div>
        <w:div w:id="905576820">
          <w:marLeft w:val="0"/>
          <w:marRight w:val="0"/>
          <w:marTop w:val="0"/>
          <w:marBottom w:val="101"/>
          <w:divBdr>
            <w:top w:val="none" w:sz="0" w:space="0" w:color="auto"/>
            <w:left w:val="none" w:sz="0" w:space="0" w:color="auto"/>
            <w:bottom w:val="none" w:sz="0" w:space="0" w:color="auto"/>
            <w:right w:val="none" w:sz="0" w:space="0" w:color="auto"/>
          </w:divBdr>
        </w:div>
        <w:div w:id="1161920300">
          <w:marLeft w:val="0"/>
          <w:marRight w:val="0"/>
          <w:marTop w:val="0"/>
          <w:marBottom w:val="101"/>
          <w:divBdr>
            <w:top w:val="none" w:sz="0" w:space="0" w:color="auto"/>
            <w:left w:val="none" w:sz="0" w:space="0" w:color="auto"/>
            <w:bottom w:val="none" w:sz="0" w:space="0" w:color="auto"/>
            <w:right w:val="none" w:sz="0" w:space="0" w:color="auto"/>
          </w:divBdr>
        </w:div>
        <w:div w:id="1511024747">
          <w:marLeft w:val="0"/>
          <w:marRight w:val="0"/>
          <w:marTop w:val="0"/>
          <w:marBottom w:val="101"/>
          <w:divBdr>
            <w:top w:val="none" w:sz="0" w:space="0" w:color="auto"/>
            <w:left w:val="none" w:sz="0" w:space="0" w:color="auto"/>
            <w:bottom w:val="none" w:sz="0" w:space="0" w:color="auto"/>
            <w:right w:val="none" w:sz="0" w:space="0" w:color="auto"/>
          </w:divBdr>
        </w:div>
        <w:div w:id="2101756459">
          <w:marLeft w:val="0"/>
          <w:marRight w:val="0"/>
          <w:marTop w:val="0"/>
          <w:marBottom w:val="101"/>
          <w:divBdr>
            <w:top w:val="none" w:sz="0" w:space="0" w:color="auto"/>
            <w:left w:val="none" w:sz="0" w:space="0" w:color="auto"/>
            <w:bottom w:val="none" w:sz="0" w:space="0" w:color="auto"/>
            <w:right w:val="none" w:sz="0" w:space="0" w:color="auto"/>
          </w:divBdr>
        </w:div>
        <w:div w:id="2070378569">
          <w:marLeft w:val="0"/>
          <w:marRight w:val="0"/>
          <w:marTop w:val="0"/>
          <w:marBottom w:val="101"/>
          <w:divBdr>
            <w:top w:val="none" w:sz="0" w:space="0" w:color="auto"/>
            <w:left w:val="none" w:sz="0" w:space="0" w:color="auto"/>
            <w:bottom w:val="none" w:sz="0" w:space="0" w:color="auto"/>
            <w:right w:val="none" w:sz="0" w:space="0" w:color="auto"/>
          </w:divBdr>
        </w:div>
        <w:div w:id="1100755430">
          <w:marLeft w:val="0"/>
          <w:marRight w:val="0"/>
          <w:marTop w:val="0"/>
          <w:marBottom w:val="101"/>
          <w:divBdr>
            <w:top w:val="none" w:sz="0" w:space="0" w:color="auto"/>
            <w:left w:val="none" w:sz="0" w:space="0" w:color="auto"/>
            <w:bottom w:val="none" w:sz="0" w:space="0" w:color="auto"/>
            <w:right w:val="none" w:sz="0" w:space="0" w:color="auto"/>
          </w:divBdr>
        </w:div>
        <w:div w:id="1331443280">
          <w:marLeft w:val="0"/>
          <w:marRight w:val="0"/>
          <w:marTop w:val="0"/>
          <w:marBottom w:val="101"/>
          <w:divBdr>
            <w:top w:val="none" w:sz="0" w:space="0" w:color="auto"/>
            <w:left w:val="none" w:sz="0" w:space="0" w:color="auto"/>
            <w:bottom w:val="none" w:sz="0" w:space="0" w:color="auto"/>
            <w:right w:val="none" w:sz="0" w:space="0" w:color="auto"/>
          </w:divBdr>
        </w:div>
        <w:div w:id="756556113">
          <w:marLeft w:val="0"/>
          <w:marRight w:val="0"/>
          <w:marTop w:val="0"/>
          <w:marBottom w:val="101"/>
          <w:divBdr>
            <w:top w:val="none" w:sz="0" w:space="0" w:color="auto"/>
            <w:left w:val="none" w:sz="0" w:space="0" w:color="auto"/>
            <w:bottom w:val="none" w:sz="0" w:space="0" w:color="auto"/>
            <w:right w:val="none" w:sz="0" w:space="0" w:color="auto"/>
          </w:divBdr>
        </w:div>
        <w:div w:id="924846809">
          <w:marLeft w:val="0"/>
          <w:marRight w:val="0"/>
          <w:marTop w:val="0"/>
          <w:marBottom w:val="101"/>
          <w:divBdr>
            <w:top w:val="none" w:sz="0" w:space="0" w:color="auto"/>
            <w:left w:val="none" w:sz="0" w:space="0" w:color="auto"/>
            <w:bottom w:val="none" w:sz="0" w:space="0" w:color="auto"/>
            <w:right w:val="none" w:sz="0" w:space="0" w:color="auto"/>
          </w:divBdr>
        </w:div>
        <w:div w:id="554661905">
          <w:marLeft w:val="0"/>
          <w:marRight w:val="0"/>
          <w:marTop w:val="0"/>
          <w:marBottom w:val="101"/>
          <w:divBdr>
            <w:top w:val="none" w:sz="0" w:space="0" w:color="auto"/>
            <w:left w:val="none" w:sz="0" w:space="0" w:color="auto"/>
            <w:bottom w:val="none" w:sz="0" w:space="0" w:color="auto"/>
            <w:right w:val="none" w:sz="0" w:space="0" w:color="auto"/>
          </w:divBdr>
        </w:div>
        <w:div w:id="1100182669">
          <w:marLeft w:val="0"/>
          <w:marRight w:val="0"/>
          <w:marTop w:val="0"/>
          <w:marBottom w:val="101"/>
          <w:divBdr>
            <w:top w:val="none" w:sz="0" w:space="0" w:color="auto"/>
            <w:left w:val="none" w:sz="0" w:space="0" w:color="auto"/>
            <w:bottom w:val="none" w:sz="0" w:space="0" w:color="auto"/>
            <w:right w:val="none" w:sz="0" w:space="0" w:color="auto"/>
          </w:divBdr>
        </w:div>
        <w:div w:id="1632128232">
          <w:marLeft w:val="0"/>
          <w:marRight w:val="0"/>
          <w:marTop w:val="0"/>
          <w:marBottom w:val="101"/>
          <w:divBdr>
            <w:top w:val="none" w:sz="0" w:space="0" w:color="auto"/>
            <w:left w:val="none" w:sz="0" w:space="0" w:color="auto"/>
            <w:bottom w:val="none" w:sz="0" w:space="0" w:color="auto"/>
            <w:right w:val="none" w:sz="0" w:space="0" w:color="auto"/>
          </w:divBdr>
        </w:div>
        <w:div w:id="2075928041">
          <w:marLeft w:val="0"/>
          <w:marRight w:val="0"/>
          <w:marTop w:val="0"/>
          <w:marBottom w:val="99"/>
          <w:divBdr>
            <w:top w:val="none" w:sz="0" w:space="0" w:color="auto"/>
            <w:left w:val="none" w:sz="0" w:space="0" w:color="auto"/>
            <w:bottom w:val="none" w:sz="0" w:space="0" w:color="auto"/>
            <w:right w:val="none" w:sz="0" w:space="0" w:color="auto"/>
          </w:divBdr>
        </w:div>
        <w:div w:id="1875772587">
          <w:marLeft w:val="0"/>
          <w:marRight w:val="0"/>
          <w:marTop w:val="0"/>
          <w:marBottom w:val="99"/>
          <w:divBdr>
            <w:top w:val="none" w:sz="0" w:space="0" w:color="auto"/>
            <w:left w:val="none" w:sz="0" w:space="0" w:color="auto"/>
            <w:bottom w:val="none" w:sz="0" w:space="0" w:color="auto"/>
            <w:right w:val="none" w:sz="0" w:space="0" w:color="auto"/>
          </w:divBdr>
        </w:div>
        <w:div w:id="475415081">
          <w:marLeft w:val="0"/>
          <w:marRight w:val="0"/>
          <w:marTop w:val="0"/>
          <w:marBottom w:val="99"/>
          <w:divBdr>
            <w:top w:val="none" w:sz="0" w:space="0" w:color="auto"/>
            <w:left w:val="none" w:sz="0" w:space="0" w:color="auto"/>
            <w:bottom w:val="none" w:sz="0" w:space="0" w:color="auto"/>
            <w:right w:val="none" w:sz="0" w:space="0" w:color="auto"/>
          </w:divBdr>
        </w:div>
        <w:div w:id="836001240">
          <w:marLeft w:val="0"/>
          <w:marRight w:val="0"/>
          <w:marTop w:val="0"/>
          <w:marBottom w:val="99"/>
          <w:divBdr>
            <w:top w:val="none" w:sz="0" w:space="0" w:color="auto"/>
            <w:left w:val="none" w:sz="0" w:space="0" w:color="auto"/>
            <w:bottom w:val="none" w:sz="0" w:space="0" w:color="auto"/>
            <w:right w:val="none" w:sz="0" w:space="0" w:color="auto"/>
          </w:divBdr>
        </w:div>
        <w:div w:id="1300383854">
          <w:marLeft w:val="0"/>
          <w:marRight w:val="0"/>
          <w:marTop w:val="0"/>
          <w:marBottom w:val="99"/>
          <w:divBdr>
            <w:top w:val="none" w:sz="0" w:space="0" w:color="auto"/>
            <w:left w:val="none" w:sz="0" w:space="0" w:color="auto"/>
            <w:bottom w:val="none" w:sz="0" w:space="0" w:color="auto"/>
            <w:right w:val="none" w:sz="0" w:space="0" w:color="auto"/>
          </w:divBdr>
        </w:div>
        <w:div w:id="939214606">
          <w:marLeft w:val="0"/>
          <w:marRight w:val="0"/>
          <w:marTop w:val="0"/>
          <w:marBottom w:val="99"/>
          <w:divBdr>
            <w:top w:val="none" w:sz="0" w:space="0" w:color="auto"/>
            <w:left w:val="none" w:sz="0" w:space="0" w:color="auto"/>
            <w:bottom w:val="none" w:sz="0" w:space="0" w:color="auto"/>
            <w:right w:val="none" w:sz="0" w:space="0" w:color="auto"/>
          </w:divBdr>
        </w:div>
        <w:div w:id="28721688">
          <w:marLeft w:val="0"/>
          <w:marRight w:val="0"/>
          <w:marTop w:val="0"/>
          <w:marBottom w:val="99"/>
          <w:divBdr>
            <w:top w:val="none" w:sz="0" w:space="0" w:color="auto"/>
            <w:left w:val="none" w:sz="0" w:space="0" w:color="auto"/>
            <w:bottom w:val="none" w:sz="0" w:space="0" w:color="auto"/>
            <w:right w:val="none" w:sz="0" w:space="0" w:color="auto"/>
          </w:divBdr>
        </w:div>
        <w:div w:id="925959034">
          <w:marLeft w:val="0"/>
          <w:marRight w:val="0"/>
          <w:marTop w:val="0"/>
          <w:marBottom w:val="99"/>
          <w:divBdr>
            <w:top w:val="none" w:sz="0" w:space="0" w:color="auto"/>
            <w:left w:val="none" w:sz="0" w:space="0" w:color="auto"/>
            <w:bottom w:val="none" w:sz="0" w:space="0" w:color="auto"/>
            <w:right w:val="none" w:sz="0" w:space="0" w:color="auto"/>
          </w:divBdr>
        </w:div>
        <w:div w:id="1573004088">
          <w:marLeft w:val="0"/>
          <w:marRight w:val="0"/>
          <w:marTop w:val="0"/>
          <w:marBottom w:val="99"/>
          <w:divBdr>
            <w:top w:val="none" w:sz="0" w:space="0" w:color="auto"/>
            <w:left w:val="none" w:sz="0" w:space="0" w:color="auto"/>
            <w:bottom w:val="none" w:sz="0" w:space="0" w:color="auto"/>
            <w:right w:val="none" w:sz="0" w:space="0" w:color="auto"/>
          </w:divBdr>
        </w:div>
        <w:div w:id="924068897">
          <w:marLeft w:val="0"/>
          <w:marRight w:val="0"/>
          <w:marTop w:val="0"/>
          <w:marBottom w:val="99"/>
          <w:divBdr>
            <w:top w:val="none" w:sz="0" w:space="0" w:color="auto"/>
            <w:left w:val="none" w:sz="0" w:space="0" w:color="auto"/>
            <w:bottom w:val="none" w:sz="0" w:space="0" w:color="auto"/>
            <w:right w:val="none" w:sz="0" w:space="0" w:color="auto"/>
          </w:divBdr>
        </w:div>
        <w:div w:id="14842565">
          <w:marLeft w:val="0"/>
          <w:marRight w:val="0"/>
          <w:marTop w:val="0"/>
          <w:marBottom w:val="99"/>
          <w:divBdr>
            <w:top w:val="none" w:sz="0" w:space="0" w:color="auto"/>
            <w:left w:val="none" w:sz="0" w:space="0" w:color="auto"/>
            <w:bottom w:val="none" w:sz="0" w:space="0" w:color="auto"/>
            <w:right w:val="none" w:sz="0" w:space="0" w:color="auto"/>
          </w:divBdr>
        </w:div>
        <w:div w:id="44649738">
          <w:marLeft w:val="0"/>
          <w:marRight w:val="0"/>
          <w:marTop w:val="0"/>
          <w:marBottom w:val="99"/>
          <w:divBdr>
            <w:top w:val="none" w:sz="0" w:space="0" w:color="auto"/>
            <w:left w:val="none" w:sz="0" w:space="0" w:color="auto"/>
            <w:bottom w:val="none" w:sz="0" w:space="0" w:color="auto"/>
            <w:right w:val="none" w:sz="0" w:space="0" w:color="auto"/>
          </w:divBdr>
        </w:div>
        <w:div w:id="394008394">
          <w:marLeft w:val="0"/>
          <w:marRight w:val="0"/>
          <w:marTop w:val="0"/>
          <w:marBottom w:val="99"/>
          <w:divBdr>
            <w:top w:val="none" w:sz="0" w:space="0" w:color="auto"/>
            <w:left w:val="none" w:sz="0" w:space="0" w:color="auto"/>
            <w:bottom w:val="none" w:sz="0" w:space="0" w:color="auto"/>
            <w:right w:val="none" w:sz="0" w:space="0" w:color="auto"/>
          </w:divBdr>
        </w:div>
        <w:div w:id="1969162043">
          <w:marLeft w:val="0"/>
          <w:marRight w:val="0"/>
          <w:marTop w:val="0"/>
          <w:marBottom w:val="99"/>
          <w:divBdr>
            <w:top w:val="none" w:sz="0" w:space="0" w:color="auto"/>
            <w:left w:val="none" w:sz="0" w:space="0" w:color="auto"/>
            <w:bottom w:val="none" w:sz="0" w:space="0" w:color="auto"/>
            <w:right w:val="none" w:sz="0" w:space="0" w:color="auto"/>
          </w:divBdr>
        </w:div>
        <w:div w:id="1601335744">
          <w:marLeft w:val="0"/>
          <w:marRight w:val="0"/>
          <w:marTop w:val="0"/>
          <w:marBottom w:val="99"/>
          <w:divBdr>
            <w:top w:val="none" w:sz="0" w:space="0" w:color="auto"/>
            <w:left w:val="none" w:sz="0" w:space="0" w:color="auto"/>
            <w:bottom w:val="none" w:sz="0" w:space="0" w:color="auto"/>
            <w:right w:val="none" w:sz="0" w:space="0" w:color="auto"/>
          </w:divBdr>
        </w:div>
        <w:div w:id="154499079">
          <w:marLeft w:val="0"/>
          <w:marRight w:val="0"/>
          <w:marTop w:val="0"/>
          <w:marBottom w:val="99"/>
          <w:divBdr>
            <w:top w:val="none" w:sz="0" w:space="0" w:color="auto"/>
            <w:left w:val="none" w:sz="0" w:space="0" w:color="auto"/>
            <w:bottom w:val="none" w:sz="0" w:space="0" w:color="auto"/>
            <w:right w:val="none" w:sz="0" w:space="0" w:color="auto"/>
          </w:divBdr>
        </w:div>
        <w:div w:id="1091241124">
          <w:marLeft w:val="0"/>
          <w:marRight w:val="0"/>
          <w:marTop w:val="0"/>
          <w:marBottom w:val="99"/>
          <w:divBdr>
            <w:top w:val="none" w:sz="0" w:space="0" w:color="auto"/>
            <w:left w:val="none" w:sz="0" w:space="0" w:color="auto"/>
            <w:bottom w:val="none" w:sz="0" w:space="0" w:color="auto"/>
            <w:right w:val="none" w:sz="0" w:space="0" w:color="auto"/>
          </w:divBdr>
        </w:div>
        <w:div w:id="199517094">
          <w:marLeft w:val="0"/>
          <w:marRight w:val="0"/>
          <w:marTop w:val="0"/>
          <w:marBottom w:val="99"/>
          <w:divBdr>
            <w:top w:val="none" w:sz="0" w:space="0" w:color="auto"/>
            <w:left w:val="none" w:sz="0" w:space="0" w:color="auto"/>
            <w:bottom w:val="none" w:sz="0" w:space="0" w:color="auto"/>
            <w:right w:val="none" w:sz="0" w:space="0" w:color="auto"/>
          </w:divBdr>
        </w:div>
        <w:div w:id="1836333419">
          <w:marLeft w:val="0"/>
          <w:marRight w:val="0"/>
          <w:marTop w:val="0"/>
          <w:marBottom w:val="99"/>
          <w:divBdr>
            <w:top w:val="none" w:sz="0" w:space="0" w:color="auto"/>
            <w:left w:val="none" w:sz="0" w:space="0" w:color="auto"/>
            <w:bottom w:val="none" w:sz="0" w:space="0" w:color="auto"/>
            <w:right w:val="none" w:sz="0" w:space="0" w:color="auto"/>
          </w:divBdr>
        </w:div>
        <w:div w:id="610088173">
          <w:marLeft w:val="0"/>
          <w:marRight w:val="0"/>
          <w:marTop w:val="0"/>
          <w:marBottom w:val="99"/>
          <w:divBdr>
            <w:top w:val="none" w:sz="0" w:space="0" w:color="auto"/>
            <w:left w:val="none" w:sz="0" w:space="0" w:color="auto"/>
            <w:bottom w:val="none" w:sz="0" w:space="0" w:color="auto"/>
            <w:right w:val="none" w:sz="0" w:space="0" w:color="auto"/>
          </w:divBdr>
        </w:div>
        <w:div w:id="190264956">
          <w:marLeft w:val="0"/>
          <w:marRight w:val="0"/>
          <w:marTop w:val="0"/>
          <w:marBottom w:val="99"/>
          <w:divBdr>
            <w:top w:val="none" w:sz="0" w:space="0" w:color="auto"/>
            <w:left w:val="none" w:sz="0" w:space="0" w:color="auto"/>
            <w:bottom w:val="none" w:sz="0" w:space="0" w:color="auto"/>
            <w:right w:val="none" w:sz="0" w:space="0" w:color="auto"/>
          </w:divBdr>
        </w:div>
        <w:div w:id="1135566048">
          <w:marLeft w:val="0"/>
          <w:marRight w:val="0"/>
          <w:marTop w:val="0"/>
          <w:marBottom w:val="99"/>
          <w:divBdr>
            <w:top w:val="none" w:sz="0" w:space="0" w:color="auto"/>
            <w:left w:val="none" w:sz="0" w:space="0" w:color="auto"/>
            <w:bottom w:val="none" w:sz="0" w:space="0" w:color="auto"/>
            <w:right w:val="none" w:sz="0" w:space="0" w:color="auto"/>
          </w:divBdr>
        </w:div>
        <w:div w:id="426268634">
          <w:marLeft w:val="0"/>
          <w:marRight w:val="0"/>
          <w:marTop w:val="0"/>
          <w:marBottom w:val="99"/>
          <w:divBdr>
            <w:top w:val="none" w:sz="0" w:space="0" w:color="auto"/>
            <w:left w:val="none" w:sz="0" w:space="0" w:color="auto"/>
            <w:bottom w:val="none" w:sz="0" w:space="0" w:color="auto"/>
            <w:right w:val="none" w:sz="0" w:space="0" w:color="auto"/>
          </w:divBdr>
        </w:div>
        <w:div w:id="1922526097">
          <w:marLeft w:val="0"/>
          <w:marRight w:val="0"/>
          <w:marTop w:val="0"/>
          <w:marBottom w:val="99"/>
          <w:divBdr>
            <w:top w:val="none" w:sz="0" w:space="0" w:color="auto"/>
            <w:left w:val="none" w:sz="0" w:space="0" w:color="auto"/>
            <w:bottom w:val="none" w:sz="0" w:space="0" w:color="auto"/>
            <w:right w:val="none" w:sz="0" w:space="0" w:color="auto"/>
          </w:divBdr>
        </w:div>
        <w:div w:id="1325090831">
          <w:marLeft w:val="0"/>
          <w:marRight w:val="0"/>
          <w:marTop w:val="0"/>
          <w:marBottom w:val="99"/>
          <w:divBdr>
            <w:top w:val="none" w:sz="0" w:space="0" w:color="auto"/>
            <w:left w:val="none" w:sz="0" w:space="0" w:color="auto"/>
            <w:bottom w:val="none" w:sz="0" w:space="0" w:color="auto"/>
            <w:right w:val="none" w:sz="0" w:space="0" w:color="auto"/>
          </w:divBdr>
        </w:div>
        <w:div w:id="2090928500">
          <w:marLeft w:val="0"/>
          <w:marRight w:val="0"/>
          <w:marTop w:val="0"/>
          <w:marBottom w:val="99"/>
          <w:divBdr>
            <w:top w:val="none" w:sz="0" w:space="0" w:color="auto"/>
            <w:left w:val="none" w:sz="0" w:space="0" w:color="auto"/>
            <w:bottom w:val="none" w:sz="0" w:space="0" w:color="auto"/>
            <w:right w:val="none" w:sz="0" w:space="0" w:color="auto"/>
          </w:divBdr>
        </w:div>
        <w:div w:id="1805387163">
          <w:marLeft w:val="0"/>
          <w:marRight w:val="0"/>
          <w:marTop w:val="0"/>
          <w:marBottom w:val="99"/>
          <w:divBdr>
            <w:top w:val="none" w:sz="0" w:space="0" w:color="auto"/>
            <w:left w:val="none" w:sz="0" w:space="0" w:color="auto"/>
            <w:bottom w:val="none" w:sz="0" w:space="0" w:color="auto"/>
            <w:right w:val="none" w:sz="0" w:space="0" w:color="auto"/>
          </w:divBdr>
        </w:div>
        <w:div w:id="157890208">
          <w:marLeft w:val="0"/>
          <w:marRight w:val="0"/>
          <w:marTop w:val="0"/>
          <w:marBottom w:val="99"/>
          <w:divBdr>
            <w:top w:val="none" w:sz="0" w:space="0" w:color="auto"/>
            <w:left w:val="none" w:sz="0" w:space="0" w:color="auto"/>
            <w:bottom w:val="none" w:sz="0" w:space="0" w:color="auto"/>
            <w:right w:val="none" w:sz="0" w:space="0" w:color="auto"/>
          </w:divBdr>
        </w:div>
        <w:div w:id="1268081598">
          <w:marLeft w:val="0"/>
          <w:marRight w:val="0"/>
          <w:marTop w:val="0"/>
          <w:marBottom w:val="99"/>
          <w:divBdr>
            <w:top w:val="none" w:sz="0" w:space="0" w:color="auto"/>
            <w:left w:val="none" w:sz="0" w:space="0" w:color="auto"/>
            <w:bottom w:val="none" w:sz="0" w:space="0" w:color="auto"/>
            <w:right w:val="none" w:sz="0" w:space="0" w:color="auto"/>
          </w:divBdr>
        </w:div>
        <w:div w:id="174614462">
          <w:marLeft w:val="0"/>
          <w:marRight w:val="0"/>
          <w:marTop w:val="0"/>
          <w:marBottom w:val="99"/>
          <w:divBdr>
            <w:top w:val="none" w:sz="0" w:space="0" w:color="auto"/>
            <w:left w:val="none" w:sz="0" w:space="0" w:color="auto"/>
            <w:bottom w:val="none" w:sz="0" w:space="0" w:color="auto"/>
            <w:right w:val="none" w:sz="0" w:space="0" w:color="auto"/>
          </w:divBdr>
        </w:div>
        <w:div w:id="108206358">
          <w:marLeft w:val="0"/>
          <w:marRight w:val="0"/>
          <w:marTop w:val="0"/>
          <w:marBottom w:val="99"/>
          <w:divBdr>
            <w:top w:val="none" w:sz="0" w:space="0" w:color="auto"/>
            <w:left w:val="none" w:sz="0" w:space="0" w:color="auto"/>
            <w:bottom w:val="none" w:sz="0" w:space="0" w:color="auto"/>
            <w:right w:val="none" w:sz="0" w:space="0" w:color="auto"/>
          </w:divBdr>
        </w:div>
        <w:div w:id="28382529">
          <w:marLeft w:val="0"/>
          <w:marRight w:val="0"/>
          <w:marTop w:val="0"/>
          <w:marBottom w:val="99"/>
          <w:divBdr>
            <w:top w:val="none" w:sz="0" w:space="0" w:color="auto"/>
            <w:left w:val="none" w:sz="0" w:space="0" w:color="auto"/>
            <w:bottom w:val="none" w:sz="0" w:space="0" w:color="auto"/>
            <w:right w:val="none" w:sz="0" w:space="0" w:color="auto"/>
          </w:divBdr>
        </w:div>
        <w:div w:id="1827629088">
          <w:marLeft w:val="0"/>
          <w:marRight w:val="0"/>
          <w:marTop w:val="0"/>
          <w:marBottom w:val="99"/>
          <w:divBdr>
            <w:top w:val="none" w:sz="0" w:space="0" w:color="auto"/>
            <w:left w:val="none" w:sz="0" w:space="0" w:color="auto"/>
            <w:bottom w:val="none" w:sz="0" w:space="0" w:color="auto"/>
            <w:right w:val="none" w:sz="0" w:space="0" w:color="auto"/>
          </w:divBdr>
        </w:div>
        <w:div w:id="1076363548">
          <w:marLeft w:val="0"/>
          <w:marRight w:val="0"/>
          <w:marTop w:val="0"/>
          <w:marBottom w:val="99"/>
          <w:divBdr>
            <w:top w:val="none" w:sz="0" w:space="0" w:color="auto"/>
            <w:left w:val="none" w:sz="0" w:space="0" w:color="auto"/>
            <w:bottom w:val="none" w:sz="0" w:space="0" w:color="auto"/>
            <w:right w:val="none" w:sz="0" w:space="0" w:color="auto"/>
          </w:divBdr>
        </w:div>
        <w:div w:id="390151437">
          <w:marLeft w:val="0"/>
          <w:marRight w:val="0"/>
          <w:marTop w:val="0"/>
          <w:marBottom w:val="99"/>
          <w:divBdr>
            <w:top w:val="none" w:sz="0" w:space="0" w:color="auto"/>
            <w:left w:val="none" w:sz="0" w:space="0" w:color="auto"/>
            <w:bottom w:val="none" w:sz="0" w:space="0" w:color="auto"/>
            <w:right w:val="none" w:sz="0" w:space="0" w:color="auto"/>
          </w:divBdr>
        </w:div>
        <w:div w:id="1072432799">
          <w:marLeft w:val="0"/>
          <w:marRight w:val="0"/>
          <w:marTop w:val="0"/>
          <w:marBottom w:val="99"/>
          <w:divBdr>
            <w:top w:val="none" w:sz="0" w:space="0" w:color="auto"/>
            <w:left w:val="none" w:sz="0" w:space="0" w:color="auto"/>
            <w:bottom w:val="none" w:sz="0" w:space="0" w:color="auto"/>
            <w:right w:val="none" w:sz="0" w:space="0" w:color="auto"/>
          </w:divBdr>
        </w:div>
        <w:div w:id="2061393118">
          <w:marLeft w:val="0"/>
          <w:marRight w:val="0"/>
          <w:marTop w:val="0"/>
          <w:marBottom w:val="99"/>
          <w:divBdr>
            <w:top w:val="none" w:sz="0" w:space="0" w:color="auto"/>
            <w:left w:val="none" w:sz="0" w:space="0" w:color="auto"/>
            <w:bottom w:val="none" w:sz="0" w:space="0" w:color="auto"/>
            <w:right w:val="none" w:sz="0" w:space="0" w:color="auto"/>
          </w:divBdr>
        </w:div>
        <w:div w:id="128597004">
          <w:marLeft w:val="0"/>
          <w:marRight w:val="0"/>
          <w:marTop w:val="0"/>
          <w:marBottom w:val="99"/>
          <w:divBdr>
            <w:top w:val="none" w:sz="0" w:space="0" w:color="auto"/>
            <w:left w:val="none" w:sz="0" w:space="0" w:color="auto"/>
            <w:bottom w:val="none" w:sz="0" w:space="0" w:color="auto"/>
            <w:right w:val="none" w:sz="0" w:space="0" w:color="auto"/>
          </w:divBdr>
        </w:div>
        <w:div w:id="881476580">
          <w:marLeft w:val="0"/>
          <w:marRight w:val="0"/>
          <w:marTop w:val="0"/>
          <w:marBottom w:val="99"/>
          <w:divBdr>
            <w:top w:val="none" w:sz="0" w:space="0" w:color="auto"/>
            <w:left w:val="none" w:sz="0" w:space="0" w:color="auto"/>
            <w:bottom w:val="none" w:sz="0" w:space="0" w:color="auto"/>
            <w:right w:val="none" w:sz="0" w:space="0" w:color="auto"/>
          </w:divBdr>
        </w:div>
        <w:div w:id="1430393793">
          <w:marLeft w:val="0"/>
          <w:marRight w:val="0"/>
          <w:marTop w:val="0"/>
          <w:marBottom w:val="99"/>
          <w:divBdr>
            <w:top w:val="none" w:sz="0" w:space="0" w:color="auto"/>
            <w:left w:val="none" w:sz="0" w:space="0" w:color="auto"/>
            <w:bottom w:val="none" w:sz="0" w:space="0" w:color="auto"/>
            <w:right w:val="none" w:sz="0" w:space="0" w:color="auto"/>
          </w:divBdr>
        </w:div>
        <w:div w:id="1342195322">
          <w:marLeft w:val="0"/>
          <w:marRight w:val="0"/>
          <w:marTop w:val="0"/>
          <w:marBottom w:val="99"/>
          <w:divBdr>
            <w:top w:val="none" w:sz="0" w:space="0" w:color="auto"/>
            <w:left w:val="none" w:sz="0" w:space="0" w:color="auto"/>
            <w:bottom w:val="none" w:sz="0" w:space="0" w:color="auto"/>
            <w:right w:val="none" w:sz="0" w:space="0" w:color="auto"/>
          </w:divBdr>
        </w:div>
        <w:div w:id="1374622308">
          <w:marLeft w:val="0"/>
          <w:marRight w:val="0"/>
          <w:marTop w:val="0"/>
          <w:marBottom w:val="99"/>
          <w:divBdr>
            <w:top w:val="none" w:sz="0" w:space="0" w:color="auto"/>
            <w:left w:val="none" w:sz="0" w:space="0" w:color="auto"/>
            <w:bottom w:val="none" w:sz="0" w:space="0" w:color="auto"/>
            <w:right w:val="none" w:sz="0" w:space="0" w:color="auto"/>
          </w:divBdr>
        </w:div>
        <w:div w:id="387456498">
          <w:marLeft w:val="0"/>
          <w:marRight w:val="0"/>
          <w:marTop w:val="0"/>
          <w:marBottom w:val="99"/>
          <w:divBdr>
            <w:top w:val="none" w:sz="0" w:space="0" w:color="auto"/>
            <w:left w:val="none" w:sz="0" w:space="0" w:color="auto"/>
            <w:bottom w:val="none" w:sz="0" w:space="0" w:color="auto"/>
            <w:right w:val="none" w:sz="0" w:space="0" w:color="auto"/>
          </w:divBdr>
        </w:div>
        <w:div w:id="1406807187">
          <w:marLeft w:val="0"/>
          <w:marRight w:val="0"/>
          <w:marTop w:val="0"/>
          <w:marBottom w:val="99"/>
          <w:divBdr>
            <w:top w:val="none" w:sz="0" w:space="0" w:color="auto"/>
            <w:left w:val="none" w:sz="0" w:space="0" w:color="auto"/>
            <w:bottom w:val="none" w:sz="0" w:space="0" w:color="auto"/>
            <w:right w:val="none" w:sz="0" w:space="0" w:color="auto"/>
          </w:divBdr>
        </w:div>
        <w:div w:id="294412033">
          <w:marLeft w:val="0"/>
          <w:marRight w:val="0"/>
          <w:marTop w:val="0"/>
          <w:marBottom w:val="99"/>
          <w:divBdr>
            <w:top w:val="none" w:sz="0" w:space="0" w:color="auto"/>
            <w:left w:val="none" w:sz="0" w:space="0" w:color="auto"/>
            <w:bottom w:val="none" w:sz="0" w:space="0" w:color="auto"/>
            <w:right w:val="none" w:sz="0" w:space="0" w:color="auto"/>
          </w:divBdr>
        </w:div>
        <w:div w:id="1493569008">
          <w:marLeft w:val="0"/>
          <w:marRight w:val="0"/>
          <w:marTop w:val="0"/>
          <w:marBottom w:val="99"/>
          <w:divBdr>
            <w:top w:val="none" w:sz="0" w:space="0" w:color="auto"/>
            <w:left w:val="none" w:sz="0" w:space="0" w:color="auto"/>
            <w:bottom w:val="none" w:sz="0" w:space="0" w:color="auto"/>
            <w:right w:val="none" w:sz="0" w:space="0" w:color="auto"/>
          </w:divBdr>
        </w:div>
        <w:div w:id="1264723647">
          <w:marLeft w:val="0"/>
          <w:marRight w:val="0"/>
          <w:marTop w:val="0"/>
          <w:marBottom w:val="99"/>
          <w:divBdr>
            <w:top w:val="none" w:sz="0" w:space="0" w:color="auto"/>
            <w:left w:val="none" w:sz="0" w:space="0" w:color="auto"/>
            <w:bottom w:val="none" w:sz="0" w:space="0" w:color="auto"/>
            <w:right w:val="none" w:sz="0" w:space="0" w:color="auto"/>
          </w:divBdr>
        </w:div>
        <w:div w:id="107892281">
          <w:marLeft w:val="0"/>
          <w:marRight w:val="0"/>
          <w:marTop w:val="0"/>
          <w:marBottom w:val="99"/>
          <w:divBdr>
            <w:top w:val="none" w:sz="0" w:space="0" w:color="auto"/>
            <w:left w:val="none" w:sz="0" w:space="0" w:color="auto"/>
            <w:bottom w:val="none" w:sz="0" w:space="0" w:color="auto"/>
            <w:right w:val="none" w:sz="0" w:space="0" w:color="auto"/>
          </w:divBdr>
        </w:div>
        <w:div w:id="152529417">
          <w:marLeft w:val="0"/>
          <w:marRight w:val="0"/>
          <w:marTop w:val="0"/>
          <w:marBottom w:val="99"/>
          <w:divBdr>
            <w:top w:val="none" w:sz="0" w:space="0" w:color="auto"/>
            <w:left w:val="none" w:sz="0" w:space="0" w:color="auto"/>
            <w:bottom w:val="none" w:sz="0" w:space="0" w:color="auto"/>
            <w:right w:val="none" w:sz="0" w:space="0" w:color="auto"/>
          </w:divBdr>
        </w:div>
        <w:div w:id="1966354067">
          <w:marLeft w:val="0"/>
          <w:marRight w:val="0"/>
          <w:marTop w:val="0"/>
          <w:marBottom w:val="99"/>
          <w:divBdr>
            <w:top w:val="none" w:sz="0" w:space="0" w:color="auto"/>
            <w:left w:val="none" w:sz="0" w:space="0" w:color="auto"/>
            <w:bottom w:val="none" w:sz="0" w:space="0" w:color="auto"/>
            <w:right w:val="none" w:sz="0" w:space="0" w:color="auto"/>
          </w:divBdr>
        </w:div>
        <w:div w:id="774058507">
          <w:marLeft w:val="0"/>
          <w:marRight w:val="0"/>
          <w:marTop w:val="0"/>
          <w:marBottom w:val="99"/>
          <w:divBdr>
            <w:top w:val="none" w:sz="0" w:space="0" w:color="auto"/>
            <w:left w:val="none" w:sz="0" w:space="0" w:color="auto"/>
            <w:bottom w:val="none" w:sz="0" w:space="0" w:color="auto"/>
            <w:right w:val="none" w:sz="0" w:space="0" w:color="auto"/>
          </w:divBdr>
        </w:div>
        <w:div w:id="1533766352">
          <w:marLeft w:val="0"/>
          <w:marRight w:val="0"/>
          <w:marTop w:val="0"/>
          <w:marBottom w:val="99"/>
          <w:divBdr>
            <w:top w:val="none" w:sz="0" w:space="0" w:color="auto"/>
            <w:left w:val="none" w:sz="0" w:space="0" w:color="auto"/>
            <w:bottom w:val="none" w:sz="0" w:space="0" w:color="auto"/>
            <w:right w:val="none" w:sz="0" w:space="0" w:color="auto"/>
          </w:divBdr>
        </w:div>
        <w:div w:id="1334380076">
          <w:marLeft w:val="0"/>
          <w:marRight w:val="0"/>
          <w:marTop w:val="0"/>
          <w:marBottom w:val="99"/>
          <w:divBdr>
            <w:top w:val="none" w:sz="0" w:space="0" w:color="auto"/>
            <w:left w:val="none" w:sz="0" w:space="0" w:color="auto"/>
            <w:bottom w:val="none" w:sz="0" w:space="0" w:color="auto"/>
            <w:right w:val="none" w:sz="0" w:space="0" w:color="auto"/>
          </w:divBdr>
        </w:div>
        <w:div w:id="1048410889">
          <w:marLeft w:val="0"/>
          <w:marRight w:val="0"/>
          <w:marTop w:val="0"/>
          <w:marBottom w:val="99"/>
          <w:divBdr>
            <w:top w:val="none" w:sz="0" w:space="0" w:color="auto"/>
            <w:left w:val="none" w:sz="0" w:space="0" w:color="auto"/>
            <w:bottom w:val="none" w:sz="0" w:space="0" w:color="auto"/>
            <w:right w:val="none" w:sz="0" w:space="0" w:color="auto"/>
          </w:divBdr>
        </w:div>
        <w:div w:id="956063189">
          <w:marLeft w:val="0"/>
          <w:marRight w:val="0"/>
          <w:marTop w:val="0"/>
          <w:marBottom w:val="99"/>
          <w:divBdr>
            <w:top w:val="none" w:sz="0" w:space="0" w:color="auto"/>
            <w:left w:val="none" w:sz="0" w:space="0" w:color="auto"/>
            <w:bottom w:val="none" w:sz="0" w:space="0" w:color="auto"/>
            <w:right w:val="none" w:sz="0" w:space="0" w:color="auto"/>
          </w:divBdr>
        </w:div>
        <w:div w:id="1237714018">
          <w:marLeft w:val="0"/>
          <w:marRight w:val="0"/>
          <w:marTop w:val="0"/>
          <w:marBottom w:val="99"/>
          <w:divBdr>
            <w:top w:val="none" w:sz="0" w:space="0" w:color="auto"/>
            <w:left w:val="none" w:sz="0" w:space="0" w:color="auto"/>
            <w:bottom w:val="none" w:sz="0" w:space="0" w:color="auto"/>
            <w:right w:val="none" w:sz="0" w:space="0" w:color="auto"/>
          </w:divBdr>
        </w:div>
        <w:div w:id="691691110">
          <w:marLeft w:val="0"/>
          <w:marRight w:val="0"/>
          <w:marTop w:val="0"/>
          <w:marBottom w:val="99"/>
          <w:divBdr>
            <w:top w:val="none" w:sz="0" w:space="0" w:color="auto"/>
            <w:left w:val="none" w:sz="0" w:space="0" w:color="auto"/>
            <w:bottom w:val="none" w:sz="0" w:space="0" w:color="auto"/>
            <w:right w:val="none" w:sz="0" w:space="0" w:color="auto"/>
          </w:divBdr>
        </w:div>
        <w:div w:id="998845503">
          <w:marLeft w:val="0"/>
          <w:marRight w:val="0"/>
          <w:marTop w:val="0"/>
          <w:marBottom w:val="99"/>
          <w:divBdr>
            <w:top w:val="none" w:sz="0" w:space="0" w:color="auto"/>
            <w:left w:val="none" w:sz="0" w:space="0" w:color="auto"/>
            <w:bottom w:val="none" w:sz="0" w:space="0" w:color="auto"/>
            <w:right w:val="none" w:sz="0" w:space="0" w:color="auto"/>
          </w:divBdr>
        </w:div>
        <w:div w:id="2071533995">
          <w:marLeft w:val="0"/>
          <w:marRight w:val="0"/>
          <w:marTop w:val="0"/>
          <w:marBottom w:val="99"/>
          <w:divBdr>
            <w:top w:val="none" w:sz="0" w:space="0" w:color="auto"/>
            <w:left w:val="none" w:sz="0" w:space="0" w:color="auto"/>
            <w:bottom w:val="none" w:sz="0" w:space="0" w:color="auto"/>
            <w:right w:val="none" w:sz="0" w:space="0" w:color="auto"/>
          </w:divBdr>
        </w:div>
        <w:div w:id="1158154343">
          <w:marLeft w:val="0"/>
          <w:marRight w:val="0"/>
          <w:marTop w:val="0"/>
          <w:marBottom w:val="99"/>
          <w:divBdr>
            <w:top w:val="none" w:sz="0" w:space="0" w:color="auto"/>
            <w:left w:val="none" w:sz="0" w:space="0" w:color="auto"/>
            <w:bottom w:val="none" w:sz="0" w:space="0" w:color="auto"/>
            <w:right w:val="none" w:sz="0" w:space="0" w:color="auto"/>
          </w:divBdr>
        </w:div>
        <w:div w:id="1461462999">
          <w:marLeft w:val="0"/>
          <w:marRight w:val="0"/>
          <w:marTop w:val="0"/>
          <w:marBottom w:val="99"/>
          <w:divBdr>
            <w:top w:val="none" w:sz="0" w:space="0" w:color="auto"/>
            <w:left w:val="none" w:sz="0" w:space="0" w:color="auto"/>
            <w:bottom w:val="none" w:sz="0" w:space="0" w:color="auto"/>
            <w:right w:val="none" w:sz="0" w:space="0" w:color="auto"/>
          </w:divBdr>
        </w:div>
        <w:div w:id="1712267906">
          <w:marLeft w:val="0"/>
          <w:marRight w:val="0"/>
          <w:marTop w:val="0"/>
          <w:marBottom w:val="99"/>
          <w:divBdr>
            <w:top w:val="none" w:sz="0" w:space="0" w:color="auto"/>
            <w:left w:val="none" w:sz="0" w:space="0" w:color="auto"/>
            <w:bottom w:val="none" w:sz="0" w:space="0" w:color="auto"/>
            <w:right w:val="none" w:sz="0" w:space="0" w:color="auto"/>
          </w:divBdr>
        </w:div>
        <w:div w:id="1991862432">
          <w:marLeft w:val="0"/>
          <w:marRight w:val="0"/>
          <w:marTop w:val="0"/>
          <w:marBottom w:val="99"/>
          <w:divBdr>
            <w:top w:val="none" w:sz="0" w:space="0" w:color="auto"/>
            <w:left w:val="none" w:sz="0" w:space="0" w:color="auto"/>
            <w:bottom w:val="none" w:sz="0" w:space="0" w:color="auto"/>
            <w:right w:val="none" w:sz="0" w:space="0" w:color="auto"/>
          </w:divBdr>
        </w:div>
        <w:div w:id="1900745359">
          <w:marLeft w:val="0"/>
          <w:marRight w:val="0"/>
          <w:marTop w:val="0"/>
          <w:marBottom w:val="99"/>
          <w:divBdr>
            <w:top w:val="none" w:sz="0" w:space="0" w:color="auto"/>
            <w:left w:val="none" w:sz="0" w:space="0" w:color="auto"/>
            <w:bottom w:val="none" w:sz="0" w:space="0" w:color="auto"/>
            <w:right w:val="none" w:sz="0" w:space="0" w:color="auto"/>
          </w:divBdr>
        </w:div>
        <w:div w:id="114715386">
          <w:marLeft w:val="0"/>
          <w:marRight w:val="0"/>
          <w:marTop w:val="0"/>
          <w:marBottom w:val="99"/>
          <w:divBdr>
            <w:top w:val="none" w:sz="0" w:space="0" w:color="auto"/>
            <w:left w:val="none" w:sz="0" w:space="0" w:color="auto"/>
            <w:bottom w:val="none" w:sz="0" w:space="0" w:color="auto"/>
            <w:right w:val="none" w:sz="0" w:space="0" w:color="auto"/>
          </w:divBdr>
        </w:div>
        <w:div w:id="241717946">
          <w:marLeft w:val="0"/>
          <w:marRight w:val="0"/>
          <w:marTop w:val="0"/>
          <w:marBottom w:val="99"/>
          <w:divBdr>
            <w:top w:val="none" w:sz="0" w:space="0" w:color="auto"/>
            <w:left w:val="none" w:sz="0" w:space="0" w:color="auto"/>
            <w:bottom w:val="none" w:sz="0" w:space="0" w:color="auto"/>
            <w:right w:val="none" w:sz="0" w:space="0" w:color="auto"/>
          </w:divBdr>
        </w:div>
        <w:div w:id="1550335707">
          <w:marLeft w:val="0"/>
          <w:marRight w:val="0"/>
          <w:marTop w:val="0"/>
          <w:marBottom w:val="99"/>
          <w:divBdr>
            <w:top w:val="none" w:sz="0" w:space="0" w:color="auto"/>
            <w:left w:val="none" w:sz="0" w:space="0" w:color="auto"/>
            <w:bottom w:val="none" w:sz="0" w:space="0" w:color="auto"/>
            <w:right w:val="none" w:sz="0" w:space="0" w:color="auto"/>
          </w:divBdr>
        </w:div>
        <w:div w:id="2001039265">
          <w:marLeft w:val="0"/>
          <w:marRight w:val="0"/>
          <w:marTop w:val="0"/>
          <w:marBottom w:val="99"/>
          <w:divBdr>
            <w:top w:val="none" w:sz="0" w:space="0" w:color="auto"/>
            <w:left w:val="none" w:sz="0" w:space="0" w:color="auto"/>
            <w:bottom w:val="none" w:sz="0" w:space="0" w:color="auto"/>
            <w:right w:val="none" w:sz="0" w:space="0" w:color="auto"/>
          </w:divBdr>
        </w:div>
        <w:div w:id="168644143">
          <w:marLeft w:val="0"/>
          <w:marRight w:val="0"/>
          <w:marTop w:val="0"/>
          <w:marBottom w:val="99"/>
          <w:divBdr>
            <w:top w:val="none" w:sz="0" w:space="0" w:color="auto"/>
            <w:left w:val="none" w:sz="0" w:space="0" w:color="auto"/>
            <w:bottom w:val="none" w:sz="0" w:space="0" w:color="auto"/>
            <w:right w:val="none" w:sz="0" w:space="0" w:color="auto"/>
          </w:divBdr>
        </w:div>
        <w:div w:id="201136160">
          <w:marLeft w:val="0"/>
          <w:marRight w:val="0"/>
          <w:marTop w:val="0"/>
          <w:marBottom w:val="99"/>
          <w:divBdr>
            <w:top w:val="none" w:sz="0" w:space="0" w:color="auto"/>
            <w:left w:val="none" w:sz="0" w:space="0" w:color="auto"/>
            <w:bottom w:val="none" w:sz="0" w:space="0" w:color="auto"/>
            <w:right w:val="none" w:sz="0" w:space="0" w:color="auto"/>
          </w:divBdr>
        </w:div>
        <w:div w:id="233861804">
          <w:marLeft w:val="0"/>
          <w:marRight w:val="0"/>
          <w:marTop w:val="0"/>
          <w:marBottom w:val="99"/>
          <w:divBdr>
            <w:top w:val="none" w:sz="0" w:space="0" w:color="auto"/>
            <w:left w:val="none" w:sz="0" w:space="0" w:color="auto"/>
            <w:bottom w:val="none" w:sz="0" w:space="0" w:color="auto"/>
            <w:right w:val="none" w:sz="0" w:space="0" w:color="auto"/>
          </w:divBdr>
        </w:div>
        <w:div w:id="769398759">
          <w:marLeft w:val="0"/>
          <w:marRight w:val="0"/>
          <w:marTop w:val="0"/>
          <w:marBottom w:val="99"/>
          <w:divBdr>
            <w:top w:val="none" w:sz="0" w:space="0" w:color="auto"/>
            <w:left w:val="none" w:sz="0" w:space="0" w:color="auto"/>
            <w:bottom w:val="none" w:sz="0" w:space="0" w:color="auto"/>
            <w:right w:val="none" w:sz="0" w:space="0" w:color="auto"/>
          </w:divBdr>
        </w:div>
        <w:div w:id="157578776">
          <w:marLeft w:val="0"/>
          <w:marRight w:val="0"/>
          <w:marTop w:val="0"/>
          <w:marBottom w:val="99"/>
          <w:divBdr>
            <w:top w:val="none" w:sz="0" w:space="0" w:color="auto"/>
            <w:left w:val="none" w:sz="0" w:space="0" w:color="auto"/>
            <w:bottom w:val="none" w:sz="0" w:space="0" w:color="auto"/>
            <w:right w:val="none" w:sz="0" w:space="0" w:color="auto"/>
          </w:divBdr>
        </w:div>
        <w:div w:id="958074518">
          <w:marLeft w:val="0"/>
          <w:marRight w:val="0"/>
          <w:marTop w:val="0"/>
          <w:marBottom w:val="99"/>
          <w:divBdr>
            <w:top w:val="none" w:sz="0" w:space="0" w:color="auto"/>
            <w:left w:val="none" w:sz="0" w:space="0" w:color="auto"/>
            <w:bottom w:val="none" w:sz="0" w:space="0" w:color="auto"/>
            <w:right w:val="none" w:sz="0" w:space="0" w:color="auto"/>
          </w:divBdr>
        </w:div>
        <w:div w:id="384915641">
          <w:marLeft w:val="0"/>
          <w:marRight w:val="0"/>
          <w:marTop w:val="0"/>
          <w:marBottom w:val="99"/>
          <w:divBdr>
            <w:top w:val="none" w:sz="0" w:space="0" w:color="auto"/>
            <w:left w:val="none" w:sz="0" w:space="0" w:color="auto"/>
            <w:bottom w:val="none" w:sz="0" w:space="0" w:color="auto"/>
            <w:right w:val="none" w:sz="0" w:space="0" w:color="auto"/>
          </w:divBdr>
        </w:div>
        <w:div w:id="922681684">
          <w:marLeft w:val="0"/>
          <w:marRight w:val="0"/>
          <w:marTop w:val="0"/>
          <w:marBottom w:val="99"/>
          <w:divBdr>
            <w:top w:val="none" w:sz="0" w:space="0" w:color="auto"/>
            <w:left w:val="none" w:sz="0" w:space="0" w:color="auto"/>
            <w:bottom w:val="none" w:sz="0" w:space="0" w:color="auto"/>
            <w:right w:val="none" w:sz="0" w:space="0" w:color="auto"/>
          </w:divBdr>
        </w:div>
        <w:div w:id="2017539233">
          <w:marLeft w:val="0"/>
          <w:marRight w:val="0"/>
          <w:marTop w:val="0"/>
          <w:marBottom w:val="99"/>
          <w:divBdr>
            <w:top w:val="none" w:sz="0" w:space="0" w:color="auto"/>
            <w:left w:val="none" w:sz="0" w:space="0" w:color="auto"/>
            <w:bottom w:val="none" w:sz="0" w:space="0" w:color="auto"/>
            <w:right w:val="none" w:sz="0" w:space="0" w:color="auto"/>
          </w:divBdr>
        </w:div>
        <w:div w:id="410277663">
          <w:marLeft w:val="0"/>
          <w:marRight w:val="0"/>
          <w:marTop w:val="0"/>
          <w:marBottom w:val="99"/>
          <w:divBdr>
            <w:top w:val="none" w:sz="0" w:space="0" w:color="auto"/>
            <w:left w:val="none" w:sz="0" w:space="0" w:color="auto"/>
            <w:bottom w:val="none" w:sz="0" w:space="0" w:color="auto"/>
            <w:right w:val="none" w:sz="0" w:space="0" w:color="auto"/>
          </w:divBdr>
        </w:div>
        <w:div w:id="1397974543">
          <w:marLeft w:val="0"/>
          <w:marRight w:val="0"/>
          <w:marTop w:val="0"/>
          <w:marBottom w:val="99"/>
          <w:divBdr>
            <w:top w:val="none" w:sz="0" w:space="0" w:color="auto"/>
            <w:left w:val="none" w:sz="0" w:space="0" w:color="auto"/>
            <w:bottom w:val="none" w:sz="0" w:space="0" w:color="auto"/>
            <w:right w:val="none" w:sz="0" w:space="0" w:color="auto"/>
          </w:divBdr>
        </w:div>
        <w:div w:id="2036495612">
          <w:marLeft w:val="0"/>
          <w:marRight w:val="0"/>
          <w:marTop w:val="0"/>
          <w:marBottom w:val="99"/>
          <w:divBdr>
            <w:top w:val="none" w:sz="0" w:space="0" w:color="auto"/>
            <w:left w:val="none" w:sz="0" w:space="0" w:color="auto"/>
            <w:bottom w:val="none" w:sz="0" w:space="0" w:color="auto"/>
            <w:right w:val="none" w:sz="0" w:space="0" w:color="auto"/>
          </w:divBdr>
        </w:div>
        <w:div w:id="501579434">
          <w:marLeft w:val="0"/>
          <w:marRight w:val="0"/>
          <w:marTop w:val="0"/>
          <w:marBottom w:val="99"/>
          <w:divBdr>
            <w:top w:val="none" w:sz="0" w:space="0" w:color="auto"/>
            <w:left w:val="none" w:sz="0" w:space="0" w:color="auto"/>
            <w:bottom w:val="none" w:sz="0" w:space="0" w:color="auto"/>
            <w:right w:val="none" w:sz="0" w:space="0" w:color="auto"/>
          </w:divBdr>
        </w:div>
        <w:div w:id="2124494659">
          <w:marLeft w:val="0"/>
          <w:marRight w:val="0"/>
          <w:marTop w:val="0"/>
          <w:marBottom w:val="99"/>
          <w:divBdr>
            <w:top w:val="none" w:sz="0" w:space="0" w:color="auto"/>
            <w:left w:val="none" w:sz="0" w:space="0" w:color="auto"/>
            <w:bottom w:val="none" w:sz="0" w:space="0" w:color="auto"/>
            <w:right w:val="none" w:sz="0" w:space="0" w:color="auto"/>
          </w:divBdr>
        </w:div>
        <w:div w:id="1756395123">
          <w:marLeft w:val="0"/>
          <w:marRight w:val="0"/>
          <w:marTop w:val="0"/>
          <w:marBottom w:val="99"/>
          <w:divBdr>
            <w:top w:val="none" w:sz="0" w:space="0" w:color="auto"/>
            <w:left w:val="none" w:sz="0" w:space="0" w:color="auto"/>
            <w:bottom w:val="none" w:sz="0" w:space="0" w:color="auto"/>
            <w:right w:val="none" w:sz="0" w:space="0" w:color="auto"/>
          </w:divBdr>
        </w:div>
        <w:div w:id="992416947">
          <w:marLeft w:val="0"/>
          <w:marRight w:val="0"/>
          <w:marTop w:val="0"/>
          <w:marBottom w:val="99"/>
          <w:divBdr>
            <w:top w:val="none" w:sz="0" w:space="0" w:color="auto"/>
            <w:left w:val="none" w:sz="0" w:space="0" w:color="auto"/>
            <w:bottom w:val="none" w:sz="0" w:space="0" w:color="auto"/>
            <w:right w:val="none" w:sz="0" w:space="0" w:color="auto"/>
          </w:divBdr>
        </w:div>
        <w:div w:id="369652045">
          <w:marLeft w:val="0"/>
          <w:marRight w:val="0"/>
          <w:marTop w:val="0"/>
          <w:marBottom w:val="99"/>
          <w:divBdr>
            <w:top w:val="none" w:sz="0" w:space="0" w:color="auto"/>
            <w:left w:val="none" w:sz="0" w:space="0" w:color="auto"/>
            <w:bottom w:val="none" w:sz="0" w:space="0" w:color="auto"/>
            <w:right w:val="none" w:sz="0" w:space="0" w:color="auto"/>
          </w:divBdr>
        </w:div>
        <w:div w:id="1384059903">
          <w:marLeft w:val="0"/>
          <w:marRight w:val="0"/>
          <w:marTop w:val="0"/>
          <w:marBottom w:val="99"/>
          <w:divBdr>
            <w:top w:val="none" w:sz="0" w:space="0" w:color="auto"/>
            <w:left w:val="none" w:sz="0" w:space="0" w:color="auto"/>
            <w:bottom w:val="none" w:sz="0" w:space="0" w:color="auto"/>
            <w:right w:val="none" w:sz="0" w:space="0" w:color="auto"/>
          </w:divBdr>
        </w:div>
        <w:div w:id="809975361">
          <w:marLeft w:val="0"/>
          <w:marRight w:val="0"/>
          <w:marTop w:val="0"/>
          <w:marBottom w:val="99"/>
          <w:divBdr>
            <w:top w:val="none" w:sz="0" w:space="0" w:color="auto"/>
            <w:left w:val="none" w:sz="0" w:space="0" w:color="auto"/>
            <w:bottom w:val="none" w:sz="0" w:space="0" w:color="auto"/>
            <w:right w:val="none" w:sz="0" w:space="0" w:color="auto"/>
          </w:divBdr>
        </w:div>
        <w:div w:id="1336306735">
          <w:marLeft w:val="0"/>
          <w:marRight w:val="0"/>
          <w:marTop w:val="0"/>
          <w:marBottom w:val="99"/>
          <w:divBdr>
            <w:top w:val="none" w:sz="0" w:space="0" w:color="auto"/>
            <w:left w:val="none" w:sz="0" w:space="0" w:color="auto"/>
            <w:bottom w:val="none" w:sz="0" w:space="0" w:color="auto"/>
            <w:right w:val="none" w:sz="0" w:space="0" w:color="auto"/>
          </w:divBdr>
        </w:div>
        <w:div w:id="1682974959">
          <w:marLeft w:val="0"/>
          <w:marRight w:val="0"/>
          <w:marTop w:val="0"/>
          <w:marBottom w:val="101"/>
          <w:divBdr>
            <w:top w:val="none" w:sz="0" w:space="0" w:color="auto"/>
            <w:left w:val="none" w:sz="0" w:space="0" w:color="auto"/>
            <w:bottom w:val="none" w:sz="0" w:space="0" w:color="auto"/>
            <w:right w:val="none" w:sz="0" w:space="0" w:color="auto"/>
          </w:divBdr>
        </w:div>
        <w:div w:id="1666935101">
          <w:marLeft w:val="0"/>
          <w:marRight w:val="0"/>
          <w:marTop w:val="0"/>
          <w:marBottom w:val="101"/>
          <w:divBdr>
            <w:top w:val="none" w:sz="0" w:space="0" w:color="auto"/>
            <w:left w:val="none" w:sz="0" w:space="0" w:color="auto"/>
            <w:bottom w:val="none" w:sz="0" w:space="0" w:color="auto"/>
            <w:right w:val="none" w:sz="0" w:space="0" w:color="auto"/>
          </w:divBdr>
        </w:div>
        <w:div w:id="1601908724">
          <w:marLeft w:val="0"/>
          <w:marRight w:val="0"/>
          <w:marTop w:val="0"/>
          <w:marBottom w:val="101"/>
          <w:divBdr>
            <w:top w:val="none" w:sz="0" w:space="0" w:color="auto"/>
            <w:left w:val="none" w:sz="0" w:space="0" w:color="auto"/>
            <w:bottom w:val="none" w:sz="0" w:space="0" w:color="auto"/>
            <w:right w:val="none" w:sz="0" w:space="0" w:color="auto"/>
          </w:divBdr>
        </w:div>
        <w:div w:id="1266495699">
          <w:marLeft w:val="0"/>
          <w:marRight w:val="0"/>
          <w:marTop w:val="0"/>
          <w:marBottom w:val="101"/>
          <w:divBdr>
            <w:top w:val="none" w:sz="0" w:space="0" w:color="auto"/>
            <w:left w:val="none" w:sz="0" w:space="0" w:color="auto"/>
            <w:bottom w:val="none" w:sz="0" w:space="0" w:color="auto"/>
            <w:right w:val="none" w:sz="0" w:space="0" w:color="auto"/>
          </w:divBdr>
        </w:div>
        <w:div w:id="632759904">
          <w:marLeft w:val="0"/>
          <w:marRight w:val="0"/>
          <w:marTop w:val="0"/>
          <w:marBottom w:val="101"/>
          <w:divBdr>
            <w:top w:val="none" w:sz="0" w:space="0" w:color="auto"/>
            <w:left w:val="none" w:sz="0" w:space="0" w:color="auto"/>
            <w:bottom w:val="none" w:sz="0" w:space="0" w:color="auto"/>
            <w:right w:val="none" w:sz="0" w:space="0" w:color="auto"/>
          </w:divBdr>
        </w:div>
        <w:div w:id="1515146366">
          <w:marLeft w:val="0"/>
          <w:marRight w:val="0"/>
          <w:marTop w:val="0"/>
          <w:marBottom w:val="101"/>
          <w:divBdr>
            <w:top w:val="none" w:sz="0" w:space="0" w:color="auto"/>
            <w:left w:val="none" w:sz="0" w:space="0" w:color="auto"/>
            <w:bottom w:val="none" w:sz="0" w:space="0" w:color="auto"/>
            <w:right w:val="none" w:sz="0" w:space="0" w:color="auto"/>
          </w:divBdr>
        </w:div>
        <w:div w:id="200241673">
          <w:marLeft w:val="0"/>
          <w:marRight w:val="0"/>
          <w:marTop w:val="0"/>
          <w:marBottom w:val="101"/>
          <w:divBdr>
            <w:top w:val="none" w:sz="0" w:space="0" w:color="auto"/>
            <w:left w:val="none" w:sz="0" w:space="0" w:color="auto"/>
            <w:bottom w:val="none" w:sz="0" w:space="0" w:color="auto"/>
            <w:right w:val="none" w:sz="0" w:space="0" w:color="auto"/>
          </w:divBdr>
        </w:div>
        <w:div w:id="1791702517">
          <w:marLeft w:val="0"/>
          <w:marRight w:val="0"/>
          <w:marTop w:val="0"/>
          <w:marBottom w:val="101"/>
          <w:divBdr>
            <w:top w:val="none" w:sz="0" w:space="0" w:color="auto"/>
            <w:left w:val="none" w:sz="0" w:space="0" w:color="auto"/>
            <w:bottom w:val="none" w:sz="0" w:space="0" w:color="auto"/>
            <w:right w:val="none" w:sz="0" w:space="0" w:color="auto"/>
          </w:divBdr>
        </w:div>
        <w:div w:id="2131362312">
          <w:marLeft w:val="0"/>
          <w:marRight w:val="0"/>
          <w:marTop w:val="0"/>
          <w:marBottom w:val="101"/>
          <w:divBdr>
            <w:top w:val="none" w:sz="0" w:space="0" w:color="auto"/>
            <w:left w:val="none" w:sz="0" w:space="0" w:color="auto"/>
            <w:bottom w:val="none" w:sz="0" w:space="0" w:color="auto"/>
            <w:right w:val="none" w:sz="0" w:space="0" w:color="auto"/>
          </w:divBdr>
        </w:div>
        <w:div w:id="1983536086">
          <w:marLeft w:val="0"/>
          <w:marRight w:val="0"/>
          <w:marTop w:val="0"/>
          <w:marBottom w:val="101"/>
          <w:divBdr>
            <w:top w:val="none" w:sz="0" w:space="0" w:color="auto"/>
            <w:left w:val="none" w:sz="0" w:space="0" w:color="auto"/>
            <w:bottom w:val="none" w:sz="0" w:space="0" w:color="auto"/>
            <w:right w:val="none" w:sz="0" w:space="0" w:color="auto"/>
          </w:divBdr>
        </w:div>
        <w:div w:id="1111820950">
          <w:marLeft w:val="0"/>
          <w:marRight w:val="0"/>
          <w:marTop w:val="0"/>
          <w:marBottom w:val="101"/>
          <w:divBdr>
            <w:top w:val="none" w:sz="0" w:space="0" w:color="auto"/>
            <w:left w:val="none" w:sz="0" w:space="0" w:color="auto"/>
            <w:bottom w:val="none" w:sz="0" w:space="0" w:color="auto"/>
            <w:right w:val="none" w:sz="0" w:space="0" w:color="auto"/>
          </w:divBdr>
        </w:div>
        <w:div w:id="476143979">
          <w:marLeft w:val="0"/>
          <w:marRight w:val="0"/>
          <w:marTop w:val="0"/>
          <w:marBottom w:val="101"/>
          <w:divBdr>
            <w:top w:val="none" w:sz="0" w:space="0" w:color="auto"/>
            <w:left w:val="none" w:sz="0" w:space="0" w:color="auto"/>
            <w:bottom w:val="none" w:sz="0" w:space="0" w:color="auto"/>
            <w:right w:val="none" w:sz="0" w:space="0" w:color="auto"/>
          </w:divBdr>
        </w:div>
        <w:div w:id="1408722247">
          <w:marLeft w:val="0"/>
          <w:marRight w:val="0"/>
          <w:marTop w:val="0"/>
          <w:marBottom w:val="101"/>
          <w:divBdr>
            <w:top w:val="none" w:sz="0" w:space="0" w:color="auto"/>
            <w:left w:val="none" w:sz="0" w:space="0" w:color="auto"/>
            <w:bottom w:val="none" w:sz="0" w:space="0" w:color="auto"/>
            <w:right w:val="none" w:sz="0" w:space="0" w:color="auto"/>
          </w:divBdr>
        </w:div>
        <w:div w:id="2028944781">
          <w:marLeft w:val="0"/>
          <w:marRight w:val="0"/>
          <w:marTop w:val="0"/>
          <w:marBottom w:val="101"/>
          <w:divBdr>
            <w:top w:val="none" w:sz="0" w:space="0" w:color="auto"/>
            <w:left w:val="none" w:sz="0" w:space="0" w:color="auto"/>
            <w:bottom w:val="none" w:sz="0" w:space="0" w:color="auto"/>
            <w:right w:val="none" w:sz="0" w:space="0" w:color="auto"/>
          </w:divBdr>
        </w:div>
        <w:div w:id="2033068937">
          <w:marLeft w:val="0"/>
          <w:marRight w:val="0"/>
          <w:marTop w:val="0"/>
          <w:marBottom w:val="101"/>
          <w:divBdr>
            <w:top w:val="none" w:sz="0" w:space="0" w:color="auto"/>
            <w:left w:val="none" w:sz="0" w:space="0" w:color="auto"/>
            <w:bottom w:val="none" w:sz="0" w:space="0" w:color="auto"/>
            <w:right w:val="none" w:sz="0" w:space="0" w:color="auto"/>
          </w:divBdr>
        </w:div>
        <w:div w:id="934021418">
          <w:marLeft w:val="0"/>
          <w:marRight w:val="0"/>
          <w:marTop w:val="0"/>
          <w:marBottom w:val="101"/>
          <w:divBdr>
            <w:top w:val="none" w:sz="0" w:space="0" w:color="auto"/>
            <w:left w:val="none" w:sz="0" w:space="0" w:color="auto"/>
            <w:bottom w:val="none" w:sz="0" w:space="0" w:color="auto"/>
            <w:right w:val="none" w:sz="0" w:space="0" w:color="auto"/>
          </w:divBdr>
        </w:div>
        <w:div w:id="2007242726">
          <w:marLeft w:val="0"/>
          <w:marRight w:val="0"/>
          <w:marTop w:val="0"/>
          <w:marBottom w:val="101"/>
          <w:divBdr>
            <w:top w:val="none" w:sz="0" w:space="0" w:color="auto"/>
            <w:left w:val="none" w:sz="0" w:space="0" w:color="auto"/>
            <w:bottom w:val="none" w:sz="0" w:space="0" w:color="auto"/>
            <w:right w:val="none" w:sz="0" w:space="0" w:color="auto"/>
          </w:divBdr>
        </w:div>
        <w:div w:id="1929918866">
          <w:marLeft w:val="0"/>
          <w:marRight w:val="0"/>
          <w:marTop w:val="0"/>
          <w:marBottom w:val="101"/>
          <w:divBdr>
            <w:top w:val="none" w:sz="0" w:space="0" w:color="auto"/>
            <w:left w:val="none" w:sz="0" w:space="0" w:color="auto"/>
            <w:bottom w:val="none" w:sz="0" w:space="0" w:color="auto"/>
            <w:right w:val="none" w:sz="0" w:space="0" w:color="auto"/>
          </w:divBdr>
        </w:div>
        <w:div w:id="860972900">
          <w:marLeft w:val="0"/>
          <w:marRight w:val="0"/>
          <w:marTop w:val="0"/>
          <w:marBottom w:val="101"/>
          <w:divBdr>
            <w:top w:val="none" w:sz="0" w:space="0" w:color="auto"/>
            <w:left w:val="none" w:sz="0" w:space="0" w:color="auto"/>
            <w:bottom w:val="none" w:sz="0" w:space="0" w:color="auto"/>
            <w:right w:val="none" w:sz="0" w:space="0" w:color="auto"/>
          </w:divBdr>
        </w:div>
        <w:div w:id="213469795">
          <w:marLeft w:val="0"/>
          <w:marRight w:val="0"/>
          <w:marTop w:val="0"/>
          <w:marBottom w:val="101"/>
          <w:divBdr>
            <w:top w:val="none" w:sz="0" w:space="0" w:color="auto"/>
            <w:left w:val="none" w:sz="0" w:space="0" w:color="auto"/>
            <w:bottom w:val="none" w:sz="0" w:space="0" w:color="auto"/>
            <w:right w:val="none" w:sz="0" w:space="0" w:color="auto"/>
          </w:divBdr>
        </w:div>
        <w:div w:id="1232931530">
          <w:marLeft w:val="0"/>
          <w:marRight w:val="0"/>
          <w:marTop w:val="0"/>
          <w:marBottom w:val="101"/>
          <w:divBdr>
            <w:top w:val="none" w:sz="0" w:space="0" w:color="auto"/>
            <w:left w:val="none" w:sz="0" w:space="0" w:color="auto"/>
            <w:bottom w:val="none" w:sz="0" w:space="0" w:color="auto"/>
            <w:right w:val="none" w:sz="0" w:space="0" w:color="auto"/>
          </w:divBdr>
        </w:div>
        <w:div w:id="1986273371">
          <w:marLeft w:val="0"/>
          <w:marRight w:val="0"/>
          <w:marTop w:val="0"/>
          <w:marBottom w:val="101"/>
          <w:divBdr>
            <w:top w:val="none" w:sz="0" w:space="0" w:color="auto"/>
            <w:left w:val="none" w:sz="0" w:space="0" w:color="auto"/>
            <w:bottom w:val="none" w:sz="0" w:space="0" w:color="auto"/>
            <w:right w:val="none" w:sz="0" w:space="0" w:color="auto"/>
          </w:divBdr>
        </w:div>
        <w:div w:id="1690132475">
          <w:marLeft w:val="0"/>
          <w:marRight w:val="0"/>
          <w:marTop w:val="0"/>
          <w:marBottom w:val="101"/>
          <w:divBdr>
            <w:top w:val="none" w:sz="0" w:space="0" w:color="auto"/>
            <w:left w:val="none" w:sz="0" w:space="0" w:color="auto"/>
            <w:bottom w:val="none" w:sz="0" w:space="0" w:color="auto"/>
            <w:right w:val="none" w:sz="0" w:space="0" w:color="auto"/>
          </w:divBdr>
        </w:div>
        <w:div w:id="1119029074">
          <w:marLeft w:val="0"/>
          <w:marRight w:val="0"/>
          <w:marTop w:val="0"/>
          <w:marBottom w:val="101"/>
          <w:divBdr>
            <w:top w:val="none" w:sz="0" w:space="0" w:color="auto"/>
            <w:left w:val="none" w:sz="0" w:space="0" w:color="auto"/>
            <w:bottom w:val="none" w:sz="0" w:space="0" w:color="auto"/>
            <w:right w:val="none" w:sz="0" w:space="0" w:color="auto"/>
          </w:divBdr>
        </w:div>
        <w:div w:id="1758206059">
          <w:marLeft w:val="0"/>
          <w:marRight w:val="0"/>
          <w:marTop w:val="0"/>
          <w:marBottom w:val="101"/>
          <w:divBdr>
            <w:top w:val="none" w:sz="0" w:space="0" w:color="auto"/>
            <w:left w:val="none" w:sz="0" w:space="0" w:color="auto"/>
            <w:bottom w:val="none" w:sz="0" w:space="0" w:color="auto"/>
            <w:right w:val="none" w:sz="0" w:space="0" w:color="auto"/>
          </w:divBdr>
        </w:div>
        <w:div w:id="1429153862">
          <w:marLeft w:val="0"/>
          <w:marRight w:val="0"/>
          <w:marTop w:val="0"/>
          <w:marBottom w:val="101"/>
          <w:divBdr>
            <w:top w:val="none" w:sz="0" w:space="0" w:color="auto"/>
            <w:left w:val="none" w:sz="0" w:space="0" w:color="auto"/>
            <w:bottom w:val="none" w:sz="0" w:space="0" w:color="auto"/>
            <w:right w:val="none" w:sz="0" w:space="0" w:color="auto"/>
          </w:divBdr>
        </w:div>
        <w:div w:id="339745881">
          <w:marLeft w:val="0"/>
          <w:marRight w:val="0"/>
          <w:marTop w:val="0"/>
          <w:marBottom w:val="101"/>
          <w:divBdr>
            <w:top w:val="none" w:sz="0" w:space="0" w:color="auto"/>
            <w:left w:val="none" w:sz="0" w:space="0" w:color="auto"/>
            <w:bottom w:val="none" w:sz="0" w:space="0" w:color="auto"/>
            <w:right w:val="none" w:sz="0" w:space="0" w:color="auto"/>
          </w:divBdr>
        </w:div>
        <w:div w:id="1611208510">
          <w:marLeft w:val="0"/>
          <w:marRight w:val="0"/>
          <w:marTop w:val="0"/>
          <w:marBottom w:val="101"/>
          <w:divBdr>
            <w:top w:val="none" w:sz="0" w:space="0" w:color="auto"/>
            <w:left w:val="none" w:sz="0" w:space="0" w:color="auto"/>
            <w:bottom w:val="none" w:sz="0" w:space="0" w:color="auto"/>
            <w:right w:val="none" w:sz="0" w:space="0" w:color="auto"/>
          </w:divBdr>
        </w:div>
        <w:div w:id="779569612">
          <w:marLeft w:val="0"/>
          <w:marRight w:val="0"/>
          <w:marTop w:val="0"/>
          <w:marBottom w:val="101"/>
          <w:divBdr>
            <w:top w:val="none" w:sz="0" w:space="0" w:color="auto"/>
            <w:left w:val="none" w:sz="0" w:space="0" w:color="auto"/>
            <w:bottom w:val="none" w:sz="0" w:space="0" w:color="auto"/>
            <w:right w:val="none" w:sz="0" w:space="0" w:color="auto"/>
          </w:divBdr>
        </w:div>
        <w:div w:id="586884914">
          <w:marLeft w:val="0"/>
          <w:marRight w:val="0"/>
          <w:marTop w:val="0"/>
          <w:marBottom w:val="101"/>
          <w:divBdr>
            <w:top w:val="none" w:sz="0" w:space="0" w:color="auto"/>
            <w:left w:val="none" w:sz="0" w:space="0" w:color="auto"/>
            <w:bottom w:val="none" w:sz="0" w:space="0" w:color="auto"/>
            <w:right w:val="none" w:sz="0" w:space="0" w:color="auto"/>
          </w:divBdr>
        </w:div>
        <w:div w:id="830827020">
          <w:marLeft w:val="0"/>
          <w:marRight w:val="0"/>
          <w:marTop w:val="0"/>
          <w:marBottom w:val="101"/>
          <w:divBdr>
            <w:top w:val="none" w:sz="0" w:space="0" w:color="auto"/>
            <w:left w:val="none" w:sz="0" w:space="0" w:color="auto"/>
            <w:bottom w:val="none" w:sz="0" w:space="0" w:color="auto"/>
            <w:right w:val="none" w:sz="0" w:space="0" w:color="auto"/>
          </w:divBdr>
        </w:div>
        <w:div w:id="81800301">
          <w:marLeft w:val="0"/>
          <w:marRight w:val="0"/>
          <w:marTop w:val="0"/>
          <w:marBottom w:val="101"/>
          <w:divBdr>
            <w:top w:val="none" w:sz="0" w:space="0" w:color="auto"/>
            <w:left w:val="none" w:sz="0" w:space="0" w:color="auto"/>
            <w:bottom w:val="none" w:sz="0" w:space="0" w:color="auto"/>
            <w:right w:val="none" w:sz="0" w:space="0" w:color="auto"/>
          </w:divBdr>
        </w:div>
        <w:div w:id="1645770547">
          <w:marLeft w:val="0"/>
          <w:marRight w:val="0"/>
          <w:marTop w:val="0"/>
          <w:marBottom w:val="101"/>
          <w:divBdr>
            <w:top w:val="none" w:sz="0" w:space="0" w:color="auto"/>
            <w:left w:val="none" w:sz="0" w:space="0" w:color="auto"/>
            <w:bottom w:val="none" w:sz="0" w:space="0" w:color="auto"/>
            <w:right w:val="none" w:sz="0" w:space="0" w:color="auto"/>
          </w:divBdr>
        </w:div>
        <w:div w:id="78448020">
          <w:marLeft w:val="0"/>
          <w:marRight w:val="0"/>
          <w:marTop w:val="0"/>
          <w:marBottom w:val="101"/>
          <w:divBdr>
            <w:top w:val="none" w:sz="0" w:space="0" w:color="auto"/>
            <w:left w:val="none" w:sz="0" w:space="0" w:color="auto"/>
            <w:bottom w:val="none" w:sz="0" w:space="0" w:color="auto"/>
            <w:right w:val="none" w:sz="0" w:space="0" w:color="auto"/>
          </w:divBdr>
        </w:div>
        <w:div w:id="705371413">
          <w:marLeft w:val="0"/>
          <w:marRight w:val="0"/>
          <w:marTop w:val="0"/>
          <w:marBottom w:val="101"/>
          <w:divBdr>
            <w:top w:val="none" w:sz="0" w:space="0" w:color="auto"/>
            <w:left w:val="none" w:sz="0" w:space="0" w:color="auto"/>
            <w:bottom w:val="none" w:sz="0" w:space="0" w:color="auto"/>
            <w:right w:val="none" w:sz="0" w:space="0" w:color="auto"/>
          </w:divBdr>
        </w:div>
        <w:div w:id="1238242776">
          <w:marLeft w:val="0"/>
          <w:marRight w:val="0"/>
          <w:marTop w:val="0"/>
          <w:marBottom w:val="101"/>
          <w:divBdr>
            <w:top w:val="none" w:sz="0" w:space="0" w:color="auto"/>
            <w:left w:val="none" w:sz="0" w:space="0" w:color="auto"/>
            <w:bottom w:val="none" w:sz="0" w:space="0" w:color="auto"/>
            <w:right w:val="none" w:sz="0" w:space="0" w:color="auto"/>
          </w:divBdr>
        </w:div>
        <w:div w:id="266741952">
          <w:marLeft w:val="0"/>
          <w:marRight w:val="0"/>
          <w:marTop w:val="0"/>
          <w:marBottom w:val="101"/>
          <w:divBdr>
            <w:top w:val="none" w:sz="0" w:space="0" w:color="auto"/>
            <w:left w:val="none" w:sz="0" w:space="0" w:color="auto"/>
            <w:bottom w:val="none" w:sz="0" w:space="0" w:color="auto"/>
            <w:right w:val="none" w:sz="0" w:space="0" w:color="auto"/>
          </w:divBdr>
        </w:div>
        <w:div w:id="1846944722">
          <w:marLeft w:val="0"/>
          <w:marRight w:val="0"/>
          <w:marTop w:val="0"/>
          <w:marBottom w:val="101"/>
          <w:divBdr>
            <w:top w:val="none" w:sz="0" w:space="0" w:color="auto"/>
            <w:left w:val="none" w:sz="0" w:space="0" w:color="auto"/>
            <w:bottom w:val="none" w:sz="0" w:space="0" w:color="auto"/>
            <w:right w:val="none" w:sz="0" w:space="0" w:color="auto"/>
          </w:divBdr>
        </w:div>
        <w:div w:id="1267693546">
          <w:marLeft w:val="0"/>
          <w:marRight w:val="0"/>
          <w:marTop w:val="0"/>
          <w:marBottom w:val="101"/>
          <w:divBdr>
            <w:top w:val="none" w:sz="0" w:space="0" w:color="auto"/>
            <w:left w:val="none" w:sz="0" w:space="0" w:color="auto"/>
            <w:bottom w:val="none" w:sz="0" w:space="0" w:color="auto"/>
            <w:right w:val="none" w:sz="0" w:space="0" w:color="auto"/>
          </w:divBdr>
        </w:div>
        <w:div w:id="2016347992">
          <w:marLeft w:val="0"/>
          <w:marRight w:val="0"/>
          <w:marTop w:val="0"/>
          <w:marBottom w:val="101"/>
          <w:divBdr>
            <w:top w:val="none" w:sz="0" w:space="0" w:color="auto"/>
            <w:left w:val="none" w:sz="0" w:space="0" w:color="auto"/>
            <w:bottom w:val="none" w:sz="0" w:space="0" w:color="auto"/>
            <w:right w:val="none" w:sz="0" w:space="0" w:color="auto"/>
          </w:divBdr>
        </w:div>
        <w:div w:id="1318025126">
          <w:marLeft w:val="0"/>
          <w:marRight w:val="0"/>
          <w:marTop w:val="0"/>
          <w:marBottom w:val="101"/>
          <w:divBdr>
            <w:top w:val="none" w:sz="0" w:space="0" w:color="auto"/>
            <w:left w:val="none" w:sz="0" w:space="0" w:color="auto"/>
            <w:bottom w:val="none" w:sz="0" w:space="0" w:color="auto"/>
            <w:right w:val="none" w:sz="0" w:space="0" w:color="auto"/>
          </w:divBdr>
        </w:div>
        <w:div w:id="1302149050">
          <w:marLeft w:val="0"/>
          <w:marRight w:val="0"/>
          <w:marTop w:val="0"/>
          <w:marBottom w:val="101"/>
          <w:divBdr>
            <w:top w:val="none" w:sz="0" w:space="0" w:color="auto"/>
            <w:left w:val="none" w:sz="0" w:space="0" w:color="auto"/>
            <w:bottom w:val="none" w:sz="0" w:space="0" w:color="auto"/>
            <w:right w:val="none" w:sz="0" w:space="0" w:color="auto"/>
          </w:divBdr>
        </w:div>
        <w:div w:id="1899432456">
          <w:marLeft w:val="0"/>
          <w:marRight w:val="0"/>
          <w:marTop w:val="0"/>
          <w:marBottom w:val="101"/>
          <w:divBdr>
            <w:top w:val="none" w:sz="0" w:space="0" w:color="auto"/>
            <w:left w:val="none" w:sz="0" w:space="0" w:color="auto"/>
            <w:bottom w:val="none" w:sz="0" w:space="0" w:color="auto"/>
            <w:right w:val="none" w:sz="0" w:space="0" w:color="auto"/>
          </w:divBdr>
        </w:div>
        <w:div w:id="1341544372">
          <w:marLeft w:val="0"/>
          <w:marRight w:val="0"/>
          <w:marTop w:val="0"/>
          <w:marBottom w:val="101"/>
          <w:divBdr>
            <w:top w:val="none" w:sz="0" w:space="0" w:color="auto"/>
            <w:left w:val="none" w:sz="0" w:space="0" w:color="auto"/>
            <w:bottom w:val="none" w:sz="0" w:space="0" w:color="auto"/>
            <w:right w:val="none" w:sz="0" w:space="0" w:color="auto"/>
          </w:divBdr>
        </w:div>
        <w:div w:id="955527619">
          <w:marLeft w:val="0"/>
          <w:marRight w:val="0"/>
          <w:marTop w:val="0"/>
          <w:marBottom w:val="101"/>
          <w:divBdr>
            <w:top w:val="none" w:sz="0" w:space="0" w:color="auto"/>
            <w:left w:val="none" w:sz="0" w:space="0" w:color="auto"/>
            <w:bottom w:val="none" w:sz="0" w:space="0" w:color="auto"/>
            <w:right w:val="none" w:sz="0" w:space="0" w:color="auto"/>
          </w:divBdr>
        </w:div>
        <w:div w:id="224607308">
          <w:marLeft w:val="0"/>
          <w:marRight w:val="0"/>
          <w:marTop w:val="0"/>
          <w:marBottom w:val="101"/>
          <w:divBdr>
            <w:top w:val="none" w:sz="0" w:space="0" w:color="auto"/>
            <w:left w:val="none" w:sz="0" w:space="0" w:color="auto"/>
            <w:bottom w:val="none" w:sz="0" w:space="0" w:color="auto"/>
            <w:right w:val="none" w:sz="0" w:space="0" w:color="auto"/>
          </w:divBdr>
        </w:div>
        <w:div w:id="1371607384">
          <w:marLeft w:val="0"/>
          <w:marRight w:val="0"/>
          <w:marTop w:val="0"/>
          <w:marBottom w:val="101"/>
          <w:divBdr>
            <w:top w:val="none" w:sz="0" w:space="0" w:color="auto"/>
            <w:left w:val="none" w:sz="0" w:space="0" w:color="auto"/>
            <w:bottom w:val="none" w:sz="0" w:space="0" w:color="auto"/>
            <w:right w:val="none" w:sz="0" w:space="0" w:color="auto"/>
          </w:divBdr>
        </w:div>
        <w:div w:id="1461798415">
          <w:marLeft w:val="0"/>
          <w:marRight w:val="0"/>
          <w:marTop w:val="0"/>
          <w:marBottom w:val="101"/>
          <w:divBdr>
            <w:top w:val="none" w:sz="0" w:space="0" w:color="auto"/>
            <w:left w:val="none" w:sz="0" w:space="0" w:color="auto"/>
            <w:bottom w:val="none" w:sz="0" w:space="0" w:color="auto"/>
            <w:right w:val="none" w:sz="0" w:space="0" w:color="auto"/>
          </w:divBdr>
        </w:div>
        <w:div w:id="644050967">
          <w:marLeft w:val="0"/>
          <w:marRight w:val="0"/>
          <w:marTop w:val="0"/>
          <w:marBottom w:val="101"/>
          <w:divBdr>
            <w:top w:val="none" w:sz="0" w:space="0" w:color="auto"/>
            <w:left w:val="none" w:sz="0" w:space="0" w:color="auto"/>
            <w:bottom w:val="none" w:sz="0" w:space="0" w:color="auto"/>
            <w:right w:val="none" w:sz="0" w:space="0" w:color="auto"/>
          </w:divBdr>
        </w:div>
        <w:div w:id="1589383471">
          <w:marLeft w:val="0"/>
          <w:marRight w:val="0"/>
          <w:marTop w:val="0"/>
          <w:marBottom w:val="101"/>
          <w:divBdr>
            <w:top w:val="none" w:sz="0" w:space="0" w:color="auto"/>
            <w:left w:val="none" w:sz="0" w:space="0" w:color="auto"/>
            <w:bottom w:val="none" w:sz="0" w:space="0" w:color="auto"/>
            <w:right w:val="none" w:sz="0" w:space="0" w:color="auto"/>
          </w:divBdr>
        </w:div>
        <w:div w:id="674304166">
          <w:marLeft w:val="0"/>
          <w:marRight w:val="0"/>
          <w:marTop w:val="0"/>
          <w:marBottom w:val="101"/>
          <w:divBdr>
            <w:top w:val="none" w:sz="0" w:space="0" w:color="auto"/>
            <w:left w:val="none" w:sz="0" w:space="0" w:color="auto"/>
            <w:bottom w:val="none" w:sz="0" w:space="0" w:color="auto"/>
            <w:right w:val="none" w:sz="0" w:space="0" w:color="auto"/>
          </w:divBdr>
        </w:div>
        <w:div w:id="915089955">
          <w:marLeft w:val="0"/>
          <w:marRight w:val="0"/>
          <w:marTop w:val="0"/>
          <w:marBottom w:val="101"/>
          <w:divBdr>
            <w:top w:val="none" w:sz="0" w:space="0" w:color="auto"/>
            <w:left w:val="none" w:sz="0" w:space="0" w:color="auto"/>
            <w:bottom w:val="none" w:sz="0" w:space="0" w:color="auto"/>
            <w:right w:val="none" w:sz="0" w:space="0" w:color="auto"/>
          </w:divBdr>
        </w:div>
        <w:div w:id="661853712">
          <w:marLeft w:val="0"/>
          <w:marRight w:val="0"/>
          <w:marTop w:val="0"/>
          <w:marBottom w:val="101"/>
          <w:divBdr>
            <w:top w:val="none" w:sz="0" w:space="0" w:color="auto"/>
            <w:left w:val="none" w:sz="0" w:space="0" w:color="auto"/>
            <w:bottom w:val="none" w:sz="0" w:space="0" w:color="auto"/>
            <w:right w:val="none" w:sz="0" w:space="0" w:color="auto"/>
          </w:divBdr>
        </w:div>
        <w:div w:id="2048220265">
          <w:marLeft w:val="0"/>
          <w:marRight w:val="0"/>
          <w:marTop w:val="0"/>
          <w:marBottom w:val="101"/>
          <w:divBdr>
            <w:top w:val="none" w:sz="0" w:space="0" w:color="auto"/>
            <w:left w:val="none" w:sz="0" w:space="0" w:color="auto"/>
            <w:bottom w:val="none" w:sz="0" w:space="0" w:color="auto"/>
            <w:right w:val="none" w:sz="0" w:space="0" w:color="auto"/>
          </w:divBdr>
        </w:div>
        <w:div w:id="1313220152">
          <w:marLeft w:val="0"/>
          <w:marRight w:val="0"/>
          <w:marTop w:val="0"/>
          <w:marBottom w:val="101"/>
          <w:divBdr>
            <w:top w:val="none" w:sz="0" w:space="0" w:color="auto"/>
            <w:left w:val="none" w:sz="0" w:space="0" w:color="auto"/>
            <w:bottom w:val="none" w:sz="0" w:space="0" w:color="auto"/>
            <w:right w:val="none" w:sz="0" w:space="0" w:color="auto"/>
          </w:divBdr>
        </w:div>
        <w:div w:id="907152968">
          <w:marLeft w:val="0"/>
          <w:marRight w:val="0"/>
          <w:marTop w:val="0"/>
          <w:marBottom w:val="101"/>
          <w:divBdr>
            <w:top w:val="none" w:sz="0" w:space="0" w:color="auto"/>
            <w:left w:val="none" w:sz="0" w:space="0" w:color="auto"/>
            <w:bottom w:val="none" w:sz="0" w:space="0" w:color="auto"/>
            <w:right w:val="none" w:sz="0" w:space="0" w:color="auto"/>
          </w:divBdr>
        </w:div>
        <w:div w:id="1874684298">
          <w:marLeft w:val="0"/>
          <w:marRight w:val="0"/>
          <w:marTop w:val="0"/>
          <w:marBottom w:val="101"/>
          <w:divBdr>
            <w:top w:val="none" w:sz="0" w:space="0" w:color="auto"/>
            <w:left w:val="none" w:sz="0" w:space="0" w:color="auto"/>
            <w:bottom w:val="none" w:sz="0" w:space="0" w:color="auto"/>
            <w:right w:val="none" w:sz="0" w:space="0" w:color="auto"/>
          </w:divBdr>
        </w:div>
        <w:div w:id="2120903440">
          <w:marLeft w:val="0"/>
          <w:marRight w:val="0"/>
          <w:marTop w:val="0"/>
          <w:marBottom w:val="101"/>
          <w:divBdr>
            <w:top w:val="none" w:sz="0" w:space="0" w:color="auto"/>
            <w:left w:val="none" w:sz="0" w:space="0" w:color="auto"/>
            <w:bottom w:val="none" w:sz="0" w:space="0" w:color="auto"/>
            <w:right w:val="none" w:sz="0" w:space="0" w:color="auto"/>
          </w:divBdr>
        </w:div>
        <w:div w:id="1656563968">
          <w:marLeft w:val="0"/>
          <w:marRight w:val="0"/>
          <w:marTop w:val="0"/>
          <w:marBottom w:val="101"/>
          <w:divBdr>
            <w:top w:val="none" w:sz="0" w:space="0" w:color="auto"/>
            <w:left w:val="none" w:sz="0" w:space="0" w:color="auto"/>
            <w:bottom w:val="none" w:sz="0" w:space="0" w:color="auto"/>
            <w:right w:val="none" w:sz="0" w:space="0" w:color="auto"/>
          </w:divBdr>
        </w:div>
        <w:div w:id="182936155">
          <w:marLeft w:val="0"/>
          <w:marRight w:val="0"/>
          <w:marTop w:val="0"/>
          <w:marBottom w:val="101"/>
          <w:divBdr>
            <w:top w:val="none" w:sz="0" w:space="0" w:color="auto"/>
            <w:left w:val="none" w:sz="0" w:space="0" w:color="auto"/>
            <w:bottom w:val="none" w:sz="0" w:space="0" w:color="auto"/>
            <w:right w:val="none" w:sz="0" w:space="0" w:color="auto"/>
          </w:divBdr>
        </w:div>
        <w:div w:id="1536428950">
          <w:marLeft w:val="0"/>
          <w:marRight w:val="0"/>
          <w:marTop w:val="0"/>
          <w:marBottom w:val="101"/>
          <w:divBdr>
            <w:top w:val="none" w:sz="0" w:space="0" w:color="auto"/>
            <w:left w:val="none" w:sz="0" w:space="0" w:color="auto"/>
            <w:bottom w:val="none" w:sz="0" w:space="0" w:color="auto"/>
            <w:right w:val="none" w:sz="0" w:space="0" w:color="auto"/>
          </w:divBdr>
        </w:div>
        <w:div w:id="1149904996">
          <w:marLeft w:val="0"/>
          <w:marRight w:val="0"/>
          <w:marTop w:val="0"/>
          <w:marBottom w:val="101"/>
          <w:divBdr>
            <w:top w:val="none" w:sz="0" w:space="0" w:color="auto"/>
            <w:left w:val="none" w:sz="0" w:space="0" w:color="auto"/>
            <w:bottom w:val="none" w:sz="0" w:space="0" w:color="auto"/>
            <w:right w:val="none" w:sz="0" w:space="0" w:color="auto"/>
          </w:divBdr>
        </w:div>
        <w:div w:id="213516427">
          <w:marLeft w:val="0"/>
          <w:marRight w:val="0"/>
          <w:marTop w:val="0"/>
          <w:marBottom w:val="101"/>
          <w:divBdr>
            <w:top w:val="none" w:sz="0" w:space="0" w:color="auto"/>
            <w:left w:val="none" w:sz="0" w:space="0" w:color="auto"/>
            <w:bottom w:val="none" w:sz="0" w:space="0" w:color="auto"/>
            <w:right w:val="none" w:sz="0" w:space="0" w:color="auto"/>
          </w:divBdr>
        </w:div>
        <w:div w:id="1455978221">
          <w:marLeft w:val="0"/>
          <w:marRight w:val="0"/>
          <w:marTop w:val="0"/>
          <w:marBottom w:val="101"/>
          <w:divBdr>
            <w:top w:val="none" w:sz="0" w:space="0" w:color="auto"/>
            <w:left w:val="none" w:sz="0" w:space="0" w:color="auto"/>
            <w:bottom w:val="none" w:sz="0" w:space="0" w:color="auto"/>
            <w:right w:val="none" w:sz="0" w:space="0" w:color="auto"/>
          </w:divBdr>
        </w:div>
        <w:div w:id="273025683">
          <w:marLeft w:val="0"/>
          <w:marRight w:val="0"/>
          <w:marTop w:val="0"/>
          <w:marBottom w:val="101"/>
          <w:divBdr>
            <w:top w:val="none" w:sz="0" w:space="0" w:color="auto"/>
            <w:left w:val="none" w:sz="0" w:space="0" w:color="auto"/>
            <w:bottom w:val="none" w:sz="0" w:space="0" w:color="auto"/>
            <w:right w:val="none" w:sz="0" w:space="0" w:color="auto"/>
          </w:divBdr>
        </w:div>
        <w:div w:id="1136139818">
          <w:marLeft w:val="0"/>
          <w:marRight w:val="0"/>
          <w:marTop w:val="0"/>
          <w:marBottom w:val="101"/>
          <w:divBdr>
            <w:top w:val="none" w:sz="0" w:space="0" w:color="auto"/>
            <w:left w:val="none" w:sz="0" w:space="0" w:color="auto"/>
            <w:bottom w:val="none" w:sz="0" w:space="0" w:color="auto"/>
            <w:right w:val="none" w:sz="0" w:space="0" w:color="auto"/>
          </w:divBdr>
        </w:div>
        <w:div w:id="930550922">
          <w:marLeft w:val="0"/>
          <w:marRight w:val="0"/>
          <w:marTop w:val="0"/>
          <w:marBottom w:val="101"/>
          <w:divBdr>
            <w:top w:val="none" w:sz="0" w:space="0" w:color="auto"/>
            <w:left w:val="none" w:sz="0" w:space="0" w:color="auto"/>
            <w:bottom w:val="none" w:sz="0" w:space="0" w:color="auto"/>
            <w:right w:val="none" w:sz="0" w:space="0" w:color="auto"/>
          </w:divBdr>
        </w:div>
        <w:div w:id="2041735400">
          <w:marLeft w:val="0"/>
          <w:marRight w:val="0"/>
          <w:marTop w:val="0"/>
          <w:marBottom w:val="101"/>
          <w:divBdr>
            <w:top w:val="none" w:sz="0" w:space="0" w:color="auto"/>
            <w:left w:val="none" w:sz="0" w:space="0" w:color="auto"/>
            <w:bottom w:val="none" w:sz="0" w:space="0" w:color="auto"/>
            <w:right w:val="none" w:sz="0" w:space="0" w:color="auto"/>
          </w:divBdr>
        </w:div>
        <w:div w:id="894898851">
          <w:marLeft w:val="0"/>
          <w:marRight w:val="0"/>
          <w:marTop w:val="0"/>
          <w:marBottom w:val="101"/>
          <w:divBdr>
            <w:top w:val="none" w:sz="0" w:space="0" w:color="auto"/>
            <w:left w:val="none" w:sz="0" w:space="0" w:color="auto"/>
            <w:bottom w:val="none" w:sz="0" w:space="0" w:color="auto"/>
            <w:right w:val="none" w:sz="0" w:space="0" w:color="auto"/>
          </w:divBdr>
        </w:div>
        <w:div w:id="94058609">
          <w:marLeft w:val="0"/>
          <w:marRight w:val="0"/>
          <w:marTop w:val="0"/>
          <w:marBottom w:val="101"/>
          <w:divBdr>
            <w:top w:val="none" w:sz="0" w:space="0" w:color="auto"/>
            <w:left w:val="none" w:sz="0" w:space="0" w:color="auto"/>
            <w:bottom w:val="none" w:sz="0" w:space="0" w:color="auto"/>
            <w:right w:val="none" w:sz="0" w:space="0" w:color="auto"/>
          </w:divBdr>
        </w:div>
        <w:div w:id="1645961643">
          <w:marLeft w:val="0"/>
          <w:marRight w:val="0"/>
          <w:marTop w:val="0"/>
          <w:marBottom w:val="101"/>
          <w:divBdr>
            <w:top w:val="none" w:sz="0" w:space="0" w:color="auto"/>
            <w:left w:val="none" w:sz="0" w:space="0" w:color="auto"/>
            <w:bottom w:val="none" w:sz="0" w:space="0" w:color="auto"/>
            <w:right w:val="none" w:sz="0" w:space="0" w:color="auto"/>
          </w:divBdr>
        </w:div>
        <w:div w:id="1282685686">
          <w:marLeft w:val="0"/>
          <w:marRight w:val="0"/>
          <w:marTop w:val="0"/>
          <w:marBottom w:val="101"/>
          <w:divBdr>
            <w:top w:val="none" w:sz="0" w:space="0" w:color="auto"/>
            <w:left w:val="none" w:sz="0" w:space="0" w:color="auto"/>
            <w:bottom w:val="none" w:sz="0" w:space="0" w:color="auto"/>
            <w:right w:val="none" w:sz="0" w:space="0" w:color="auto"/>
          </w:divBdr>
        </w:div>
        <w:div w:id="31730975">
          <w:marLeft w:val="0"/>
          <w:marRight w:val="0"/>
          <w:marTop w:val="0"/>
          <w:marBottom w:val="90"/>
          <w:divBdr>
            <w:top w:val="none" w:sz="0" w:space="0" w:color="auto"/>
            <w:left w:val="none" w:sz="0" w:space="0" w:color="auto"/>
            <w:bottom w:val="none" w:sz="0" w:space="0" w:color="auto"/>
            <w:right w:val="none" w:sz="0" w:space="0" w:color="auto"/>
          </w:divBdr>
        </w:div>
        <w:div w:id="504981980">
          <w:marLeft w:val="0"/>
          <w:marRight w:val="0"/>
          <w:marTop w:val="0"/>
          <w:marBottom w:val="90"/>
          <w:divBdr>
            <w:top w:val="none" w:sz="0" w:space="0" w:color="auto"/>
            <w:left w:val="none" w:sz="0" w:space="0" w:color="auto"/>
            <w:bottom w:val="none" w:sz="0" w:space="0" w:color="auto"/>
            <w:right w:val="none" w:sz="0" w:space="0" w:color="auto"/>
          </w:divBdr>
        </w:div>
        <w:div w:id="1168181163">
          <w:marLeft w:val="0"/>
          <w:marRight w:val="0"/>
          <w:marTop w:val="0"/>
          <w:marBottom w:val="90"/>
          <w:divBdr>
            <w:top w:val="none" w:sz="0" w:space="0" w:color="auto"/>
            <w:left w:val="none" w:sz="0" w:space="0" w:color="auto"/>
            <w:bottom w:val="none" w:sz="0" w:space="0" w:color="auto"/>
            <w:right w:val="none" w:sz="0" w:space="0" w:color="auto"/>
          </w:divBdr>
        </w:div>
        <w:div w:id="934634920">
          <w:marLeft w:val="0"/>
          <w:marRight w:val="0"/>
          <w:marTop w:val="0"/>
          <w:marBottom w:val="90"/>
          <w:divBdr>
            <w:top w:val="none" w:sz="0" w:space="0" w:color="auto"/>
            <w:left w:val="none" w:sz="0" w:space="0" w:color="auto"/>
            <w:bottom w:val="none" w:sz="0" w:space="0" w:color="auto"/>
            <w:right w:val="none" w:sz="0" w:space="0" w:color="auto"/>
          </w:divBdr>
        </w:div>
        <w:div w:id="297800582">
          <w:marLeft w:val="0"/>
          <w:marRight w:val="0"/>
          <w:marTop w:val="0"/>
          <w:marBottom w:val="90"/>
          <w:divBdr>
            <w:top w:val="none" w:sz="0" w:space="0" w:color="auto"/>
            <w:left w:val="none" w:sz="0" w:space="0" w:color="auto"/>
            <w:bottom w:val="none" w:sz="0" w:space="0" w:color="auto"/>
            <w:right w:val="none" w:sz="0" w:space="0" w:color="auto"/>
          </w:divBdr>
        </w:div>
        <w:div w:id="142281592">
          <w:marLeft w:val="0"/>
          <w:marRight w:val="0"/>
          <w:marTop w:val="0"/>
          <w:marBottom w:val="90"/>
          <w:divBdr>
            <w:top w:val="none" w:sz="0" w:space="0" w:color="auto"/>
            <w:left w:val="none" w:sz="0" w:space="0" w:color="auto"/>
            <w:bottom w:val="none" w:sz="0" w:space="0" w:color="auto"/>
            <w:right w:val="none" w:sz="0" w:space="0" w:color="auto"/>
          </w:divBdr>
        </w:div>
        <w:div w:id="48457453">
          <w:marLeft w:val="0"/>
          <w:marRight w:val="0"/>
          <w:marTop w:val="0"/>
          <w:marBottom w:val="90"/>
          <w:divBdr>
            <w:top w:val="none" w:sz="0" w:space="0" w:color="auto"/>
            <w:left w:val="none" w:sz="0" w:space="0" w:color="auto"/>
            <w:bottom w:val="none" w:sz="0" w:space="0" w:color="auto"/>
            <w:right w:val="none" w:sz="0" w:space="0" w:color="auto"/>
          </w:divBdr>
        </w:div>
        <w:div w:id="1152597342">
          <w:marLeft w:val="0"/>
          <w:marRight w:val="0"/>
          <w:marTop w:val="0"/>
          <w:marBottom w:val="90"/>
          <w:divBdr>
            <w:top w:val="none" w:sz="0" w:space="0" w:color="auto"/>
            <w:left w:val="none" w:sz="0" w:space="0" w:color="auto"/>
            <w:bottom w:val="none" w:sz="0" w:space="0" w:color="auto"/>
            <w:right w:val="none" w:sz="0" w:space="0" w:color="auto"/>
          </w:divBdr>
        </w:div>
        <w:div w:id="1239250121">
          <w:marLeft w:val="0"/>
          <w:marRight w:val="0"/>
          <w:marTop w:val="0"/>
          <w:marBottom w:val="90"/>
          <w:divBdr>
            <w:top w:val="none" w:sz="0" w:space="0" w:color="auto"/>
            <w:left w:val="none" w:sz="0" w:space="0" w:color="auto"/>
            <w:bottom w:val="none" w:sz="0" w:space="0" w:color="auto"/>
            <w:right w:val="none" w:sz="0" w:space="0" w:color="auto"/>
          </w:divBdr>
        </w:div>
        <w:div w:id="2063288455">
          <w:marLeft w:val="0"/>
          <w:marRight w:val="0"/>
          <w:marTop w:val="0"/>
          <w:marBottom w:val="90"/>
          <w:divBdr>
            <w:top w:val="none" w:sz="0" w:space="0" w:color="auto"/>
            <w:left w:val="none" w:sz="0" w:space="0" w:color="auto"/>
            <w:bottom w:val="none" w:sz="0" w:space="0" w:color="auto"/>
            <w:right w:val="none" w:sz="0" w:space="0" w:color="auto"/>
          </w:divBdr>
        </w:div>
        <w:div w:id="162013451">
          <w:marLeft w:val="0"/>
          <w:marRight w:val="0"/>
          <w:marTop w:val="0"/>
          <w:marBottom w:val="90"/>
          <w:divBdr>
            <w:top w:val="none" w:sz="0" w:space="0" w:color="auto"/>
            <w:left w:val="none" w:sz="0" w:space="0" w:color="auto"/>
            <w:bottom w:val="none" w:sz="0" w:space="0" w:color="auto"/>
            <w:right w:val="none" w:sz="0" w:space="0" w:color="auto"/>
          </w:divBdr>
        </w:div>
        <w:div w:id="892080836">
          <w:marLeft w:val="0"/>
          <w:marRight w:val="0"/>
          <w:marTop w:val="0"/>
          <w:marBottom w:val="90"/>
          <w:divBdr>
            <w:top w:val="none" w:sz="0" w:space="0" w:color="auto"/>
            <w:left w:val="none" w:sz="0" w:space="0" w:color="auto"/>
            <w:bottom w:val="none" w:sz="0" w:space="0" w:color="auto"/>
            <w:right w:val="none" w:sz="0" w:space="0" w:color="auto"/>
          </w:divBdr>
        </w:div>
        <w:div w:id="1859467200">
          <w:marLeft w:val="0"/>
          <w:marRight w:val="0"/>
          <w:marTop w:val="0"/>
          <w:marBottom w:val="90"/>
          <w:divBdr>
            <w:top w:val="none" w:sz="0" w:space="0" w:color="auto"/>
            <w:left w:val="none" w:sz="0" w:space="0" w:color="auto"/>
            <w:bottom w:val="none" w:sz="0" w:space="0" w:color="auto"/>
            <w:right w:val="none" w:sz="0" w:space="0" w:color="auto"/>
          </w:divBdr>
        </w:div>
        <w:div w:id="1412892620">
          <w:marLeft w:val="0"/>
          <w:marRight w:val="0"/>
          <w:marTop w:val="0"/>
          <w:marBottom w:val="90"/>
          <w:divBdr>
            <w:top w:val="none" w:sz="0" w:space="0" w:color="auto"/>
            <w:left w:val="none" w:sz="0" w:space="0" w:color="auto"/>
            <w:bottom w:val="none" w:sz="0" w:space="0" w:color="auto"/>
            <w:right w:val="none" w:sz="0" w:space="0" w:color="auto"/>
          </w:divBdr>
        </w:div>
        <w:div w:id="666593770">
          <w:marLeft w:val="0"/>
          <w:marRight w:val="0"/>
          <w:marTop w:val="0"/>
          <w:marBottom w:val="90"/>
          <w:divBdr>
            <w:top w:val="none" w:sz="0" w:space="0" w:color="auto"/>
            <w:left w:val="none" w:sz="0" w:space="0" w:color="auto"/>
            <w:bottom w:val="none" w:sz="0" w:space="0" w:color="auto"/>
            <w:right w:val="none" w:sz="0" w:space="0" w:color="auto"/>
          </w:divBdr>
        </w:div>
        <w:div w:id="2017221109">
          <w:marLeft w:val="0"/>
          <w:marRight w:val="0"/>
          <w:marTop w:val="0"/>
          <w:marBottom w:val="90"/>
          <w:divBdr>
            <w:top w:val="none" w:sz="0" w:space="0" w:color="auto"/>
            <w:left w:val="none" w:sz="0" w:space="0" w:color="auto"/>
            <w:bottom w:val="none" w:sz="0" w:space="0" w:color="auto"/>
            <w:right w:val="none" w:sz="0" w:space="0" w:color="auto"/>
          </w:divBdr>
        </w:div>
        <w:div w:id="887763260">
          <w:marLeft w:val="0"/>
          <w:marRight w:val="0"/>
          <w:marTop w:val="0"/>
          <w:marBottom w:val="90"/>
          <w:divBdr>
            <w:top w:val="none" w:sz="0" w:space="0" w:color="auto"/>
            <w:left w:val="none" w:sz="0" w:space="0" w:color="auto"/>
            <w:bottom w:val="none" w:sz="0" w:space="0" w:color="auto"/>
            <w:right w:val="none" w:sz="0" w:space="0" w:color="auto"/>
          </w:divBdr>
        </w:div>
        <w:div w:id="1733693770">
          <w:marLeft w:val="0"/>
          <w:marRight w:val="0"/>
          <w:marTop w:val="0"/>
          <w:marBottom w:val="90"/>
          <w:divBdr>
            <w:top w:val="none" w:sz="0" w:space="0" w:color="auto"/>
            <w:left w:val="none" w:sz="0" w:space="0" w:color="auto"/>
            <w:bottom w:val="none" w:sz="0" w:space="0" w:color="auto"/>
            <w:right w:val="none" w:sz="0" w:space="0" w:color="auto"/>
          </w:divBdr>
        </w:div>
        <w:div w:id="1405563398">
          <w:marLeft w:val="0"/>
          <w:marRight w:val="0"/>
          <w:marTop w:val="0"/>
          <w:marBottom w:val="90"/>
          <w:divBdr>
            <w:top w:val="none" w:sz="0" w:space="0" w:color="auto"/>
            <w:left w:val="none" w:sz="0" w:space="0" w:color="auto"/>
            <w:bottom w:val="none" w:sz="0" w:space="0" w:color="auto"/>
            <w:right w:val="none" w:sz="0" w:space="0" w:color="auto"/>
          </w:divBdr>
        </w:div>
        <w:div w:id="706099564">
          <w:marLeft w:val="0"/>
          <w:marRight w:val="0"/>
          <w:marTop w:val="0"/>
          <w:marBottom w:val="90"/>
          <w:divBdr>
            <w:top w:val="none" w:sz="0" w:space="0" w:color="auto"/>
            <w:left w:val="none" w:sz="0" w:space="0" w:color="auto"/>
            <w:bottom w:val="none" w:sz="0" w:space="0" w:color="auto"/>
            <w:right w:val="none" w:sz="0" w:space="0" w:color="auto"/>
          </w:divBdr>
        </w:div>
        <w:div w:id="1873230696">
          <w:marLeft w:val="0"/>
          <w:marRight w:val="0"/>
          <w:marTop w:val="0"/>
          <w:marBottom w:val="90"/>
          <w:divBdr>
            <w:top w:val="none" w:sz="0" w:space="0" w:color="auto"/>
            <w:left w:val="none" w:sz="0" w:space="0" w:color="auto"/>
            <w:bottom w:val="none" w:sz="0" w:space="0" w:color="auto"/>
            <w:right w:val="none" w:sz="0" w:space="0" w:color="auto"/>
          </w:divBdr>
        </w:div>
        <w:div w:id="286787751">
          <w:marLeft w:val="0"/>
          <w:marRight w:val="0"/>
          <w:marTop w:val="0"/>
          <w:marBottom w:val="90"/>
          <w:divBdr>
            <w:top w:val="none" w:sz="0" w:space="0" w:color="auto"/>
            <w:left w:val="none" w:sz="0" w:space="0" w:color="auto"/>
            <w:bottom w:val="none" w:sz="0" w:space="0" w:color="auto"/>
            <w:right w:val="none" w:sz="0" w:space="0" w:color="auto"/>
          </w:divBdr>
        </w:div>
        <w:div w:id="1987971200">
          <w:marLeft w:val="0"/>
          <w:marRight w:val="0"/>
          <w:marTop w:val="0"/>
          <w:marBottom w:val="90"/>
          <w:divBdr>
            <w:top w:val="none" w:sz="0" w:space="0" w:color="auto"/>
            <w:left w:val="none" w:sz="0" w:space="0" w:color="auto"/>
            <w:bottom w:val="none" w:sz="0" w:space="0" w:color="auto"/>
            <w:right w:val="none" w:sz="0" w:space="0" w:color="auto"/>
          </w:divBdr>
        </w:div>
        <w:div w:id="288709389">
          <w:marLeft w:val="0"/>
          <w:marRight w:val="0"/>
          <w:marTop w:val="0"/>
          <w:marBottom w:val="90"/>
          <w:divBdr>
            <w:top w:val="none" w:sz="0" w:space="0" w:color="auto"/>
            <w:left w:val="none" w:sz="0" w:space="0" w:color="auto"/>
            <w:bottom w:val="none" w:sz="0" w:space="0" w:color="auto"/>
            <w:right w:val="none" w:sz="0" w:space="0" w:color="auto"/>
          </w:divBdr>
        </w:div>
        <w:div w:id="698819796">
          <w:marLeft w:val="0"/>
          <w:marRight w:val="0"/>
          <w:marTop w:val="0"/>
          <w:marBottom w:val="90"/>
          <w:divBdr>
            <w:top w:val="none" w:sz="0" w:space="0" w:color="auto"/>
            <w:left w:val="none" w:sz="0" w:space="0" w:color="auto"/>
            <w:bottom w:val="none" w:sz="0" w:space="0" w:color="auto"/>
            <w:right w:val="none" w:sz="0" w:space="0" w:color="auto"/>
          </w:divBdr>
        </w:div>
        <w:div w:id="1562207439">
          <w:marLeft w:val="0"/>
          <w:marRight w:val="0"/>
          <w:marTop w:val="0"/>
          <w:marBottom w:val="90"/>
          <w:divBdr>
            <w:top w:val="none" w:sz="0" w:space="0" w:color="auto"/>
            <w:left w:val="none" w:sz="0" w:space="0" w:color="auto"/>
            <w:bottom w:val="none" w:sz="0" w:space="0" w:color="auto"/>
            <w:right w:val="none" w:sz="0" w:space="0" w:color="auto"/>
          </w:divBdr>
        </w:div>
        <w:div w:id="2112241143">
          <w:marLeft w:val="0"/>
          <w:marRight w:val="0"/>
          <w:marTop w:val="0"/>
          <w:marBottom w:val="90"/>
          <w:divBdr>
            <w:top w:val="none" w:sz="0" w:space="0" w:color="auto"/>
            <w:left w:val="none" w:sz="0" w:space="0" w:color="auto"/>
            <w:bottom w:val="none" w:sz="0" w:space="0" w:color="auto"/>
            <w:right w:val="none" w:sz="0" w:space="0" w:color="auto"/>
          </w:divBdr>
        </w:div>
        <w:div w:id="991177205">
          <w:marLeft w:val="0"/>
          <w:marRight w:val="0"/>
          <w:marTop w:val="0"/>
          <w:marBottom w:val="90"/>
          <w:divBdr>
            <w:top w:val="none" w:sz="0" w:space="0" w:color="auto"/>
            <w:left w:val="none" w:sz="0" w:space="0" w:color="auto"/>
            <w:bottom w:val="none" w:sz="0" w:space="0" w:color="auto"/>
            <w:right w:val="none" w:sz="0" w:space="0" w:color="auto"/>
          </w:divBdr>
        </w:div>
        <w:div w:id="975835760">
          <w:marLeft w:val="0"/>
          <w:marRight w:val="0"/>
          <w:marTop w:val="0"/>
          <w:marBottom w:val="90"/>
          <w:divBdr>
            <w:top w:val="none" w:sz="0" w:space="0" w:color="auto"/>
            <w:left w:val="none" w:sz="0" w:space="0" w:color="auto"/>
            <w:bottom w:val="none" w:sz="0" w:space="0" w:color="auto"/>
            <w:right w:val="none" w:sz="0" w:space="0" w:color="auto"/>
          </w:divBdr>
        </w:div>
        <w:div w:id="1925990622">
          <w:marLeft w:val="0"/>
          <w:marRight w:val="0"/>
          <w:marTop w:val="0"/>
          <w:marBottom w:val="90"/>
          <w:divBdr>
            <w:top w:val="none" w:sz="0" w:space="0" w:color="auto"/>
            <w:left w:val="none" w:sz="0" w:space="0" w:color="auto"/>
            <w:bottom w:val="none" w:sz="0" w:space="0" w:color="auto"/>
            <w:right w:val="none" w:sz="0" w:space="0" w:color="auto"/>
          </w:divBdr>
        </w:div>
        <w:div w:id="349062868">
          <w:marLeft w:val="0"/>
          <w:marRight w:val="0"/>
          <w:marTop w:val="0"/>
          <w:marBottom w:val="90"/>
          <w:divBdr>
            <w:top w:val="none" w:sz="0" w:space="0" w:color="auto"/>
            <w:left w:val="none" w:sz="0" w:space="0" w:color="auto"/>
            <w:bottom w:val="none" w:sz="0" w:space="0" w:color="auto"/>
            <w:right w:val="none" w:sz="0" w:space="0" w:color="auto"/>
          </w:divBdr>
        </w:div>
        <w:div w:id="1629049772">
          <w:marLeft w:val="0"/>
          <w:marRight w:val="0"/>
          <w:marTop w:val="0"/>
          <w:marBottom w:val="90"/>
          <w:divBdr>
            <w:top w:val="none" w:sz="0" w:space="0" w:color="auto"/>
            <w:left w:val="none" w:sz="0" w:space="0" w:color="auto"/>
            <w:bottom w:val="none" w:sz="0" w:space="0" w:color="auto"/>
            <w:right w:val="none" w:sz="0" w:space="0" w:color="auto"/>
          </w:divBdr>
        </w:div>
        <w:div w:id="522861638">
          <w:marLeft w:val="0"/>
          <w:marRight w:val="0"/>
          <w:marTop w:val="40"/>
          <w:marBottom w:val="40"/>
          <w:divBdr>
            <w:top w:val="none" w:sz="0" w:space="0" w:color="auto"/>
            <w:left w:val="none" w:sz="0" w:space="0" w:color="auto"/>
            <w:bottom w:val="none" w:sz="0" w:space="0" w:color="auto"/>
            <w:right w:val="none" w:sz="0" w:space="0" w:color="auto"/>
          </w:divBdr>
        </w:div>
        <w:div w:id="1408259830">
          <w:marLeft w:val="0"/>
          <w:marRight w:val="0"/>
          <w:marTop w:val="0"/>
          <w:marBottom w:val="90"/>
          <w:divBdr>
            <w:top w:val="none" w:sz="0" w:space="0" w:color="auto"/>
            <w:left w:val="none" w:sz="0" w:space="0" w:color="auto"/>
            <w:bottom w:val="none" w:sz="0" w:space="0" w:color="auto"/>
            <w:right w:val="none" w:sz="0" w:space="0" w:color="auto"/>
          </w:divBdr>
        </w:div>
        <w:div w:id="987442240">
          <w:marLeft w:val="0"/>
          <w:marRight w:val="0"/>
          <w:marTop w:val="0"/>
          <w:marBottom w:val="90"/>
          <w:divBdr>
            <w:top w:val="none" w:sz="0" w:space="0" w:color="auto"/>
            <w:left w:val="none" w:sz="0" w:space="0" w:color="auto"/>
            <w:bottom w:val="none" w:sz="0" w:space="0" w:color="auto"/>
            <w:right w:val="none" w:sz="0" w:space="0" w:color="auto"/>
          </w:divBdr>
        </w:div>
        <w:div w:id="666595968">
          <w:marLeft w:val="0"/>
          <w:marRight w:val="0"/>
          <w:marTop w:val="0"/>
          <w:marBottom w:val="90"/>
          <w:divBdr>
            <w:top w:val="none" w:sz="0" w:space="0" w:color="auto"/>
            <w:left w:val="none" w:sz="0" w:space="0" w:color="auto"/>
            <w:bottom w:val="none" w:sz="0" w:space="0" w:color="auto"/>
            <w:right w:val="none" w:sz="0" w:space="0" w:color="auto"/>
          </w:divBdr>
        </w:div>
        <w:div w:id="1350107563">
          <w:marLeft w:val="0"/>
          <w:marRight w:val="0"/>
          <w:marTop w:val="0"/>
          <w:marBottom w:val="90"/>
          <w:divBdr>
            <w:top w:val="none" w:sz="0" w:space="0" w:color="auto"/>
            <w:left w:val="none" w:sz="0" w:space="0" w:color="auto"/>
            <w:bottom w:val="none" w:sz="0" w:space="0" w:color="auto"/>
            <w:right w:val="none" w:sz="0" w:space="0" w:color="auto"/>
          </w:divBdr>
        </w:div>
        <w:div w:id="67460433">
          <w:marLeft w:val="0"/>
          <w:marRight w:val="0"/>
          <w:marTop w:val="0"/>
          <w:marBottom w:val="90"/>
          <w:divBdr>
            <w:top w:val="none" w:sz="0" w:space="0" w:color="auto"/>
            <w:left w:val="none" w:sz="0" w:space="0" w:color="auto"/>
            <w:bottom w:val="none" w:sz="0" w:space="0" w:color="auto"/>
            <w:right w:val="none" w:sz="0" w:space="0" w:color="auto"/>
          </w:divBdr>
        </w:div>
        <w:div w:id="123894788">
          <w:marLeft w:val="0"/>
          <w:marRight w:val="0"/>
          <w:marTop w:val="0"/>
          <w:marBottom w:val="90"/>
          <w:divBdr>
            <w:top w:val="none" w:sz="0" w:space="0" w:color="auto"/>
            <w:left w:val="none" w:sz="0" w:space="0" w:color="auto"/>
            <w:bottom w:val="none" w:sz="0" w:space="0" w:color="auto"/>
            <w:right w:val="none" w:sz="0" w:space="0" w:color="auto"/>
          </w:divBdr>
        </w:div>
        <w:div w:id="1694302981">
          <w:marLeft w:val="0"/>
          <w:marRight w:val="0"/>
          <w:marTop w:val="0"/>
          <w:marBottom w:val="90"/>
          <w:divBdr>
            <w:top w:val="none" w:sz="0" w:space="0" w:color="auto"/>
            <w:left w:val="none" w:sz="0" w:space="0" w:color="auto"/>
            <w:bottom w:val="none" w:sz="0" w:space="0" w:color="auto"/>
            <w:right w:val="none" w:sz="0" w:space="0" w:color="auto"/>
          </w:divBdr>
        </w:div>
        <w:div w:id="1379236991">
          <w:marLeft w:val="0"/>
          <w:marRight w:val="0"/>
          <w:marTop w:val="0"/>
          <w:marBottom w:val="90"/>
          <w:divBdr>
            <w:top w:val="none" w:sz="0" w:space="0" w:color="auto"/>
            <w:left w:val="none" w:sz="0" w:space="0" w:color="auto"/>
            <w:bottom w:val="none" w:sz="0" w:space="0" w:color="auto"/>
            <w:right w:val="none" w:sz="0" w:space="0" w:color="auto"/>
          </w:divBdr>
        </w:div>
        <w:div w:id="1088698794">
          <w:marLeft w:val="0"/>
          <w:marRight w:val="0"/>
          <w:marTop w:val="0"/>
          <w:marBottom w:val="90"/>
          <w:divBdr>
            <w:top w:val="none" w:sz="0" w:space="0" w:color="auto"/>
            <w:left w:val="none" w:sz="0" w:space="0" w:color="auto"/>
            <w:bottom w:val="none" w:sz="0" w:space="0" w:color="auto"/>
            <w:right w:val="none" w:sz="0" w:space="0" w:color="auto"/>
          </w:divBdr>
        </w:div>
        <w:div w:id="183790466">
          <w:marLeft w:val="0"/>
          <w:marRight w:val="0"/>
          <w:marTop w:val="0"/>
          <w:marBottom w:val="90"/>
          <w:divBdr>
            <w:top w:val="none" w:sz="0" w:space="0" w:color="auto"/>
            <w:left w:val="none" w:sz="0" w:space="0" w:color="auto"/>
            <w:bottom w:val="none" w:sz="0" w:space="0" w:color="auto"/>
            <w:right w:val="none" w:sz="0" w:space="0" w:color="auto"/>
          </w:divBdr>
        </w:div>
        <w:div w:id="2000500898">
          <w:marLeft w:val="0"/>
          <w:marRight w:val="0"/>
          <w:marTop w:val="0"/>
          <w:marBottom w:val="90"/>
          <w:divBdr>
            <w:top w:val="none" w:sz="0" w:space="0" w:color="auto"/>
            <w:left w:val="none" w:sz="0" w:space="0" w:color="auto"/>
            <w:bottom w:val="none" w:sz="0" w:space="0" w:color="auto"/>
            <w:right w:val="none" w:sz="0" w:space="0" w:color="auto"/>
          </w:divBdr>
        </w:div>
        <w:div w:id="528223322">
          <w:marLeft w:val="0"/>
          <w:marRight w:val="0"/>
          <w:marTop w:val="0"/>
          <w:marBottom w:val="90"/>
          <w:divBdr>
            <w:top w:val="none" w:sz="0" w:space="0" w:color="auto"/>
            <w:left w:val="none" w:sz="0" w:space="0" w:color="auto"/>
            <w:bottom w:val="none" w:sz="0" w:space="0" w:color="auto"/>
            <w:right w:val="none" w:sz="0" w:space="0" w:color="auto"/>
          </w:divBdr>
        </w:div>
        <w:div w:id="1972978179">
          <w:marLeft w:val="0"/>
          <w:marRight w:val="0"/>
          <w:marTop w:val="0"/>
          <w:marBottom w:val="90"/>
          <w:divBdr>
            <w:top w:val="none" w:sz="0" w:space="0" w:color="auto"/>
            <w:left w:val="none" w:sz="0" w:space="0" w:color="auto"/>
            <w:bottom w:val="none" w:sz="0" w:space="0" w:color="auto"/>
            <w:right w:val="none" w:sz="0" w:space="0" w:color="auto"/>
          </w:divBdr>
        </w:div>
        <w:div w:id="42873856">
          <w:marLeft w:val="0"/>
          <w:marRight w:val="0"/>
          <w:marTop w:val="0"/>
          <w:marBottom w:val="90"/>
          <w:divBdr>
            <w:top w:val="none" w:sz="0" w:space="0" w:color="auto"/>
            <w:left w:val="none" w:sz="0" w:space="0" w:color="auto"/>
            <w:bottom w:val="none" w:sz="0" w:space="0" w:color="auto"/>
            <w:right w:val="none" w:sz="0" w:space="0" w:color="auto"/>
          </w:divBdr>
        </w:div>
        <w:div w:id="1861702758">
          <w:marLeft w:val="0"/>
          <w:marRight w:val="0"/>
          <w:marTop w:val="0"/>
          <w:marBottom w:val="90"/>
          <w:divBdr>
            <w:top w:val="none" w:sz="0" w:space="0" w:color="auto"/>
            <w:left w:val="none" w:sz="0" w:space="0" w:color="auto"/>
            <w:bottom w:val="none" w:sz="0" w:space="0" w:color="auto"/>
            <w:right w:val="none" w:sz="0" w:space="0" w:color="auto"/>
          </w:divBdr>
        </w:div>
        <w:div w:id="2141804828">
          <w:marLeft w:val="0"/>
          <w:marRight w:val="0"/>
          <w:marTop w:val="0"/>
          <w:marBottom w:val="90"/>
          <w:divBdr>
            <w:top w:val="none" w:sz="0" w:space="0" w:color="auto"/>
            <w:left w:val="none" w:sz="0" w:space="0" w:color="auto"/>
            <w:bottom w:val="none" w:sz="0" w:space="0" w:color="auto"/>
            <w:right w:val="none" w:sz="0" w:space="0" w:color="auto"/>
          </w:divBdr>
        </w:div>
        <w:div w:id="983971032">
          <w:marLeft w:val="0"/>
          <w:marRight w:val="0"/>
          <w:marTop w:val="0"/>
          <w:marBottom w:val="90"/>
          <w:divBdr>
            <w:top w:val="none" w:sz="0" w:space="0" w:color="auto"/>
            <w:left w:val="none" w:sz="0" w:space="0" w:color="auto"/>
            <w:bottom w:val="none" w:sz="0" w:space="0" w:color="auto"/>
            <w:right w:val="none" w:sz="0" w:space="0" w:color="auto"/>
          </w:divBdr>
        </w:div>
        <w:div w:id="1367873312">
          <w:marLeft w:val="0"/>
          <w:marRight w:val="0"/>
          <w:marTop w:val="0"/>
          <w:marBottom w:val="90"/>
          <w:divBdr>
            <w:top w:val="none" w:sz="0" w:space="0" w:color="auto"/>
            <w:left w:val="none" w:sz="0" w:space="0" w:color="auto"/>
            <w:bottom w:val="none" w:sz="0" w:space="0" w:color="auto"/>
            <w:right w:val="none" w:sz="0" w:space="0" w:color="auto"/>
          </w:divBdr>
        </w:div>
        <w:div w:id="1029646750">
          <w:marLeft w:val="0"/>
          <w:marRight w:val="0"/>
          <w:marTop w:val="0"/>
          <w:marBottom w:val="90"/>
          <w:divBdr>
            <w:top w:val="none" w:sz="0" w:space="0" w:color="auto"/>
            <w:left w:val="none" w:sz="0" w:space="0" w:color="auto"/>
            <w:bottom w:val="none" w:sz="0" w:space="0" w:color="auto"/>
            <w:right w:val="none" w:sz="0" w:space="0" w:color="auto"/>
          </w:divBdr>
        </w:div>
        <w:div w:id="641925334">
          <w:marLeft w:val="0"/>
          <w:marRight w:val="0"/>
          <w:marTop w:val="0"/>
          <w:marBottom w:val="90"/>
          <w:divBdr>
            <w:top w:val="none" w:sz="0" w:space="0" w:color="auto"/>
            <w:left w:val="none" w:sz="0" w:space="0" w:color="auto"/>
            <w:bottom w:val="none" w:sz="0" w:space="0" w:color="auto"/>
            <w:right w:val="none" w:sz="0" w:space="0" w:color="auto"/>
          </w:divBdr>
        </w:div>
        <w:div w:id="1126847921">
          <w:marLeft w:val="0"/>
          <w:marRight w:val="0"/>
          <w:marTop w:val="0"/>
          <w:marBottom w:val="90"/>
          <w:divBdr>
            <w:top w:val="none" w:sz="0" w:space="0" w:color="auto"/>
            <w:left w:val="none" w:sz="0" w:space="0" w:color="auto"/>
            <w:bottom w:val="none" w:sz="0" w:space="0" w:color="auto"/>
            <w:right w:val="none" w:sz="0" w:space="0" w:color="auto"/>
          </w:divBdr>
        </w:div>
        <w:div w:id="2115785873">
          <w:marLeft w:val="0"/>
          <w:marRight w:val="0"/>
          <w:marTop w:val="0"/>
          <w:marBottom w:val="90"/>
          <w:divBdr>
            <w:top w:val="none" w:sz="0" w:space="0" w:color="auto"/>
            <w:left w:val="none" w:sz="0" w:space="0" w:color="auto"/>
            <w:bottom w:val="none" w:sz="0" w:space="0" w:color="auto"/>
            <w:right w:val="none" w:sz="0" w:space="0" w:color="auto"/>
          </w:divBdr>
        </w:div>
        <w:div w:id="266426991">
          <w:marLeft w:val="0"/>
          <w:marRight w:val="0"/>
          <w:marTop w:val="0"/>
          <w:marBottom w:val="90"/>
          <w:divBdr>
            <w:top w:val="none" w:sz="0" w:space="0" w:color="auto"/>
            <w:left w:val="none" w:sz="0" w:space="0" w:color="auto"/>
            <w:bottom w:val="none" w:sz="0" w:space="0" w:color="auto"/>
            <w:right w:val="none" w:sz="0" w:space="0" w:color="auto"/>
          </w:divBdr>
        </w:div>
        <w:div w:id="125314856">
          <w:marLeft w:val="0"/>
          <w:marRight w:val="0"/>
          <w:marTop w:val="0"/>
          <w:marBottom w:val="90"/>
          <w:divBdr>
            <w:top w:val="none" w:sz="0" w:space="0" w:color="auto"/>
            <w:left w:val="none" w:sz="0" w:space="0" w:color="auto"/>
            <w:bottom w:val="none" w:sz="0" w:space="0" w:color="auto"/>
            <w:right w:val="none" w:sz="0" w:space="0" w:color="auto"/>
          </w:divBdr>
        </w:div>
        <w:div w:id="682316487">
          <w:marLeft w:val="0"/>
          <w:marRight w:val="0"/>
          <w:marTop w:val="0"/>
          <w:marBottom w:val="90"/>
          <w:divBdr>
            <w:top w:val="none" w:sz="0" w:space="0" w:color="auto"/>
            <w:left w:val="none" w:sz="0" w:space="0" w:color="auto"/>
            <w:bottom w:val="none" w:sz="0" w:space="0" w:color="auto"/>
            <w:right w:val="none" w:sz="0" w:space="0" w:color="auto"/>
          </w:divBdr>
        </w:div>
        <w:div w:id="852961008">
          <w:marLeft w:val="0"/>
          <w:marRight w:val="0"/>
          <w:marTop w:val="0"/>
          <w:marBottom w:val="90"/>
          <w:divBdr>
            <w:top w:val="none" w:sz="0" w:space="0" w:color="auto"/>
            <w:left w:val="none" w:sz="0" w:space="0" w:color="auto"/>
            <w:bottom w:val="none" w:sz="0" w:space="0" w:color="auto"/>
            <w:right w:val="none" w:sz="0" w:space="0" w:color="auto"/>
          </w:divBdr>
        </w:div>
        <w:div w:id="1328635835">
          <w:marLeft w:val="0"/>
          <w:marRight w:val="0"/>
          <w:marTop w:val="0"/>
          <w:marBottom w:val="90"/>
          <w:divBdr>
            <w:top w:val="none" w:sz="0" w:space="0" w:color="auto"/>
            <w:left w:val="none" w:sz="0" w:space="0" w:color="auto"/>
            <w:bottom w:val="none" w:sz="0" w:space="0" w:color="auto"/>
            <w:right w:val="none" w:sz="0" w:space="0" w:color="auto"/>
          </w:divBdr>
        </w:div>
        <w:div w:id="444353539">
          <w:marLeft w:val="0"/>
          <w:marRight w:val="0"/>
          <w:marTop w:val="0"/>
          <w:marBottom w:val="90"/>
          <w:divBdr>
            <w:top w:val="none" w:sz="0" w:space="0" w:color="auto"/>
            <w:left w:val="none" w:sz="0" w:space="0" w:color="auto"/>
            <w:bottom w:val="none" w:sz="0" w:space="0" w:color="auto"/>
            <w:right w:val="none" w:sz="0" w:space="0" w:color="auto"/>
          </w:divBdr>
        </w:div>
        <w:div w:id="448158937">
          <w:marLeft w:val="0"/>
          <w:marRight w:val="0"/>
          <w:marTop w:val="0"/>
          <w:marBottom w:val="90"/>
          <w:divBdr>
            <w:top w:val="none" w:sz="0" w:space="0" w:color="auto"/>
            <w:left w:val="none" w:sz="0" w:space="0" w:color="auto"/>
            <w:bottom w:val="none" w:sz="0" w:space="0" w:color="auto"/>
            <w:right w:val="none" w:sz="0" w:space="0" w:color="auto"/>
          </w:divBdr>
        </w:div>
        <w:div w:id="108549756">
          <w:marLeft w:val="0"/>
          <w:marRight w:val="0"/>
          <w:marTop w:val="0"/>
          <w:marBottom w:val="90"/>
          <w:divBdr>
            <w:top w:val="none" w:sz="0" w:space="0" w:color="auto"/>
            <w:left w:val="none" w:sz="0" w:space="0" w:color="auto"/>
            <w:bottom w:val="none" w:sz="0" w:space="0" w:color="auto"/>
            <w:right w:val="none" w:sz="0" w:space="0" w:color="auto"/>
          </w:divBdr>
        </w:div>
        <w:div w:id="1711765495">
          <w:marLeft w:val="0"/>
          <w:marRight w:val="0"/>
          <w:marTop w:val="0"/>
          <w:marBottom w:val="90"/>
          <w:divBdr>
            <w:top w:val="none" w:sz="0" w:space="0" w:color="auto"/>
            <w:left w:val="none" w:sz="0" w:space="0" w:color="auto"/>
            <w:bottom w:val="none" w:sz="0" w:space="0" w:color="auto"/>
            <w:right w:val="none" w:sz="0" w:space="0" w:color="auto"/>
          </w:divBdr>
        </w:div>
        <w:div w:id="672143480">
          <w:marLeft w:val="0"/>
          <w:marRight w:val="0"/>
          <w:marTop w:val="0"/>
          <w:marBottom w:val="90"/>
          <w:divBdr>
            <w:top w:val="none" w:sz="0" w:space="0" w:color="auto"/>
            <w:left w:val="none" w:sz="0" w:space="0" w:color="auto"/>
            <w:bottom w:val="none" w:sz="0" w:space="0" w:color="auto"/>
            <w:right w:val="none" w:sz="0" w:space="0" w:color="auto"/>
          </w:divBdr>
        </w:div>
        <w:div w:id="1019703448">
          <w:marLeft w:val="0"/>
          <w:marRight w:val="0"/>
          <w:marTop w:val="0"/>
          <w:marBottom w:val="90"/>
          <w:divBdr>
            <w:top w:val="none" w:sz="0" w:space="0" w:color="auto"/>
            <w:left w:val="none" w:sz="0" w:space="0" w:color="auto"/>
            <w:bottom w:val="none" w:sz="0" w:space="0" w:color="auto"/>
            <w:right w:val="none" w:sz="0" w:space="0" w:color="auto"/>
          </w:divBdr>
        </w:div>
        <w:div w:id="747769858">
          <w:marLeft w:val="0"/>
          <w:marRight w:val="0"/>
          <w:marTop w:val="0"/>
          <w:marBottom w:val="90"/>
          <w:divBdr>
            <w:top w:val="none" w:sz="0" w:space="0" w:color="auto"/>
            <w:left w:val="none" w:sz="0" w:space="0" w:color="auto"/>
            <w:bottom w:val="none" w:sz="0" w:space="0" w:color="auto"/>
            <w:right w:val="none" w:sz="0" w:space="0" w:color="auto"/>
          </w:divBdr>
        </w:div>
        <w:div w:id="907807146">
          <w:marLeft w:val="0"/>
          <w:marRight w:val="0"/>
          <w:marTop w:val="0"/>
          <w:marBottom w:val="90"/>
          <w:divBdr>
            <w:top w:val="none" w:sz="0" w:space="0" w:color="auto"/>
            <w:left w:val="none" w:sz="0" w:space="0" w:color="auto"/>
            <w:bottom w:val="none" w:sz="0" w:space="0" w:color="auto"/>
            <w:right w:val="none" w:sz="0" w:space="0" w:color="auto"/>
          </w:divBdr>
        </w:div>
        <w:div w:id="1049768314">
          <w:marLeft w:val="0"/>
          <w:marRight w:val="0"/>
          <w:marTop w:val="0"/>
          <w:marBottom w:val="90"/>
          <w:divBdr>
            <w:top w:val="none" w:sz="0" w:space="0" w:color="auto"/>
            <w:left w:val="none" w:sz="0" w:space="0" w:color="auto"/>
            <w:bottom w:val="none" w:sz="0" w:space="0" w:color="auto"/>
            <w:right w:val="none" w:sz="0" w:space="0" w:color="auto"/>
          </w:divBdr>
        </w:div>
        <w:div w:id="683363275">
          <w:marLeft w:val="0"/>
          <w:marRight w:val="0"/>
          <w:marTop w:val="0"/>
          <w:marBottom w:val="90"/>
          <w:divBdr>
            <w:top w:val="none" w:sz="0" w:space="0" w:color="auto"/>
            <w:left w:val="none" w:sz="0" w:space="0" w:color="auto"/>
            <w:bottom w:val="none" w:sz="0" w:space="0" w:color="auto"/>
            <w:right w:val="none" w:sz="0" w:space="0" w:color="auto"/>
          </w:divBdr>
        </w:div>
        <w:div w:id="989938625">
          <w:marLeft w:val="0"/>
          <w:marRight w:val="0"/>
          <w:marTop w:val="0"/>
          <w:marBottom w:val="101"/>
          <w:divBdr>
            <w:top w:val="none" w:sz="0" w:space="0" w:color="auto"/>
            <w:left w:val="none" w:sz="0" w:space="0" w:color="auto"/>
            <w:bottom w:val="none" w:sz="0" w:space="0" w:color="auto"/>
            <w:right w:val="none" w:sz="0" w:space="0" w:color="auto"/>
          </w:divBdr>
        </w:div>
        <w:div w:id="1607275851">
          <w:marLeft w:val="0"/>
          <w:marRight w:val="0"/>
          <w:marTop w:val="0"/>
          <w:marBottom w:val="101"/>
          <w:divBdr>
            <w:top w:val="none" w:sz="0" w:space="0" w:color="auto"/>
            <w:left w:val="none" w:sz="0" w:space="0" w:color="auto"/>
            <w:bottom w:val="none" w:sz="0" w:space="0" w:color="auto"/>
            <w:right w:val="none" w:sz="0" w:space="0" w:color="auto"/>
          </w:divBdr>
        </w:div>
        <w:div w:id="1855920030">
          <w:marLeft w:val="0"/>
          <w:marRight w:val="0"/>
          <w:marTop w:val="0"/>
          <w:marBottom w:val="101"/>
          <w:divBdr>
            <w:top w:val="none" w:sz="0" w:space="0" w:color="auto"/>
            <w:left w:val="none" w:sz="0" w:space="0" w:color="auto"/>
            <w:bottom w:val="none" w:sz="0" w:space="0" w:color="auto"/>
            <w:right w:val="none" w:sz="0" w:space="0" w:color="auto"/>
          </w:divBdr>
        </w:div>
        <w:div w:id="174731419">
          <w:marLeft w:val="0"/>
          <w:marRight w:val="0"/>
          <w:marTop w:val="0"/>
          <w:marBottom w:val="101"/>
          <w:divBdr>
            <w:top w:val="none" w:sz="0" w:space="0" w:color="auto"/>
            <w:left w:val="none" w:sz="0" w:space="0" w:color="auto"/>
            <w:bottom w:val="none" w:sz="0" w:space="0" w:color="auto"/>
            <w:right w:val="none" w:sz="0" w:space="0" w:color="auto"/>
          </w:divBdr>
        </w:div>
        <w:div w:id="1324431202">
          <w:marLeft w:val="0"/>
          <w:marRight w:val="0"/>
          <w:marTop w:val="0"/>
          <w:marBottom w:val="101"/>
          <w:divBdr>
            <w:top w:val="none" w:sz="0" w:space="0" w:color="auto"/>
            <w:left w:val="none" w:sz="0" w:space="0" w:color="auto"/>
            <w:bottom w:val="none" w:sz="0" w:space="0" w:color="auto"/>
            <w:right w:val="none" w:sz="0" w:space="0" w:color="auto"/>
          </w:divBdr>
        </w:div>
        <w:div w:id="1272544834">
          <w:marLeft w:val="0"/>
          <w:marRight w:val="0"/>
          <w:marTop w:val="0"/>
          <w:marBottom w:val="101"/>
          <w:divBdr>
            <w:top w:val="none" w:sz="0" w:space="0" w:color="auto"/>
            <w:left w:val="none" w:sz="0" w:space="0" w:color="auto"/>
            <w:bottom w:val="none" w:sz="0" w:space="0" w:color="auto"/>
            <w:right w:val="none" w:sz="0" w:space="0" w:color="auto"/>
          </w:divBdr>
        </w:div>
        <w:div w:id="1242253783">
          <w:marLeft w:val="0"/>
          <w:marRight w:val="0"/>
          <w:marTop w:val="0"/>
          <w:marBottom w:val="101"/>
          <w:divBdr>
            <w:top w:val="none" w:sz="0" w:space="0" w:color="auto"/>
            <w:left w:val="none" w:sz="0" w:space="0" w:color="auto"/>
            <w:bottom w:val="none" w:sz="0" w:space="0" w:color="auto"/>
            <w:right w:val="none" w:sz="0" w:space="0" w:color="auto"/>
          </w:divBdr>
        </w:div>
        <w:div w:id="1786659840">
          <w:marLeft w:val="0"/>
          <w:marRight w:val="0"/>
          <w:marTop w:val="0"/>
          <w:marBottom w:val="101"/>
          <w:divBdr>
            <w:top w:val="none" w:sz="0" w:space="0" w:color="auto"/>
            <w:left w:val="none" w:sz="0" w:space="0" w:color="auto"/>
            <w:bottom w:val="none" w:sz="0" w:space="0" w:color="auto"/>
            <w:right w:val="none" w:sz="0" w:space="0" w:color="auto"/>
          </w:divBdr>
        </w:div>
        <w:div w:id="1403914607">
          <w:marLeft w:val="0"/>
          <w:marRight w:val="0"/>
          <w:marTop w:val="0"/>
          <w:marBottom w:val="101"/>
          <w:divBdr>
            <w:top w:val="none" w:sz="0" w:space="0" w:color="auto"/>
            <w:left w:val="none" w:sz="0" w:space="0" w:color="auto"/>
            <w:bottom w:val="none" w:sz="0" w:space="0" w:color="auto"/>
            <w:right w:val="none" w:sz="0" w:space="0" w:color="auto"/>
          </w:divBdr>
        </w:div>
        <w:div w:id="13506610">
          <w:marLeft w:val="0"/>
          <w:marRight w:val="0"/>
          <w:marTop w:val="0"/>
          <w:marBottom w:val="101"/>
          <w:divBdr>
            <w:top w:val="none" w:sz="0" w:space="0" w:color="auto"/>
            <w:left w:val="none" w:sz="0" w:space="0" w:color="auto"/>
            <w:bottom w:val="none" w:sz="0" w:space="0" w:color="auto"/>
            <w:right w:val="none" w:sz="0" w:space="0" w:color="auto"/>
          </w:divBdr>
        </w:div>
        <w:div w:id="2132239524">
          <w:marLeft w:val="0"/>
          <w:marRight w:val="0"/>
          <w:marTop w:val="0"/>
          <w:marBottom w:val="101"/>
          <w:divBdr>
            <w:top w:val="none" w:sz="0" w:space="0" w:color="auto"/>
            <w:left w:val="none" w:sz="0" w:space="0" w:color="auto"/>
            <w:bottom w:val="none" w:sz="0" w:space="0" w:color="auto"/>
            <w:right w:val="none" w:sz="0" w:space="0" w:color="auto"/>
          </w:divBdr>
        </w:div>
        <w:div w:id="243999363">
          <w:marLeft w:val="0"/>
          <w:marRight w:val="0"/>
          <w:marTop w:val="0"/>
          <w:marBottom w:val="101"/>
          <w:divBdr>
            <w:top w:val="none" w:sz="0" w:space="0" w:color="auto"/>
            <w:left w:val="none" w:sz="0" w:space="0" w:color="auto"/>
            <w:bottom w:val="none" w:sz="0" w:space="0" w:color="auto"/>
            <w:right w:val="none" w:sz="0" w:space="0" w:color="auto"/>
          </w:divBdr>
        </w:div>
        <w:div w:id="313873669">
          <w:marLeft w:val="0"/>
          <w:marRight w:val="0"/>
          <w:marTop w:val="0"/>
          <w:marBottom w:val="101"/>
          <w:divBdr>
            <w:top w:val="none" w:sz="0" w:space="0" w:color="auto"/>
            <w:left w:val="none" w:sz="0" w:space="0" w:color="auto"/>
            <w:bottom w:val="none" w:sz="0" w:space="0" w:color="auto"/>
            <w:right w:val="none" w:sz="0" w:space="0" w:color="auto"/>
          </w:divBdr>
        </w:div>
        <w:div w:id="1326206939">
          <w:marLeft w:val="0"/>
          <w:marRight w:val="0"/>
          <w:marTop w:val="0"/>
          <w:marBottom w:val="101"/>
          <w:divBdr>
            <w:top w:val="none" w:sz="0" w:space="0" w:color="auto"/>
            <w:left w:val="none" w:sz="0" w:space="0" w:color="auto"/>
            <w:bottom w:val="none" w:sz="0" w:space="0" w:color="auto"/>
            <w:right w:val="none" w:sz="0" w:space="0" w:color="auto"/>
          </w:divBdr>
        </w:div>
        <w:div w:id="817498200">
          <w:marLeft w:val="0"/>
          <w:marRight w:val="0"/>
          <w:marTop w:val="0"/>
          <w:marBottom w:val="101"/>
          <w:divBdr>
            <w:top w:val="none" w:sz="0" w:space="0" w:color="auto"/>
            <w:left w:val="none" w:sz="0" w:space="0" w:color="auto"/>
            <w:bottom w:val="none" w:sz="0" w:space="0" w:color="auto"/>
            <w:right w:val="none" w:sz="0" w:space="0" w:color="auto"/>
          </w:divBdr>
        </w:div>
        <w:div w:id="591551327">
          <w:marLeft w:val="0"/>
          <w:marRight w:val="0"/>
          <w:marTop w:val="0"/>
          <w:marBottom w:val="101"/>
          <w:divBdr>
            <w:top w:val="none" w:sz="0" w:space="0" w:color="auto"/>
            <w:left w:val="none" w:sz="0" w:space="0" w:color="auto"/>
            <w:bottom w:val="none" w:sz="0" w:space="0" w:color="auto"/>
            <w:right w:val="none" w:sz="0" w:space="0" w:color="auto"/>
          </w:divBdr>
        </w:div>
        <w:div w:id="22945082">
          <w:marLeft w:val="0"/>
          <w:marRight w:val="0"/>
          <w:marTop w:val="0"/>
          <w:marBottom w:val="101"/>
          <w:divBdr>
            <w:top w:val="none" w:sz="0" w:space="0" w:color="auto"/>
            <w:left w:val="none" w:sz="0" w:space="0" w:color="auto"/>
            <w:bottom w:val="none" w:sz="0" w:space="0" w:color="auto"/>
            <w:right w:val="none" w:sz="0" w:space="0" w:color="auto"/>
          </w:divBdr>
        </w:div>
        <w:div w:id="90854813">
          <w:marLeft w:val="0"/>
          <w:marRight w:val="0"/>
          <w:marTop w:val="0"/>
          <w:marBottom w:val="101"/>
          <w:divBdr>
            <w:top w:val="none" w:sz="0" w:space="0" w:color="auto"/>
            <w:left w:val="none" w:sz="0" w:space="0" w:color="auto"/>
            <w:bottom w:val="none" w:sz="0" w:space="0" w:color="auto"/>
            <w:right w:val="none" w:sz="0" w:space="0" w:color="auto"/>
          </w:divBdr>
        </w:div>
        <w:div w:id="403915964">
          <w:marLeft w:val="0"/>
          <w:marRight w:val="0"/>
          <w:marTop w:val="0"/>
          <w:marBottom w:val="101"/>
          <w:divBdr>
            <w:top w:val="none" w:sz="0" w:space="0" w:color="auto"/>
            <w:left w:val="none" w:sz="0" w:space="0" w:color="auto"/>
            <w:bottom w:val="none" w:sz="0" w:space="0" w:color="auto"/>
            <w:right w:val="none" w:sz="0" w:space="0" w:color="auto"/>
          </w:divBdr>
        </w:div>
        <w:div w:id="2053310645">
          <w:marLeft w:val="0"/>
          <w:marRight w:val="0"/>
          <w:marTop w:val="0"/>
          <w:marBottom w:val="101"/>
          <w:divBdr>
            <w:top w:val="none" w:sz="0" w:space="0" w:color="auto"/>
            <w:left w:val="none" w:sz="0" w:space="0" w:color="auto"/>
            <w:bottom w:val="none" w:sz="0" w:space="0" w:color="auto"/>
            <w:right w:val="none" w:sz="0" w:space="0" w:color="auto"/>
          </w:divBdr>
        </w:div>
        <w:div w:id="2134323223">
          <w:marLeft w:val="0"/>
          <w:marRight w:val="0"/>
          <w:marTop w:val="0"/>
          <w:marBottom w:val="101"/>
          <w:divBdr>
            <w:top w:val="none" w:sz="0" w:space="0" w:color="auto"/>
            <w:left w:val="none" w:sz="0" w:space="0" w:color="auto"/>
            <w:bottom w:val="none" w:sz="0" w:space="0" w:color="auto"/>
            <w:right w:val="none" w:sz="0" w:space="0" w:color="auto"/>
          </w:divBdr>
        </w:div>
        <w:div w:id="158547124">
          <w:marLeft w:val="0"/>
          <w:marRight w:val="0"/>
          <w:marTop w:val="0"/>
          <w:marBottom w:val="101"/>
          <w:divBdr>
            <w:top w:val="none" w:sz="0" w:space="0" w:color="auto"/>
            <w:left w:val="none" w:sz="0" w:space="0" w:color="auto"/>
            <w:bottom w:val="none" w:sz="0" w:space="0" w:color="auto"/>
            <w:right w:val="none" w:sz="0" w:space="0" w:color="auto"/>
          </w:divBdr>
        </w:div>
        <w:div w:id="1875190262">
          <w:marLeft w:val="0"/>
          <w:marRight w:val="0"/>
          <w:marTop w:val="0"/>
          <w:marBottom w:val="101"/>
          <w:divBdr>
            <w:top w:val="none" w:sz="0" w:space="0" w:color="auto"/>
            <w:left w:val="none" w:sz="0" w:space="0" w:color="auto"/>
            <w:bottom w:val="none" w:sz="0" w:space="0" w:color="auto"/>
            <w:right w:val="none" w:sz="0" w:space="0" w:color="auto"/>
          </w:divBdr>
        </w:div>
        <w:div w:id="1566793685">
          <w:marLeft w:val="0"/>
          <w:marRight w:val="0"/>
          <w:marTop w:val="0"/>
          <w:marBottom w:val="101"/>
          <w:divBdr>
            <w:top w:val="none" w:sz="0" w:space="0" w:color="auto"/>
            <w:left w:val="none" w:sz="0" w:space="0" w:color="auto"/>
            <w:bottom w:val="none" w:sz="0" w:space="0" w:color="auto"/>
            <w:right w:val="none" w:sz="0" w:space="0" w:color="auto"/>
          </w:divBdr>
        </w:div>
        <w:div w:id="309211937">
          <w:marLeft w:val="0"/>
          <w:marRight w:val="0"/>
          <w:marTop w:val="0"/>
          <w:marBottom w:val="101"/>
          <w:divBdr>
            <w:top w:val="none" w:sz="0" w:space="0" w:color="auto"/>
            <w:left w:val="none" w:sz="0" w:space="0" w:color="auto"/>
            <w:bottom w:val="none" w:sz="0" w:space="0" w:color="auto"/>
            <w:right w:val="none" w:sz="0" w:space="0" w:color="auto"/>
          </w:divBdr>
        </w:div>
        <w:div w:id="242574003">
          <w:marLeft w:val="0"/>
          <w:marRight w:val="0"/>
          <w:marTop w:val="0"/>
          <w:marBottom w:val="101"/>
          <w:divBdr>
            <w:top w:val="none" w:sz="0" w:space="0" w:color="auto"/>
            <w:left w:val="none" w:sz="0" w:space="0" w:color="auto"/>
            <w:bottom w:val="none" w:sz="0" w:space="0" w:color="auto"/>
            <w:right w:val="none" w:sz="0" w:space="0" w:color="auto"/>
          </w:divBdr>
        </w:div>
        <w:div w:id="591816374">
          <w:marLeft w:val="0"/>
          <w:marRight w:val="0"/>
          <w:marTop w:val="0"/>
          <w:marBottom w:val="101"/>
          <w:divBdr>
            <w:top w:val="none" w:sz="0" w:space="0" w:color="auto"/>
            <w:left w:val="none" w:sz="0" w:space="0" w:color="auto"/>
            <w:bottom w:val="none" w:sz="0" w:space="0" w:color="auto"/>
            <w:right w:val="none" w:sz="0" w:space="0" w:color="auto"/>
          </w:divBdr>
        </w:div>
        <w:div w:id="2147116118">
          <w:marLeft w:val="0"/>
          <w:marRight w:val="0"/>
          <w:marTop w:val="0"/>
          <w:marBottom w:val="101"/>
          <w:divBdr>
            <w:top w:val="none" w:sz="0" w:space="0" w:color="auto"/>
            <w:left w:val="none" w:sz="0" w:space="0" w:color="auto"/>
            <w:bottom w:val="none" w:sz="0" w:space="0" w:color="auto"/>
            <w:right w:val="none" w:sz="0" w:space="0" w:color="auto"/>
          </w:divBdr>
        </w:div>
        <w:div w:id="1714891531">
          <w:marLeft w:val="0"/>
          <w:marRight w:val="0"/>
          <w:marTop w:val="0"/>
          <w:marBottom w:val="101"/>
          <w:divBdr>
            <w:top w:val="none" w:sz="0" w:space="0" w:color="auto"/>
            <w:left w:val="none" w:sz="0" w:space="0" w:color="auto"/>
            <w:bottom w:val="none" w:sz="0" w:space="0" w:color="auto"/>
            <w:right w:val="none" w:sz="0" w:space="0" w:color="auto"/>
          </w:divBdr>
        </w:div>
        <w:div w:id="1274676258">
          <w:marLeft w:val="0"/>
          <w:marRight w:val="0"/>
          <w:marTop w:val="0"/>
          <w:marBottom w:val="101"/>
          <w:divBdr>
            <w:top w:val="none" w:sz="0" w:space="0" w:color="auto"/>
            <w:left w:val="none" w:sz="0" w:space="0" w:color="auto"/>
            <w:bottom w:val="none" w:sz="0" w:space="0" w:color="auto"/>
            <w:right w:val="none" w:sz="0" w:space="0" w:color="auto"/>
          </w:divBdr>
        </w:div>
        <w:div w:id="481195624">
          <w:marLeft w:val="0"/>
          <w:marRight w:val="0"/>
          <w:marTop w:val="0"/>
          <w:marBottom w:val="101"/>
          <w:divBdr>
            <w:top w:val="none" w:sz="0" w:space="0" w:color="auto"/>
            <w:left w:val="none" w:sz="0" w:space="0" w:color="auto"/>
            <w:bottom w:val="none" w:sz="0" w:space="0" w:color="auto"/>
            <w:right w:val="none" w:sz="0" w:space="0" w:color="auto"/>
          </w:divBdr>
        </w:div>
        <w:div w:id="379944142">
          <w:marLeft w:val="0"/>
          <w:marRight w:val="0"/>
          <w:marTop w:val="0"/>
          <w:marBottom w:val="101"/>
          <w:divBdr>
            <w:top w:val="none" w:sz="0" w:space="0" w:color="auto"/>
            <w:left w:val="none" w:sz="0" w:space="0" w:color="auto"/>
            <w:bottom w:val="none" w:sz="0" w:space="0" w:color="auto"/>
            <w:right w:val="none" w:sz="0" w:space="0" w:color="auto"/>
          </w:divBdr>
        </w:div>
        <w:div w:id="414940634">
          <w:marLeft w:val="0"/>
          <w:marRight w:val="0"/>
          <w:marTop w:val="0"/>
          <w:marBottom w:val="101"/>
          <w:divBdr>
            <w:top w:val="none" w:sz="0" w:space="0" w:color="auto"/>
            <w:left w:val="none" w:sz="0" w:space="0" w:color="auto"/>
            <w:bottom w:val="none" w:sz="0" w:space="0" w:color="auto"/>
            <w:right w:val="none" w:sz="0" w:space="0" w:color="auto"/>
          </w:divBdr>
        </w:div>
        <w:div w:id="1196649644">
          <w:marLeft w:val="0"/>
          <w:marRight w:val="0"/>
          <w:marTop w:val="0"/>
          <w:marBottom w:val="101"/>
          <w:divBdr>
            <w:top w:val="none" w:sz="0" w:space="0" w:color="auto"/>
            <w:left w:val="none" w:sz="0" w:space="0" w:color="auto"/>
            <w:bottom w:val="none" w:sz="0" w:space="0" w:color="auto"/>
            <w:right w:val="none" w:sz="0" w:space="0" w:color="auto"/>
          </w:divBdr>
        </w:div>
        <w:div w:id="619340003">
          <w:marLeft w:val="0"/>
          <w:marRight w:val="0"/>
          <w:marTop w:val="0"/>
          <w:marBottom w:val="101"/>
          <w:divBdr>
            <w:top w:val="none" w:sz="0" w:space="0" w:color="auto"/>
            <w:left w:val="none" w:sz="0" w:space="0" w:color="auto"/>
            <w:bottom w:val="none" w:sz="0" w:space="0" w:color="auto"/>
            <w:right w:val="none" w:sz="0" w:space="0" w:color="auto"/>
          </w:divBdr>
        </w:div>
        <w:div w:id="2046831177">
          <w:marLeft w:val="0"/>
          <w:marRight w:val="0"/>
          <w:marTop w:val="0"/>
          <w:marBottom w:val="101"/>
          <w:divBdr>
            <w:top w:val="none" w:sz="0" w:space="0" w:color="auto"/>
            <w:left w:val="none" w:sz="0" w:space="0" w:color="auto"/>
            <w:bottom w:val="none" w:sz="0" w:space="0" w:color="auto"/>
            <w:right w:val="none" w:sz="0" w:space="0" w:color="auto"/>
          </w:divBdr>
        </w:div>
        <w:div w:id="293410013">
          <w:marLeft w:val="0"/>
          <w:marRight w:val="0"/>
          <w:marTop w:val="0"/>
          <w:marBottom w:val="101"/>
          <w:divBdr>
            <w:top w:val="none" w:sz="0" w:space="0" w:color="auto"/>
            <w:left w:val="none" w:sz="0" w:space="0" w:color="auto"/>
            <w:bottom w:val="none" w:sz="0" w:space="0" w:color="auto"/>
            <w:right w:val="none" w:sz="0" w:space="0" w:color="auto"/>
          </w:divBdr>
        </w:div>
        <w:div w:id="55933394">
          <w:marLeft w:val="0"/>
          <w:marRight w:val="0"/>
          <w:marTop w:val="0"/>
          <w:marBottom w:val="101"/>
          <w:divBdr>
            <w:top w:val="none" w:sz="0" w:space="0" w:color="auto"/>
            <w:left w:val="none" w:sz="0" w:space="0" w:color="auto"/>
            <w:bottom w:val="none" w:sz="0" w:space="0" w:color="auto"/>
            <w:right w:val="none" w:sz="0" w:space="0" w:color="auto"/>
          </w:divBdr>
        </w:div>
        <w:div w:id="522861801">
          <w:marLeft w:val="0"/>
          <w:marRight w:val="0"/>
          <w:marTop w:val="0"/>
          <w:marBottom w:val="101"/>
          <w:divBdr>
            <w:top w:val="none" w:sz="0" w:space="0" w:color="auto"/>
            <w:left w:val="none" w:sz="0" w:space="0" w:color="auto"/>
            <w:bottom w:val="none" w:sz="0" w:space="0" w:color="auto"/>
            <w:right w:val="none" w:sz="0" w:space="0" w:color="auto"/>
          </w:divBdr>
        </w:div>
        <w:div w:id="1663698154">
          <w:marLeft w:val="0"/>
          <w:marRight w:val="0"/>
          <w:marTop w:val="0"/>
          <w:marBottom w:val="101"/>
          <w:divBdr>
            <w:top w:val="none" w:sz="0" w:space="0" w:color="auto"/>
            <w:left w:val="none" w:sz="0" w:space="0" w:color="auto"/>
            <w:bottom w:val="none" w:sz="0" w:space="0" w:color="auto"/>
            <w:right w:val="none" w:sz="0" w:space="0" w:color="auto"/>
          </w:divBdr>
        </w:div>
        <w:div w:id="2077121977">
          <w:marLeft w:val="0"/>
          <w:marRight w:val="0"/>
          <w:marTop w:val="0"/>
          <w:marBottom w:val="101"/>
          <w:divBdr>
            <w:top w:val="none" w:sz="0" w:space="0" w:color="auto"/>
            <w:left w:val="none" w:sz="0" w:space="0" w:color="auto"/>
            <w:bottom w:val="none" w:sz="0" w:space="0" w:color="auto"/>
            <w:right w:val="none" w:sz="0" w:space="0" w:color="auto"/>
          </w:divBdr>
        </w:div>
        <w:div w:id="377094705">
          <w:marLeft w:val="0"/>
          <w:marRight w:val="0"/>
          <w:marTop w:val="0"/>
          <w:marBottom w:val="101"/>
          <w:divBdr>
            <w:top w:val="none" w:sz="0" w:space="0" w:color="auto"/>
            <w:left w:val="none" w:sz="0" w:space="0" w:color="auto"/>
            <w:bottom w:val="none" w:sz="0" w:space="0" w:color="auto"/>
            <w:right w:val="none" w:sz="0" w:space="0" w:color="auto"/>
          </w:divBdr>
        </w:div>
        <w:div w:id="568468219">
          <w:marLeft w:val="0"/>
          <w:marRight w:val="0"/>
          <w:marTop w:val="0"/>
          <w:marBottom w:val="101"/>
          <w:divBdr>
            <w:top w:val="none" w:sz="0" w:space="0" w:color="auto"/>
            <w:left w:val="none" w:sz="0" w:space="0" w:color="auto"/>
            <w:bottom w:val="none" w:sz="0" w:space="0" w:color="auto"/>
            <w:right w:val="none" w:sz="0" w:space="0" w:color="auto"/>
          </w:divBdr>
        </w:div>
        <w:div w:id="428739047">
          <w:marLeft w:val="0"/>
          <w:marRight w:val="0"/>
          <w:marTop w:val="0"/>
          <w:marBottom w:val="101"/>
          <w:divBdr>
            <w:top w:val="none" w:sz="0" w:space="0" w:color="auto"/>
            <w:left w:val="none" w:sz="0" w:space="0" w:color="auto"/>
            <w:bottom w:val="none" w:sz="0" w:space="0" w:color="auto"/>
            <w:right w:val="none" w:sz="0" w:space="0" w:color="auto"/>
          </w:divBdr>
        </w:div>
        <w:div w:id="1888712532">
          <w:marLeft w:val="0"/>
          <w:marRight w:val="0"/>
          <w:marTop w:val="0"/>
          <w:marBottom w:val="101"/>
          <w:divBdr>
            <w:top w:val="none" w:sz="0" w:space="0" w:color="auto"/>
            <w:left w:val="none" w:sz="0" w:space="0" w:color="auto"/>
            <w:bottom w:val="none" w:sz="0" w:space="0" w:color="auto"/>
            <w:right w:val="none" w:sz="0" w:space="0" w:color="auto"/>
          </w:divBdr>
        </w:div>
        <w:div w:id="6489881">
          <w:marLeft w:val="0"/>
          <w:marRight w:val="0"/>
          <w:marTop w:val="0"/>
          <w:marBottom w:val="101"/>
          <w:divBdr>
            <w:top w:val="none" w:sz="0" w:space="0" w:color="auto"/>
            <w:left w:val="none" w:sz="0" w:space="0" w:color="auto"/>
            <w:bottom w:val="none" w:sz="0" w:space="0" w:color="auto"/>
            <w:right w:val="none" w:sz="0" w:space="0" w:color="auto"/>
          </w:divBdr>
        </w:div>
        <w:div w:id="1483932631">
          <w:marLeft w:val="0"/>
          <w:marRight w:val="0"/>
          <w:marTop w:val="0"/>
          <w:marBottom w:val="101"/>
          <w:divBdr>
            <w:top w:val="none" w:sz="0" w:space="0" w:color="auto"/>
            <w:left w:val="none" w:sz="0" w:space="0" w:color="auto"/>
            <w:bottom w:val="none" w:sz="0" w:space="0" w:color="auto"/>
            <w:right w:val="none" w:sz="0" w:space="0" w:color="auto"/>
          </w:divBdr>
        </w:div>
        <w:div w:id="1437208675">
          <w:marLeft w:val="0"/>
          <w:marRight w:val="0"/>
          <w:marTop w:val="0"/>
          <w:marBottom w:val="101"/>
          <w:divBdr>
            <w:top w:val="none" w:sz="0" w:space="0" w:color="auto"/>
            <w:left w:val="none" w:sz="0" w:space="0" w:color="auto"/>
            <w:bottom w:val="none" w:sz="0" w:space="0" w:color="auto"/>
            <w:right w:val="none" w:sz="0" w:space="0" w:color="auto"/>
          </w:divBdr>
        </w:div>
        <w:div w:id="1163815005">
          <w:marLeft w:val="0"/>
          <w:marRight w:val="0"/>
          <w:marTop w:val="0"/>
          <w:marBottom w:val="101"/>
          <w:divBdr>
            <w:top w:val="none" w:sz="0" w:space="0" w:color="auto"/>
            <w:left w:val="none" w:sz="0" w:space="0" w:color="auto"/>
            <w:bottom w:val="none" w:sz="0" w:space="0" w:color="auto"/>
            <w:right w:val="none" w:sz="0" w:space="0" w:color="auto"/>
          </w:divBdr>
        </w:div>
        <w:div w:id="1029447888">
          <w:marLeft w:val="0"/>
          <w:marRight w:val="0"/>
          <w:marTop w:val="0"/>
          <w:marBottom w:val="101"/>
          <w:divBdr>
            <w:top w:val="none" w:sz="0" w:space="0" w:color="auto"/>
            <w:left w:val="none" w:sz="0" w:space="0" w:color="auto"/>
            <w:bottom w:val="none" w:sz="0" w:space="0" w:color="auto"/>
            <w:right w:val="none" w:sz="0" w:space="0" w:color="auto"/>
          </w:divBdr>
        </w:div>
        <w:div w:id="1643801936">
          <w:marLeft w:val="0"/>
          <w:marRight w:val="0"/>
          <w:marTop w:val="0"/>
          <w:marBottom w:val="101"/>
          <w:divBdr>
            <w:top w:val="none" w:sz="0" w:space="0" w:color="auto"/>
            <w:left w:val="none" w:sz="0" w:space="0" w:color="auto"/>
            <w:bottom w:val="none" w:sz="0" w:space="0" w:color="auto"/>
            <w:right w:val="none" w:sz="0" w:space="0" w:color="auto"/>
          </w:divBdr>
        </w:div>
        <w:div w:id="1145512102">
          <w:marLeft w:val="0"/>
          <w:marRight w:val="0"/>
          <w:marTop w:val="0"/>
          <w:marBottom w:val="101"/>
          <w:divBdr>
            <w:top w:val="none" w:sz="0" w:space="0" w:color="auto"/>
            <w:left w:val="none" w:sz="0" w:space="0" w:color="auto"/>
            <w:bottom w:val="none" w:sz="0" w:space="0" w:color="auto"/>
            <w:right w:val="none" w:sz="0" w:space="0" w:color="auto"/>
          </w:divBdr>
        </w:div>
        <w:div w:id="503522054">
          <w:marLeft w:val="0"/>
          <w:marRight w:val="0"/>
          <w:marTop w:val="0"/>
          <w:marBottom w:val="101"/>
          <w:divBdr>
            <w:top w:val="none" w:sz="0" w:space="0" w:color="auto"/>
            <w:left w:val="none" w:sz="0" w:space="0" w:color="auto"/>
            <w:bottom w:val="none" w:sz="0" w:space="0" w:color="auto"/>
            <w:right w:val="none" w:sz="0" w:space="0" w:color="auto"/>
          </w:divBdr>
        </w:div>
        <w:div w:id="1073165900">
          <w:marLeft w:val="0"/>
          <w:marRight w:val="0"/>
          <w:marTop w:val="0"/>
          <w:marBottom w:val="101"/>
          <w:divBdr>
            <w:top w:val="none" w:sz="0" w:space="0" w:color="auto"/>
            <w:left w:val="none" w:sz="0" w:space="0" w:color="auto"/>
            <w:bottom w:val="none" w:sz="0" w:space="0" w:color="auto"/>
            <w:right w:val="none" w:sz="0" w:space="0" w:color="auto"/>
          </w:divBdr>
        </w:div>
        <w:div w:id="419332088">
          <w:marLeft w:val="0"/>
          <w:marRight w:val="0"/>
          <w:marTop w:val="0"/>
          <w:marBottom w:val="101"/>
          <w:divBdr>
            <w:top w:val="none" w:sz="0" w:space="0" w:color="auto"/>
            <w:left w:val="none" w:sz="0" w:space="0" w:color="auto"/>
            <w:bottom w:val="none" w:sz="0" w:space="0" w:color="auto"/>
            <w:right w:val="none" w:sz="0" w:space="0" w:color="auto"/>
          </w:divBdr>
        </w:div>
        <w:div w:id="184559198">
          <w:marLeft w:val="0"/>
          <w:marRight w:val="0"/>
          <w:marTop w:val="0"/>
          <w:marBottom w:val="101"/>
          <w:divBdr>
            <w:top w:val="none" w:sz="0" w:space="0" w:color="auto"/>
            <w:left w:val="none" w:sz="0" w:space="0" w:color="auto"/>
            <w:bottom w:val="none" w:sz="0" w:space="0" w:color="auto"/>
            <w:right w:val="none" w:sz="0" w:space="0" w:color="auto"/>
          </w:divBdr>
        </w:div>
        <w:div w:id="912620923">
          <w:marLeft w:val="0"/>
          <w:marRight w:val="0"/>
          <w:marTop w:val="0"/>
          <w:marBottom w:val="101"/>
          <w:divBdr>
            <w:top w:val="none" w:sz="0" w:space="0" w:color="auto"/>
            <w:left w:val="none" w:sz="0" w:space="0" w:color="auto"/>
            <w:bottom w:val="none" w:sz="0" w:space="0" w:color="auto"/>
            <w:right w:val="none" w:sz="0" w:space="0" w:color="auto"/>
          </w:divBdr>
        </w:div>
        <w:div w:id="139738820">
          <w:marLeft w:val="0"/>
          <w:marRight w:val="0"/>
          <w:marTop w:val="0"/>
          <w:marBottom w:val="101"/>
          <w:divBdr>
            <w:top w:val="none" w:sz="0" w:space="0" w:color="auto"/>
            <w:left w:val="none" w:sz="0" w:space="0" w:color="auto"/>
            <w:bottom w:val="none" w:sz="0" w:space="0" w:color="auto"/>
            <w:right w:val="none" w:sz="0" w:space="0" w:color="auto"/>
          </w:divBdr>
        </w:div>
        <w:div w:id="1052189715">
          <w:marLeft w:val="0"/>
          <w:marRight w:val="0"/>
          <w:marTop w:val="0"/>
          <w:marBottom w:val="101"/>
          <w:divBdr>
            <w:top w:val="none" w:sz="0" w:space="0" w:color="auto"/>
            <w:left w:val="none" w:sz="0" w:space="0" w:color="auto"/>
            <w:bottom w:val="none" w:sz="0" w:space="0" w:color="auto"/>
            <w:right w:val="none" w:sz="0" w:space="0" w:color="auto"/>
          </w:divBdr>
        </w:div>
        <w:div w:id="2096048666">
          <w:marLeft w:val="0"/>
          <w:marRight w:val="0"/>
          <w:marTop w:val="0"/>
          <w:marBottom w:val="101"/>
          <w:divBdr>
            <w:top w:val="none" w:sz="0" w:space="0" w:color="auto"/>
            <w:left w:val="none" w:sz="0" w:space="0" w:color="auto"/>
            <w:bottom w:val="none" w:sz="0" w:space="0" w:color="auto"/>
            <w:right w:val="none" w:sz="0" w:space="0" w:color="auto"/>
          </w:divBdr>
        </w:div>
        <w:div w:id="1283463169">
          <w:marLeft w:val="0"/>
          <w:marRight w:val="0"/>
          <w:marTop w:val="0"/>
          <w:marBottom w:val="101"/>
          <w:divBdr>
            <w:top w:val="none" w:sz="0" w:space="0" w:color="auto"/>
            <w:left w:val="none" w:sz="0" w:space="0" w:color="auto"/>
            <w:bottom w:val="none" w:sz="0" w:space="0" w:color="auto"/>
            <w:right w:val="none" w:sz="0" w:space="0" w:color="auto"/>
          </w:divBdr>
        </w:div>
        <w:div w:id="1759522554">
          <w:marLeft w:val="0"/>
          <w:marRight w:val="0"/>
          <w:marTop w:val="0"/>
          <w:marBottom w:val="101"/>
          <w:divBdr>
            <w:top w:val="none" w:sz="0" w:space="0" w:color="auto"/>
            <w:left w:val="none" w:sz="0" w:space="0" w:color="auto"/>
            <w:bottom w:val="none" w:sz="0" w:space="0" w:color="auto"/>
            <w:right w:val="none" w:sz="0" w:space="0" w:color="auto"/>
          </w:divBdr>
        </w:div>
        <w:div w:id="1265460413">
          <w:marLeft w:val="0"/>
          <w:marRight w:val="0"/>
          <w:marTop w:val="0"/>
          <w:marBottom w:val="101"/>
          <w:divBdr>
            <w:top w:val="none" w:sz="0" w:space="0" w:color="auto"/>
            <w:left w:val="none" w:sz="0" w:space="0" w:color="auto"/>
            <w:bottom w:val="none" w:sz="0" w:space="0" w:color="auto"/>
            <w:right w:val="none" w:sz="0" w:space="0" w:color="auto"/>
          </w:divBdr>
        </w:div>
        <w:div w:id="1468280352">
          <w:marLeft w:val="0"/>
          <w:marRight w:val="0"/>
          <w:marTop w:val="0"/>
          <w:marBottom w:val="101"/>
          <w:divBdr>
            <w:top w:val="none" w:sz="0" w:space="0" w:color="auto"/>
            <w:left w:val="none" w:sz="0" w:space="0" w:color="auto"/>
            <w:bottom w:val="none" w:sz="0" w:space="0" w:color="auto"/>
            <w:right w:val="none" w:sz="0" w:space="0" w:color="auto"/>
          </w:divBdr>
        </w:div>
        <w:div w:id="282855600">
          <w:marLeft w:val="0"/>
          <w:marRight w:val="0"/>
          <w:marTop w:val="0"/>
          <w:marBottom w:val="101"/>
          <w:divBdr>
            <w:top w:val="none" w:sz="0" w:space="0" w:color="auto"/>
            <w:left w:val="none" w:sz="0" w:space="0" w:color="auto"/>
            <w:bottom w:val="none" w:sz="0" w:space="0" w:color="auto"/>
            <w:right w:val="none" w:sz="0" w:space="0" w:color="auto"/>
          </w:divBdr>
        </w:div>
        <w:div w:id="1099450206">
          <w:marLeft w:val="0"/>
          <w:marRight w:val="0"/>
          <w:marTop w:val="0"/>
          <w:marBottom w:val="101"/>
          <w:divBdr>
            <w:top w:val="none" w:sz="0" w:space="0" w:color="auto"/>
            <w:left w:val="none" w:sz="0" w:space="0" w:color="auto"/>
            <w:bottom w:val="none" w:sz="0" w:space="0" w:color="auto"/>
            <w:right w:val="none" w:sz="0" w:space="0" w:color="auto"/>
          </w:divBdr>
        </w:div>
        <w:div w:id="10574301">
          <w:marLeft w:val="0"/>
          <w:marRight w:val="0"/>
          <w:marTop w:val="0"/>
          <w:marBottom w:val="101"/>
          <w:divBdr>
            <w:top w:val="none" w:sz="0" w:space="0" w:color="auto"/>
            <w:left w:val="none" w:sz="0" w:space="0" w:color="auto"/>
            <w:bottom w:val="none" w:sz="0" w:space="0" w:color="auto"/>
            <w:right w:val="none" w:sz="0" w:space="0" w:color="auto"/>
          </w:divBdr>
        </w:div>
        <w:div w:id="1961035371">
          <w:marLeft w:val="0"/>
          <w:marRight w:val="0"/>
          <w:marTop w:val="0"/>
          <w:marBottom w:val="101"/>
          <w:divBdr>
            <w:top w:val="none" w:sz="0" w:space="0" w:color="auto"/>
            <w:left w:val="none" w:sz="0" w:space="0" w:color="auto"/>
            <w:bottom w:val="none" w:sz="0" w:space="0" w:color="auto"/>
            <w:right w:val="none" w:sz="0" w:space="0" w:color="auto"/>
          </w:divBdr>
        </w:div>
        <w:div w:id="831212989">
          <w:marLeft w:val="0"/>
          <w:marRight w:val="0"/>
          <w:marTop w:val="0"/>
          <w:marBottom w:val="101"/>
          <w:divBdr>
            <w:top w:val="none" w:sz="0" w:space="0" w:color="auto"/>
            <w:left w:val="none" w:sz="0" w:space="0" w:color="auto"/>
            <w:bottom w:val="none" w:sz="0" w:space="0" w:color="auto"/>
            <w:right w:val="none" w:sz="0" w:space="0" w:color="auto"/>
          </w:divBdr>
        </w:div>
        <w:div w:id="1475172543">
          <w:marLeft w:val="0"/>
          <w:marRight w:val="0"/>
          <w:marTop w:val="0"/>
          <w:marBottom w:val="101"/>
          <w:divBdr>
            <w:top w:val="none" w:sz="0" w:space="0" w:color="auto"/>
            <w:left w:val="none" w:sz="0" w:space="0" w:color="auto"/>
            <w:bottom w:val="none" w:sz="0" w:space="0" w:color="auto"/>
            <w:right w:val="none" w:sz="0" w:space="0" w:color="auto"/>
          </w:divBdr>
        </w:div>
        <w:div w:id="768039068">
          <w:marLeft w:val="0"/>
          <w:marRight w:val="0"/>
          <w:marTop w:val="0"/>
          <w:marBottom w:val="101"/>
          <w:divBdr>
            <w:top w:val="none" w:sz="0" w:space="0" w:color="auto"/>
            <w:left w:val="none" w:sz="0" w:space="0" w:color="auto"/>
            <w:bottom w:val="none" w:sz="0" w:space="0" w:color="auto"/>
            <w:right w:val="none" w:sz="0" w:space="0" w:color="auto"/>
          </w:divBdr>
        </w:div>
        <w:div w:id="53698971">
          <w:marLeft w:val="0"/>
          <w:marRight w:val="0"/>
          <w:marTop w:val="0"/>
          <w:marBottom w:val="101"/>
          <w:divBdr>
            <w:top w:val="none" w:sz="0" w:space="0" w:color="auto"/>
            <w:left w:val="none" w:sz="0" w:space="0" w:color="auto"/>
            <w:bottom w:val="none" w:sz="0" w:space="0" w:color="auto"/>
            <w:right w:val="none" w:sz="0" w:space="0" w:color="auto"/>
          </w:divBdr>
        </w:div>
        <w:div w:id="290794798">
          <w:marLeft w:val="0"/>
          <w:marRight w:val="0"/>
          <w:marTop w:val="0"/>
          <w:marBottom w:val="101"/>
          <w:divBdr>
            <w:top w:val="none" w:sz="0" w:space="0" w:color="auto"/>
            <w:left w:val="none" w:sz="0" w:space="0" w:color="auto"/>
            <w:bottom w:val="none" w:sz="0" w:space="0" w:color="auto"/>
            <w:right w:val="none" w:sz="0" w:space="0" w:color="auto"/>
          </w:divBdr>
        </w:div>
        <w:div w:id="1378822600">
          <w:marLeft w:val="0"/>
          <w:marRight w:val="0"/>
          <w:marTop w:val="0"/>
          <w:marBottom w:val="101"/>
          <w:divBdr>
            <w:top w:val="none" w:sz="0" w:space="0" w:color="auto"/>
            <w:left w:val="none" w:sz="0" w:space="0" w:color="auto"/>
            <w:bottom w:val="none" w:sz="0" w:space="0" w:color="auto"/>
            <w:right w:val="none" w:sz="0" w:space="0" w:color="auto"/>
          </w:divBdr>
        </w:div>
        <w:div w:id="1912888285">
          <w:marLeft w:val="0"/>
          <w:marRight w:val="0"/>
          <w:marTop w:val="0"/>
          <w:marBottom w:val="101"/>
          <w:divBdr>
            <w:top w:val="none" w:sz="0" w:space="0" w:color="auto"/>
            <w:left w:val="none" w:sz="0" w:space="0" w:color="auto"/>
            <w:bottom w:val="none" w:sz="0" w:space="0" w:color="auto"/>
            <w:right w:val="none" w:sz="0" w:space="0" w:color="auto"/>
          </w:divBdr>
        </w:div>
        <w:div w:id="1567954655">
          <w:marLeft w:val="0"/>
          <w:marRight w:val="0"/>
          <w:marTop w:val="0"/>
          <w:marBottom w:val="101"/>
          <w:divBdr>
            <w:top w:val="none" w:sz="0" w:space="0" w:color="auto"/>
            <w:left w:val="none" w:sz="0" w:space="0" w:color="auto"/>
            <w:bottom w:val="none" w:sz="0" w:space="0" w:color="auto"/>
            <w:right w:val="none" w:sz="0" w:space="0" w:color="auto"/>
          </w:divBdr>
        </w:div>
        <w:div w:id="317614617">
          <w:marLeft w:val="0"/>
          <w:marRight w:val="0"/>
          <w:marTop w:val="0"/>
          <w:marBottom w:val="101"/>
          <w:divBdr>
            <w:top w:val="none" w:sz="0" w:space="0" w:color="auto"/>
            <w:left w:val="none" w:sz="0" w:space="0" w:color="auto"/>
            <w:bottom w:val="none" w:sz="0" w:space="0" w:color="auto"/>
            <w:right w:val="none" w:sz="0" w:space="0" w:color="auto"/>
          </w:divBdr>
        </w:div>
        <w:div w:id="1861509292">
          <w:marLeft w:val="0"/>
          <w:marRight w:val="0"/>
          <w:marTop w:val="0"/>
          <w:marBottom w:val="101"/>
          <w:divBdr>
            <w:top w:val="none" w:sz="0" w:space="0" w:color="auto"/>
            <w:left w:val="none" w:sz="0" w:space="0" w:color="auto"/>
            <w:bottom w:val="none" w:sz="0" w:space="0" w:color="auto"/>
            <w:right w:val="none" w:sz="0" w:space="0" w:color="auto"/>
          </w:divBdr>
        </w:div>
        <w:div w:id="1005745053">
          <w:marLeft w:val="0"/>
          <w:marRight w:val="0"/>
          <w:marTop w:val="0"/>
          <w:marBottom w:val="101"/>
          <w:divBdr>
            <w:top w:val="none" w:sz="0" w:space="0" w:color="auto"/>
            <w:left w:val="none" w:sz="0" w:space="0" w:color="auto"/>
            <w:bottom w:val="none" w:sz="0" w:space="0" w:color="auto"/>
            <w:right w:val="none" w:sz="0" w:space="0" w:color="auto"/>
          </w:divBdr>
        </w:div>
        <w:div w:id="1853491317">
          <w:marLeft w:val="0"/>
          <w:marRight w:val="0"/>
          <w:marTop w:val="0"/>
          <w:marBottom w:val="101"/>
          <w:divBdr>
            <w:top w:val="none" w:sz="0" w:space="0" w:color="auto"/>
            <w:left w:val="none" w:sz="0" w:space="0" w:color="auto"/>
            <w:bottom w:val="none" w:sz="0" w:space="0" w:color="auto"/>
            <w:right w:val="none" w:sz="0" w:space="0" w:color="auto"/>
          </w:divBdr>
        </w:div>
        <w:div w:id="1856381420">
          <w:marLeft w:val="0"/>
          <w:marRight w:val="0"/>
          <w:marTop w:val="0"/>
          <w:marBottom w:val="101"/>
          <w:divBdr>
            <w:top w:val="none" w:sz="0" w:space="0" w:color="auto"/>
            <w:left w:val="none" w:sz="0" w:space="0" w:color="auto"/>
            <w:bottom w:val="none" w:sz="0" w:space="0" w:color="auto"/>
            <w:right w:val="none" w:sz="0" w:space="0" w:color="auto"/>
          </w:divBdr>
        </w:div>
        <w:div w:id="1842965142">
          <w:marLeft w:val="0"/>
          <w:marRight w:val="0"/>
          <w:marTop w:val="0"/>
          <w:marBottom w:val="101"/>
          <w:divBdr>
            <w:top w:val="none" w:sz="0" w:space="0" w:color="auto"/>
            <w:left w:val="none" w:sz="0" w:space="0" w:color="auto"/>
            <w:bottom w:val="none" w:sz="0" w:space="0" w:color="auto"/>
            <w:right w:val="none" w:sz="0" w:space="0" w:color="auto"/>
          </w:divBdr>
        </w:div>
        <w:div w:id="458768510">
          <w:marLeft w:val="0"/>
          <w:marRight w:val="0"/>
          <w:marTop w:val="0"/>
          <w:marBottom w:val="101"/>
          <w:divBdr>
            <w:top w:val="none" w:sz="0" w:space="0" w:color="auto"/>
            <w:left w:val="none" w:sz="0" w:space="0" w:color="auto"/>
            <w:bottom w:val="none" w:sz="0" w:space="0" w:color="auto"/>
            <w:right w:val="none" w:sz="0" w:space="0" w:color="auto"/>
          </w:divBdr>
        </w:div>
        <w:div w:id="1693266525">
          <w:marLeft w:val="0"/>
          <w:marRight w:val="0"/>
          <w:marTop w:val="0"/>
          <w:marBottom w:val="101"/>
          <w:divBdr>
            <w:top w:val="none" w:sz="0" w:space="0" w:color="auto"/>
            <w:left w:val="none" w:sz="0" w:space="0" w:color="auto"/>
            <w:bottom w:val="none" w:sz="0" w:space="0" w:color="auto"/>
            <w:right w:val="none" w:sz="0" w:space="0" w:color="auto"/>
          </w:divBdr>
        </w:div>
        <w:div w:id="816217924">
          <w:marLeft w:val="0"/>
          <w:marRight w:val="0"/>
          <w:marTop w:val="0"/>
          <w:marBottom w:val="101"/>
          <w:divBdr>
            <w:top w:val="none" w:sz="0" w:space="0" w:color="auto"/>
            <w:left w:val="none" w:sz="0" w:space="0" w:color="auto"/>
            <w:bottom w:val="none" w:sz="0" w:space="0" w:color="auto"/>
            <w:right w:val="none" w:sz="0" w:space="0" w:color="auto"/>
          </w:divBdr>
        </w:div>
        <w:div w:id="1928267481">
          <w:marLeft w:val="0"/>
          <w:marRight w:val="0"/>
          <w:marTop w:val="0"/>
          <w:marBottom w:val="101"/>
          <w:divBdr>
            <w:top w:val="none" w:sz="0" w:space="0" w:color="auto"/>
            <w:left w:val="none" w:sz="0" w:space="0" w:color="auto"/>
            <w:bottom w:val="none" w:sz="0" w:space="0" w:color="auto"/>
            <w:right w:val="none" w:sz="0" w:space="0" w:color="auto"/>
          </w:divBdr>
        </w:div>
        <w:div w:id="965309348">
          <w:marLeft w:val="0"/>
          <w:marRight w:val="0"/>
          <w:marTop w:val="0"/>
          <w:marBottom w:val="101"/>
          <w:divBdr>
            <w:top w:val="none" w:sz="0" w:space="0" w:color="auto"/>
            <w:left w:val="none" w:sz="0" w:space="0" w:color="auto"/>
            <w:bottom w:val="none" w:sz="0" w:space="0" w:color="auto"/>
            <w:right w:val="none" w:sz="0" w:space="0" w:color="auto"/>
          </w:divBdr>
        </w:div>
        <w:div w:id="193345266">
          <w:marLeft w:val="0"/>
          <w:marRight w:val="0"/>
          <w:marTop w:val="0"/>
          <w:marBottom w:val="101"/>
          <w:divBdr>
            <w:top w:val="none" w:sz="0" w:space="0" w:color="auto"/>
            <w:left w:val="none" w:sz="0" w:space="0" w:color="auto"/>
            <w:bottom w:val="none" w:sz="0" w:space="0" w:color="auto"/>
            <w:right w:val="none" w:sz="0" w:space="0" w:color="auto"/>
          </w:divBdr>
        </w:div>
        <w:div w:id="743333892">
          <w:marLeft w:val="0"/>
          <w:marRight w:val="0"/>
          <w:marTop w:val="0"/>
          <w:marBottom w:val="101"/>
          <w:divBdr>
            <w:top w:val="none" w:sz="0" w:space="0" w:color="auto"/>
            <w:left w:val="none" w:sz="0" w:space="0" w:color="auto"/>
            <w:bottom w:val="none" w:sz="0" w:space="0" w:color="auto"/>
            <w:right w:val="none" w:sz="0" w:space="0" w:color="auto"/>
          </w:divBdr>
        </w:div>
        <w:div w:id="524906307">
          <w:marLeft w:val="0"/>
          <w:marRight w:val="0"/>
          <w:marTop w:val="0"/>
          <w:marBottom w:val="101"/>
          <w:divBdr>
            <w:top w:val="none" w:sz="0" w:space="0" w:color="auto"/>
            <w:left w:val="none" w:sz="0" w:space="0" w:color="auto"/>
            <w:bottom w:val="none" w:sz="0" w:space="0" w:color="auto"/>
            <w:right w:val="none" w:sz="0" w:space="0" w:color="auto"/>
          </w:divBdr>
        </w:div>
        <w:div w:id="287395325">
          <w:marLeft w:val="0"/>
          <w:marRight w:val="0"/>
          <w:marTop w:val="0"/>
          <w:marBottom w:val="101"/>
          <w:divBdr>
            <w:top w:val="none" w:sz="0" w:space="0" w:color="auto"/>
            <w:left w:val="none" w:sz="0" w:space="0" w:color="auto"/>
            <w:bottom w:val="none" w:sz="0" w:space="0" w:color="auto"/>
            <w:right w:val="none" w:sz="0" w:space="0" w:color="auto"/>
          </w:divBdr>
        </w:div>
        <w:div w:id="2105030732">
          <w:marLeft w:val="0"/>
          <w:marRight w:val="0"/>
          <w:marTop w:val="0"/>
          <w:marBottom w:val="101"/>
          <w:divBdr>
            <w:top w:val="none" w:sz="0" w:space="0" w:color="auto"/>
            <w:left w:val="none" w:sz="0" w:space="0" w:color="auto"/>
            <w:bottom w:val="none" w:sz="0" w:space="0" w:color="auto"/>
            <w:right w:val="none" w:sz="0" w:space="0" w:color="auto"/>
          </w:divBdr>
        </w:div>
        <w:div w:id="1237938733">
          <w:marLeft w:val="0"/>
          <w:marRight w:val="0"/>
          <w:marTop w:val="0"/>
          <w:marBottom w:val="101"/>
          <w:divBdr>
            <w:top w:val="none" w:sz="0" w:space="0" w:color="auto"/>
            <w:left w:val="none" w:sz="0" w:space="0" w:color="auto"/>
            <w:bottom w:val="none" w:sz="0" w:space="0" w:color="auto"/>
            <w:right w:val="none" w:sz="0" w:space="0" w:color="auto"/>
          </w:divBdr>
        </w:div>
        <w:div w:id="1094784950">
          <w:marLeft w:val="0"/>
          <w:marRight w:val="0"/>
          <w:marTop w:val="0"/>
          <w:marBottom w:val="101"/>
          <w:divBdr>
            <w:top w:val="none" w:sz="0" w:space="0" w:color="auto"/>
            <w:left w:val="none" w:sz="0" w:space="0" w:color="auto"/>
            <w:bottom w:val="none" w:sz="0" w:space="0" w:color="auto"/>
            <w:right w:val="none" w:sz="0" w:space="0" w:color="auto"/>
          </w:divBdr>
        </w:div>
        <w:div w:id="1107769245">
          <w:marLeft w:val="0"/>
          <w:marRight w:val="0"/>
          <w:marTop w:val="0"/>
          <w:marBottom w:val="101"/>
          <w:divBdr>
            <w:top w:val="none" w:sz="0" w:space="0" w:color="auto"/>
            <w:left w:val="none" w:sz="0" w:space="0" w:color="auto"/>
            <w:bottom w:val="none" w:sz="0" w:space="0" w:color="auto"/>
            <w:right w:val="none" w:sz="0" w:space="0" w:color="auto"/>
          </w:divBdr>
        </w:div>
        <w:div w:id="651562377">
          <w:marLeft w:val="0"/>
          <w:marRight w:val="0"/>
          <w:marTop w:val="0"/>
          <w:marBottom w:val="101"/>
          <w:divBdr>
            <w:top w:val="none" w:sz="0" w:space="0" w:color="auto"/>
            <w:left w:val="none" w:sz="0" w:space="0" w:color="auto"/>
            <w:bottom w:val="none" w:sz="0" w:space="0" w:color="auto"/>
            <w:right w:val="none" w:sz="0" w:space="0" w:color="auto"/>
          </w:divBdr>
        </w:div>
        <w:div w:id="1579250588">
          <w:marLeft w:val="0"/>
          <w:marRight w:val="0"/>
          <w:marTop w:val="0"/>
          <w:marBottom w:val="101"/>
          <w:divBdr>
            <w:top w:val="none" w:sz="0" w:space="0" w:color="auto"/>
            <w:left w:val="none" w:sz="0" w:space="0" w:color="auto"/>
            <w:bottom w:val="none" w:sz="0" w:space="0" w:color="auto"/>
            <w:right w:val="none" w:sz="0" w:space="0" w:color="auto"/>
          </w:divBdr>
        </w:div>
        <w:div w:id="1614626595">
          <w:marLeft w:val="0"/>
          <w:marRight w:val="0"/>
          <w:marTop w:val="0"/>
          <w:marBottom w:val="101"/>
          <w:divBdr>
            <w:top w:val="none" w:sz="0" w:space="0" w:color="auto"/>
            <w:left w:val="none" w:sz="0" w:space="0" w:color="auto"/>
            <w:bottom w:val="none" w:sz="0" w:space="0" w:color="auto"/>
            <w:right w:val="none" w:sz="0" w:space="0" w:color="auto"/>
          </w:divBdr>
        </w:div>
        <w:div w:id="1296719148">
          <w:marLeft w:val="0"/>
          <w:marRight w:val="0"/>
          <w:marTop w:val="0"/>
          <w:marBottom w:val="101"/>
          <w:divBdr>
            <w:top w:val="none" w:sz="0" w:space="0" w:color="auto"/>
            <w:left w:val="none" w:sz="0" w:space="0" w:color="auto"/>
            <w:bottom w:val="none" w:sz="0" w:space="0" w:color="auto"/>
            <w:right w:val="none" w:sz="0" w:space="0" w:color="auto"/>
          </w:divBdr>
        </w:div>
        <w:div w:id="2092117048">
          <w:marLeft w:val="0"/>
          <w:marRight w:val="0"/>
          <w:marTop w:val="0"/>
          <w:marBottom w:val="101"/>
          <w:divBdr>
            <w:top w:val="none" w:sz="0" w:space="0" w:color="auto"/>
            <w:left w:val="none" w:sz="0" w:space="0" w:color="auto"/>
            <w:bottom w:val="none" w:sz="0" w:space="0" w:color="auto"/>
            <w:right w:val="none" w:sz="0" w:space="0" w:color="auto"/>
          </w:divBdr>
        </w:div>
        <w:div w:id="124009763">
          <w:marLeft w:val="0"/>
          <w:marRight w:val="0"/>
          <w:marTop w:val="0"/>
          <w:marBottom w:val="101"/>
          <w:divBdr>
            <w:top w:val="none" w:sz="0" w:space="0" w:color="auto"/>
            <w:left w:val="none" w:sz="0" w:space="0" w:color="auto"/>
            <w:bottom w:val="none" w:sz="0" w:space="0" w:color="auto"/>
            <w:right w:val="none" w:sz="0" w:space="0" w:color="auto"/>
          </w:divBdr>
        </w:div>
        <w:div w:id="2114934144">
          <w:marLeft w:val="0"/>
          <w:marRight w:val="0"/>
          <w:marTop w:val="0"/>
          <w:marBottom w:val="101"/>
          <w:divBdr>
            <w:top w:val="none" w:sz="0" w:space="0" w:color="auto"/>
            <w:left w:val="none" w:sz="0" w:space="0" w:color="auto"/>
            <w:bottom w:val="none" w:sz="0" w:space="0" w:color="auto"/>
            <w:right w:val="none" w:sz="0" w:space="0" w:color="auto"/>
          </w:divBdr>
        </w:div>
        <w:div w:id="586889603">
          <w:marLeft w:val="0"/>
          <w:marRight w:val="0"/>
          <w:marTop w:val="0"/>
          <w:marBottom w:val="101"/>
          <w:divBdr>
            <w:top w:val="none" w:sz="0" w:space="0" w:color="auto"/>
            <w:left w:val="none" w:sz="0" w:space="0" w:color="auto"/>
            <w:bottom w:val="none" w:sz="0" w:space="0" w:color="auto"/>
            <w:right w:val="none" w:sz="0" w:space="0" w:color="auto"/>
          </w:divBdr>
        </w:div>
        <w:div w:id="2115437843">
          <w:marLeft w:val="0"/>
          <w:marRight w:val="0"/>
          <w:marTop w:val="0"/>
          <w:marBottom w:val="101"/>
          <w:divBdr>
            <w:top w:val="none" w:sz="0" w:space="0" w:color="auto"/>
            <w:left w:val="none" w:sz="0" w:space="0" w:color="auto"/>
            <w:bottom w:val="none" w:sz="0" w:space="0" w:color="auto"/>
            <w:right w:val="none" w:sz="0" w:space="0" w:color="auto"/>
          </w:divBdr>
        </w:div>
        <w:div w:id="1080366888">
          <w:marLeft w:val="0"/>
          <w:marRight w:val="0"/>
          <w:marTop w:val="0"/>
          <w:marBottom w:val="101"/>
          <w:divBdr>
            <w:top w:val="none" w:sz="0" w:space="0" w:color="auto"/>
            <w:left w:val="none" w:sz="0" w:space="0" w:color="auto"/>
            <w:bottom w:val="none" w:sz="0" w:space="0" w:color="auto"/>
            <w:right w:val="none" w:sz="0" w:space="0" w:color="auto"/>
          </w:divBdr>
        </w:div>
        <w:div w:id="1766654077">
          <w:marLeft w:val="0"/>
          <w:marRight w:val="0"/>
          <w:marTop w:val="0"/>
          <w:marBottom w:val="101"/>
          <w:divBdr>
            <w:top w:val="none" w:sz="0" w:space="0" w:color="auto"/>
            <w:left w:val="none" w:sz="0" w:space="0" w:color="auto"/>
            <w:bottom w:val="none" w:sz="0" w:space="0" w:color="auto"/>
            <w:right w:val="none" w:sz="0" w:space="0" w:color="auto"/>
          </w:divBdr>
        </w:div>
        <w:div w:id="1184709665">
          <w:marLeft w:val="0"/>
          <w:marRight w:val="0"/>
          <w:marTop w:val="0"/>
          <w:marBottom w:val="101"/>
          <w:divBdr>
            <w:top w:val="none" w:sz="0" w:space="0" w:color="auto"/>
            <w:left w:val="none" w:sz="0" w:space="0" w:color="auto"/>
            <w:bottom w:val="none" w:sz="0" w:space="0" w:color="auto"/>
            <w:right w:val="none" w:sz="0" w:space="0" w:color="auto"/>
          </w:divBdr>
        </w:div>
        <w:div w:id="1168402488">
          <w:marLeft w:val="0"/>
          <w:marRight w:val="0"/>
          <w:marTop w:val="0"/>
          <w:marBottom w:val="101"/>
          <w:divBdr>
            <w:top w:val="none" w:sz="0" w:space="0" w:color="auto"/>
            <w:left w:val="none" w:sz="0" w:space="0" w:color="auto"/>
            <w:bottom w:val="none" w:sz="0" w:space="0" w:color="auto"/>
            <w:right w:val="none" w:sz="0" w:space="0" w:color="auto"/>
          </w:divBdr>
        </w:div>
        <w:div w:id="1329358444">
          <w:marLeft w:val="0"/>
          <w:marRight w:val="0"/>
          <w:marTop w:val="0"/>
          <w:marBottom w:val="101"/>
          <w:divBdr>
            <w:top w:val="none" w:sz="0" w:space="0" w:color="auto"/>
            <w:left w:val="none" w:sz="0" w:space="0" w:color="auto"/>
            <w:bottom w:val="none" w:sz="0" w:space="0" w:color="auto"/>
            <w:right w:val="none" w:sz="0" w:space="0" w:color="auto"/>
          </w:divBdr>
        </w:div>
        <w:div w:id="1622494260">
          <w:marLeft w:val="0"/>
          <w:marRight w:val="0"/>
          <w:marTop w:val="0"/>
          <w:marBottom w:val="101"/>
          <w:divBdr>
            <w:top w:val="none" w:sz="0" w:space="0" w:color="auto"/>
            <w:left w:val="none" w:sz="0" w:space="0" w:color="auto"/>
            <w:bottom w:val="none" w:sz="0" w:space="0" w:color="auto"/>
            <w:right w:val="none" w:sz="0" w:space="0" w:color="auto"/>
          </w:divBdr>
        </w:div>
        <w:div w:id="2031644349">
          <w:marLeft w:val="0"/>
          <w:marRight w:val="0"/>
          <w:marTop w:val="0"/>
          <w:marBottom w:val="101"/>
          <w:divBdr>
            <w:top w:val="none" w:sz="0" w:space="0" w:color="auto"/>
            <w:left w:val="none" w:sz="0" w:space="0" w:color="auto"/>
            <w:bottom w:val="none" w:sz="0" w:space="0" w:color="auto"/>
            <w:right w:val="none" w:sz="0" w:space="0" w:color="auto"/>
          </w:divBdr>
        </w:div>
        <w:div w:id="1813911404">
          <w:marLeft w:val="0"/>
          <w:marRight w:val="0"/>
          <w:marTop w:val="0"/>
          <w:marBottom w:val="101"/>
          <w:divBdr>
            <w:top w:val="none" w:sz="0" w:space="0" w:color="auto"/>
            <w:left w:val="none" w:sz="0" w:space="0" w:color="auto"/>
            <w:bottom w:val="none" w:sz="0" w:space="0" w:color="auto"/>
            <w:right w:val="none" w:sz="0" w:space="0" w:color="auto"/>
          </w:divBdr>
        </w:div>
        <w:div w:id="191503851">
          <w:marLeft w:val="0"/>
          <w:marRight w:val="0"/>
          <w:marTop w:val="0"/>
          <w:marBottom w:val="101"/>
          <w:divBdr>
            <w:top w:val="none" w:sz="0" w:space="0" w:color="auto"/>
            <w:left w:val="none" w:sz="0" w:space="0" w:color="auto"/>
            <w:bottom w:val="none" w:sz="0" w:space="0" w:color="auto"/>
            <w:right w:val="none" w:sz="0" w:space="0" w:color="auto"/>
          </w:divBdr>
        </w:div>
        <w:div w:id="1134105055">
          <w:marLeft w:val="0"/>
          <w:marRight w:val="0"/>
          <w:marTop w:val="0"/>
          <w:marBottom w:val="101"/>
          <w:divBdr>
            <w:top w:val="none" w:sz="0" w:space="0" w:color="auto"/>
            <w:left w:val="none" w:sz="0" w:space="0" w:color="auto"/>
            <w:bottom w:val="none" w:sz="0" w:space="0" w:color="auto"/>
            <w:right w:val="none" w:sz="0" w:space="0" w:color="auto"/>
          </w:divBdr>
        </w:div>
        <w:div w:id="823205012">
          <w:marLeft w:val="0"/>
          <w:marRight w:val="0"/>
          <w:marTop w:val="0"/>
          <w:marBottom w:val="101"/>
          <w:divBdr>
            <w:top w:val="none" w:sz="0" w:space="0" w:color="auto"/>
            <w:left w:val="none" w:sz="0" w:space="0" w:color="auto"/>
            <w:bottom w:val="none" w:sz="0" w:space="0" w:color="auto"/>
            <w:right w:val="none" w:sz="0" w:space="0" w:color="auto"/>
          </w:divBdr>
        </w:div>
        <w:div w:id="1497113948">
          <w:marLeft w:val="0"/>
          <w:marRight w:val="0"/>
          <w:marTop w:val="0"/>
          <w:marBottom w:val="101"/>
          <w:divBdr>
            <w:top w:val="none" w:sz="0" w:space="0" w:color="auto"/>
            <w:left w:val="none" w:sz="0" w:space="0" w:color="auto"/>
            <w:bottom w:val="none" w:sz="0" w:space="0" w:color="auto"/>
            <w:right w:val="none" w:sz="0" w:space="0" w:color="auto"/>
          </w:divBdr>
        </w:div>
        <w:div w:id="1188328824">
          <w:marLeft w:val="0"/>
          <w:marRight w:val="0"/>
          <w:marTop w:val="0"/>
          <w:marBottom w:val="101"/>
          <w:divBdr>
            <w:top w:val="none" w:sz="0" w:space="0" w:color="auto"/>
            <w:left w:val="none" w:sz="0" w:space="0" w:color="auto"/>
            <w:bottom w:val="none" w:sz="0" w:space="0" w:color="auto"/>
            <w:right w:val="none" w:sz="0" w:space="0" w:color="auto"/>
          </w:divBdr>
        </w:div>
        <w:div w:id="780537776">
          <w:marLeft w:val="0"/>
          <w:marRight w:val="0"/>
          <w:marTop w:val="0"/>
          <w:marBottom w:val="101"/>
          <w:divBdr>
            <w:top w:val="none" w:sz="0" w:space="0" w:color="auto"/>
            <w:left w:val="none" w:sz="0" w:space="0" w:color="auto"/>
            <w:bottom w:val="none" w:sz="0" w:space="0" w:color="auto"/>
            <w:right w:val="none" w:sz="0" w:space="0" w:color="auto"/>
          </w:divBdr>
        </w:div>
        <w:div w:id="1408263211">
          <w:marLeft w:val="0"/>
          <w:marRight w:val="0"/>
          <w:marTop w:val="0"/>
          <w:marBottom w:val="101"/>
          <w:divBdr>
            <w:top w:val="none" w:sz="0" w:space="0" w:color="auto"/>
            <w:left w:val="none" w:sz="0" w:space="0" w:color="auto"/>
            <w:bottom w:val="none" w:sz="0" w:space="0" w:color="auto"/>
            <w:right w:val="none" w:sz="0" w:space="0" w:color="auto"/>
          </w:divBdr>
        </w:div>
        <w:div w:id="1762874436">
          <w:marLeft w:val="0"/>
          <w:marRight w:val="0"/>
          <w:marTop w:val="0"/>
          <w:marBottom w:val="101"/>
          <w:divBdr>
            <w:top w:val="none" w:sz="0" w:space="0" w:color="auto"/>
            <w:left w:val="none" w:sz="0" w:space="0" w:color="auto"/>
            <w:bottom w:val="none" w:sz="0" w:space="0" w:color="auto"/>
            <w:right w:val="none" w:sz="0" w:space="0" w:color="auto"/>
          </w:divBdr>
        </w:div>
        <w:div w:id="1308048249">
          <w:marLeft w:val="0"/>
          <w:marRight w:val="0"/>
          <w:marTop w:val="0"/>
          <w:marBottom w:val="101"/>
          <w:divBdr>
            <w:top w:val="none" w:sz="0" w:space="0" w:color="auto"/>
            <w:left w:val="none" w:sz="0" w:space="0" w:color="auto"/>
            <w:bottom w:val="none" w:sz="0" w:space="0" w:color="auto"/>
            <w:right w:val="none" w:sz="0" w:space="0" w:color="auto"/>
          </w:divBdr>
        </w:div>
        <w:div w:id="666175446">
          <w:marLeft w:val="0"/>
          <w:marRight w:val="0"/>
          <w:marTop w:val="0"/>
          <w:marBottom w:val="101"/>
          <w:divBdr>
            <w:top w:val="none" w:sz="0" w:space="0" w:color="auto"/>
            <w:left w:val="none" w:sz="0" w:space="0" w:color="auto"/>
            <w:bottom w:val="none" w:sz="0" w:space="0" w:color="auto"/>
            <w:right w:val="none" w:sz="0" w:space="0" w:color="auto"/>
          </w:divBdr>
        </w:div>
        <w:div w:id="632058237">
          <w:marLeft w:val="0"/>
          <w:marRight w:val="0"/>
          <w:marTop w:val="0"/>
          <w:marBottom w:val="101"/>
          <w:divBdr>
            <w:top w:val="none" w:sz="0" w:space="0" w:color="auto"/>
            <w:left w:val="none" w:sz="0" w:space="0" w:color="auto"/>
            <w:bottom w:val="none" w:sz="0" w:space="0" w:color="auto"/>
            <w:right w:val="none" w:sz="0" w:space="0" w:color="auto"/>
          </w:divBdr>
        </w:div>
        <w:div w:id="1660646079">
          <w:marLeft w:val="0"/>
          <w:marRight w:val="0"/>
          <w:marTop w:val="0"/>
          <w:marBottom w:val="101"/>
          <w:divBdr>
            <w:top w:val="none" w:sz="0" w:space="0" w:color="auto"/>
            <w:left w:val="none" w:sz="0" w:space="0" w:color="auto"/>
            <w:bottom w:val="none" w:sz="0" w:space="0" w:color="auto"/>
            <w:right w:val="none" w:sz="0" w:space="0" w:color="auto"/>
          </w:divBdr>
        </w:div>
        <w:div w:id="658384081">
          <w:marLeft w:val="0"/>
          <w:marRight w:val="0"/>
          <w:marTop w:val="0"/>
          <w:marBottom w:val="101"/>
          <w:divBdr>
            <w:top w:val="none" w:sz="0" w:space="0" w:color="auto"/>
            <w:left w:val="none" w:sz="0" w:space="0" w:color="auto"/>
            <w:bottom w:val="none" w:sz="0" w:space="0" w:color="auto"/>
            <w:right w:val="none" w:sz="0" w:space="0" w:color="auto"/>
          </w:divBdr>
        </w:div>
        <w:div w:id="1882667349">
          <w:marLeft w:val="0"/>
          <w:marRight w:val="0"/>
          <w:marTop w:val="0"/>
          <w:marBottom w:val="101"/>
          <w:divBdr>
            <w:top w:val="none" w:sz="0" w:space="0" w:color="auto"/>
            <w:left w:val="none" w:sz="0" w:space="0" w:color="auto"/>
            <w:bottom w:val="none" w:sz="0" w:space="0" w:color="auto"/>
            <w:right w:val="none" w:sz="0" w:space="0" w:color="auto"/>
          </w:divBdr>
        </w:div>
        <w:div w:id="416830426">
          <w:marLeft w:val="0"/>
          <w:marRight w:val="0"/>
          <w:marTop w:val="0"/>
          <w:marBottom w:val="101"/>
          <w:divBdr>
            <w:top w:val="none" w:sz="0" w:space="0" w:color="auto"/>
            <w:left w:val="none" w:sz="0" w:space="0" w:color="auto"/>
            <w:bottom w:val="none" w:sz="0" w:space="0" w:color="auto"/>
            <w:right w:val="none" w:sz="0" w:space="0" w:color="auto"/>
          </w:divBdr>
        </w:div>
        <w:div w:id="1853688858">
          <w:marLeft w:val="0"/>
          <w:marRight w:val="0"/>
          <w:marTop w:val="0"/>
          <w:marBottom w:val="101"/>
          <w:divBdr>
            <w:top w:val="none" w:sz="0" w:space="0" w:color="auto"/>
            <w:left w:val="none" w:sz="0" w:space="0" w:color="auto"/>
            <w:bottom w:val="none" w:sz="0" w:space="0" w:color="auto"/>
            <w:right w:val="none" w:sz="0" w:space="0" w:color="auto"/>
          </w:divBdr>
        </w:div>
        <w:div w:id="1476532803">
          <w:marLeft w:val="0"/>
          <w:marRight w:val="0"/>
          <w:marTop w:val="0"/>
          <w:marBottom w:val="101"/>
          <w:divBdr>
            <w:top w:val="none" w:sz="0" w:space="0" w:color="auto"/>
            <w:left w:val="none" w:sz="0" w:space="0" w:color="auto"/>
            <w:bottom w:val="none" w:sz="0" w:space="0" w:color="auto"/>
            <w:right w:val="none" w:sz="0" w:space="0" w:color="auto"/>
          </w:divBdr>
        </w:div>
        <w:div w:id="167333089">
          <w:marLeft w:val="0"/>
          <w:marRight w:val="0"/>
          <w:marTop w:val="0"/>
          <w:marBottom w:val="101"/>
          <w:divBdr>
            <w:top w:val="none" w:sz="0" w:space="0" w:color="auto"/>
            <w:left w:val="none" w:sz="0" w:space="0" w:color="auto"/>
            <w:bottom w:val="none" w:sz="0" w:space="0" w:color="auto"/>
            <w:right w:val="none" w:sz="0" w:space="0" w:color="auto"/>
          </w:divBdr>
        </w:div>
        <w:div w:id="2103380611">
          <w:marLeft w:val="0"/>
          <w:marRight w:val="0"/>
          <w:marTop w:val="0"/>
          <w:marBottom w:val="101"/>
          <w:divBdr>
            <w:top w:val="none" w:sz="0" w:space="0" w:color="auto"/>
            <w:left w:val="none" w:sz="0" w:space="0" w:color="auto"/>
            <w:bottom w:val="none" w:sz="0" w:space="0" w:color="auto"/>
            <w:right w:val="none" w:sz="0" w:space="0" w:color="auto"/>
          </w:divBdr>
        </w:div>
        <w:div w:id="1037776892">
          <w:marLeft w:val="0"/>
          <w:marRight w:val="0"/>
          <w:marTop w:val="0"/>
          <w:marBottom w:val="101"/>
          <w:divBdr>
            <w:top w:val="none" w:sz="0" w:space="0" w:color="auto"/>
            <w:left w:val="none" w:sz="0" w:space="0" w:color="auto"/>
            <w:bottom w:val="none" w:sz="0" w:space="0" w:color="auto"/>
            <w:right w:val="none" w:sz="0" w:space="0" w:color="auto"/>
          </w:divBdr>
        </w:div>
        <w:div w:id="1403408941">
          <w:marLeft w:val="0"/>
          <w:marRight w:val="0"/>
          <w:marTop w:val="0"/>
          <w:marBottom w:val="101"/>
          <w:divBdr>
            <w:top w:val="none" w:sz="0" w:space="0" w:color="auto"/>
            <w:left w:val="none" w:sz="0" w:space="0" w:color="auto"/>
            <w:bottom w:val="none" w:sz="0" w:space="0" w:color="auto"/>
            <w:right w:val="none" w:sz="0" w:space="0" w:color="auto"/>
          </w:divBdr>
        </w:div>
        <w:div w:id="852693035">
          <w:marLeft w:val="0"/>
          <w:marRight w:val="0"/>
          <w:marTop w:val="0"/>
          <w:marBottom w:val="101"/>
          <w:divBdr>
            <w:top w:val="none" w:sz="0" w:space="0" w:color="auto"/>
            <w:left w:val="none" w:sz="0" w:space="0" w:color="auto"/>
            <w:bottom w:val="none" w:sz="0" w:space="0" w:color="auto"/>
            <w:right w:val="none" w:sz="0" w:space="0" w:color="auto"/>
          </w:divBdr>
        </w:div>
        <w:div w:id="1333946608">
          <w:marLeft w:val="0"/>
          <w:marRight w:val="0"/>
          <w:marTop w:val="0"/>
          <w:marBottom w:val="101"/>
          <w:divBdr>
            <w:top w:val="none" w:sz="0" w:space="0" w:color="auto"/>
            <w:left w:val="none" w:sz="0" w:space="0" w:color="auto"/>
            <w:bottom w:val="none" w:sz="0" w:space="0" w:color="auto"/>
            <w:right w:val="none" w:sz="0" w:space="0" w:color="auto"/>
          </w:divBdr>
        </w:div>
        <w:div w:id="1863057854">
          <w:marLeft w:val="0"/>
          <w:marRight w:val="0"/>
          <w:marTop w:val="0"/>
          <w:marBottom w:val="101"/>
          <w:divBdr>
            <w:top w:val="none" w:sz="0" w:space="0" w:color="auto"/>
            <w:left w:val="none" w:sz="0" w:space="0" w:color="auto"/>
            <w:bottom w:val="none" w:sz="0" w:space="0" w:color="auto"/>
            <w:right w:val="none" w:sz="0" w:space="0" w:color="auto"/>
          </w:divBdr>
        </w:div>
        <w:div w:id="1592350721">
          <w:marLeft w:val="0"/>
          <w:marRight w:val="0"/>
          <w:marTop w:val="0"/>
          <w:marBottom w:val="101"/>
          <w:divBdr>
            <w:top w:val="none" w:sz="0" w:space="0" w:color="auto"/>
            <w:left w:val="none" w:sz="0" w:space="0" w:color="auto"/>
            <w:bottom w:val="none" w:sz="0" w:space="0" w:color="auto"/>
            <w:right w:val="none" w:sz="0" w:space="0" w:color="auto"/>
          </w:divBdr>
        </w:div>
        <w:div w:id="1283422435">
          <w:marLeft w:val="0"/>
          <w:marRight w:val="0"/>
          <w:marTop w:val="0"/>
          <w:marBottom w:val="101"/>
          <w:divBdr>
            <w:top w:val="none" w:sz="0" w:space="0" w:color="auto"/>
            <w:left w:val="none" w:sz="0" w:space="0" w:color="auto"/>
            <w:bottom w:val="none" w:sz="0" w:space="0" w:color="auto"/>
            <w:right w:val="none" w:sz="0" w:space="0" w:color="auto"/>
          </w:divBdr>
        </w:div>
        <w:div w:id="1513640690">
          <w:marLeft w:val="0"/>
          <w:marRight w:val="0"/>
          <w:marTop w:val="0"/>
          <w:marBottom w:val="101"/>
          <w:divBdr>
            <w:top w:val="none" w:sz="0" w:space="0" w:color="auto"/>
            <w:left w:val="none" w:sz="0" w:space="0" w:color="auto"/>
            <w:bottom w:val="none" w:sz="0" w:space="0" w:color="auto"/>
            <w:right w:val="none" w:sz="0" w:space="0" w:color="auto"/>
          </w:divBdr>
        </w:div>
        <w:div w:id="1000354352">
          <w:marLeft w:val="0"/>
          <w:marRight w:val="0"/>
          <w:marTop w:val="0"/>
          <w:marBottom w:val="101"/>
          <w:divBdr>
            <w:top w:val="none" w:sz="0" w:space="0" w:color="auto"/>
            <w:left w:val="none" w:sz="0" w:space="0" w:color="auto"/>
            <w:bottom w:val="none" w:sz="0" w:space="0" w:color="auto"/>
            <w:right w:val="none" w:sz="0" w:space="0" w:color="auto"/>
          </w:divBdr>
        </w:div>
        <w:div w:id="2044555266">
          <w:marLeft w:val="0"/>
          <w:marRight w:val="0"/>
          <w:marTop w:val="0"/>
          <w:marBottom w:val="101"/>
          <w:divBdr>
            <w:top w:val="none" w:sz="0" w:space="0" w:color="auto"/>
            <w:left w:val="none" w:sz="0" w:space="0" w:color="auto"/>
            <w:bottom w:val="none" w:sz="0" w:space="0" w:color="auto"/>
            <w:right w:val="none" w:sz="0" w:space="0" w:color="auto"/>
          </w:divBdr>
        </w:div>
        <w:div w:id="896479742">
          <w:marLeft w:val="0"/>
          <w:marRight w:val="0"/>
          <w:marTop w:val="0"/>
          <w:marBottom w:val="101"/>
          <w:divBdr>
            <w:top w:val="none" w:sz="0" w:space="0" w:color="auto"/>
            <w:left w:val="none" w:sz="0" w:space="0" w:color="auto"/>
            <w:bottom w:val="none" w:sz="0" w:space="0" w:color="auto"/>
            <w:right w:val="none" w:sz="0" w:space="0" w:color="auto"/>
          </w:divBdr>
        </w:div>
        <w:div w:id="1719014872">
          <w:marLeft w:val="0"/>
          <w:marRight w:val="0"/>
          <w:marTop w:val="0"/>
          <w:marBottom w:val="101"/>
          <w:divBdr>
            <w:top w:val="none" w:sz="0" w:space="0" w:color="auto"/>
            <w:left w:val="none" w:sz="0" w:space="0" w:color="auto"/>
            <w:bottom w:val="none" w:sz="0" w:space="0" w:color="auto"/>
            <w:right w:val="none" w:sz="0" w:space="0" w:color="auto"/>
          </w:divBdr>
        </w:div>
        <w:div w:id="398793126">
          <w:marLeft w:val="0"/>
          <w:marRight w:val="0"/>
          <w:marTop w:val="0"/>
          <w:marBottom w:val="101"/>
          <w:divBdr>
            <w:top w:val="none" w:sz="0" w:space="0" w:color="auto"/>
            <w:left w:val="none" w:sz="0" w:space="0" w:color="auto"/>
            <w:bottom w:val="none" w:sz="0" w:space="0" w:color="auto"/>
            <w:right w:val="none" w:sz="0" w:space="0" w:color="auto"/>
          </w:divBdr>
        </w:div>
        <w:div w:id="1931083815">
          <w:marLeft w:val="0"/>
          <w:marRight w:val="0"/>
          <w:marTop w:val="0"/>
          <w:marBottom w:val="101"/>
          <w:divBdr>
            <w:top w:val="none" w:sz="0" w:space="0" w:color="auto"/>
            <w:left w:val="none" w:sz="0" w:space="0" w:color="auto"/>
            <w:bottom w:val="none" w:sz="0" w:space="0" w:color="auto"/>
            <w:right w:val="none" w:sz="0" w:space="0" w:color="auto"/>
          </w:divBdr>
        </w:div>
        <w:div w:id="1719235896">
          <w:marLeft w:val="0"/>
          <w:marRight w:val="0"/>
          <w:marTop w:val="0"/>
          <w:marBottom w:val="101"/>
          <w:divBdr>
            <w:top w:val="none" w:sz="0" w:space="0" w:color="auto"/>
            <w:left w:val="none" w:sz="0" w:space="0" w:color="auto"/>
            <w:bottom w:val="none" w:sz="0" w:space="0" w:color="auto"/>
            <w:right w:val="none" w:sz="0" w:space="0" w:color="auto"/>
          </w:divBdr>
        </w:div>
        <w:div w:id="1099567362">
          <w:marLeft w:val="0"/>
          <w:marRight w:val="0"/>
          <w:marTop w:val="0"/>
          <w:marBottom w:val="101"/>
          <w:divBdr>
            <w:top w:val="none" w:sz="0" w:space="0" w:color="auto"/>
            <w:left w:val="none" w:sz="0" w:space="0" w:color="auto"/>
            <w:bottom w:val="none" w:sz="0" w:space="0" w:color="auto"/>
            <w:right w:val="none" w:sz="0" w:space="0" w:color="auto"/>
          </w:divBdr>
        </w:div>
        <w:div w:id="2142383327">
          <w:marLeft w:val="0"/>
          <w:marRight w:val="0"/>
          <w:marTop w:val="0"/>
          <w:marBottom w:val="101"/>
          <w:divBdr>
            <w:top w:val="none" w:sz="0" w:space="0" w:color="auto"/>
            <w:left w:val="none" w:sz="0" w:space="0" w:color="auto"/>
            <w:bottom w:val="none" w:sz="0" w:space="0" w:color="auto"/>
            <w:right w:val="none" w:sz="0" w:space="0" w:color="auto"/>
          </w:divBdr>
        </w:div>
        <w:div w:id="1994217221">
          <w:marLeft w:val="648"/>
          <w:marRight w:val="0"/>
          <w:marTop w:val="0"/>
          <w:marBottom w:val="101"/>
          <w:divBdr>
            <w:top w:val="none" w:sz="0" w:space="0" w:color="auto"/>
            <w:left w:val="none" w:sz="0" w:space="0" w:color="auto"/>
            <w:bottom w:val="none" w:sz="0" w:space="0" w:color="auto"/>
            <w:right w:val="none" w:sz="0" w:space="0" w:color="auto"/>
          </w:divBdr>
        </w:div>
        <w:div w:id="265160341">
          <w:marLeft w:val="648"/>
          <w:marRight w:val="0"/>
          <w:marTop w:val="0"/>
          <w:marBottom w:val="101"/>
          <w:divBdr>
            <w:top w:val="none" w:sz="0" w:space="0" w:color="auto"/>
            <w:left w:val="none" w:sz="0" w:space="0" w:color="auto"/>
            <w:bottom w:val="none" w:sz="0" w:space="0" w:color="auto"/>
            <w:right w:val="none" w:sz="0" w:space="0" w:color="auto"/>
          </w:divBdr>
        </w:div>
        <w:div w:id="391661738">
          <w:marLeft w:val="648"/>
          <w:marRight w:val="0"/>
          <w:marTop w:val="0"/>
          <w:marBottom w:val="101"/>
          <w:divBdr>
            <w:top w:val="none" w:sz="0" w:space="0" w:color="auto"/>
            <w:left w:val="none" w:sz="0" w:space="0" w:color="auto"/>
            <w:bottom w:val="none" w:sz="0" w:space="0" w:color="auto"/>
            <w:right w:val="none" w:sz="0" w:space="0" w:color="auto"/>
          </w:divBdr>
        </w:div>
        <w:div w:id="1304045654">
          <w:marLeft w:val="648"/>
          <w:marRight w:val="0"/>
          <w:marTop w:val="0"/>
          <w:marBottom w:val="101"/>
          <w:divBdr>
            <w:top w:val="none" w:sz="0" w:space="0" w:color="auto"/>
            <w:left w:val="none" w:sz="0" w:space="0" w:color="auto"/>
            <w:bottom w:val="none" w:sz="0" w:space="0" w:color="auto"/>
            <w:right w:val="none" w:sz="0" w:space="0" w:color="auto"/>
          </w:divBdr>
        </w:div>
        <w:div w:id="1902595086">
          <w:marLeft w:val="648"/>
          <w:marRight w:val="0"/>
          <w:marTop w:val="0"/>
          <w:marBottom w:val="101"/>
          <w:divBdr>
            <w:top w:val="none" w:sz="0" w:space="0" w:color="auto"/>
            <w:left w:val="none" w:sz="0" w:space="0" w:color="auto"/>
            <w:bottom w:val="none" w:sz="0" w:space="0" w:color="auto"/>
            <w:right w:val="none" w:sz="0" w:space="0" w:color="auto"/>
          </w:divBdr>
        </w:div>
        <w:div w:id="1421635353">
          <w:marLeft w:val="648"/>
          <w:marRight w:val="0"/>
          <w:marTop w:val="0"/>
          <w:marBottom w:val="101"/>
          <w:divBdr>
            <w:top w:val="none" w:sz="0" w:space="0" w:color="auto"/>
            <w:left w:val="none" w:sz="0" w:space="0" w:color="auto"/>
            <w:bottom w:val="none" w:sz="0" w:space="0" w:color="auto"/>
            <w:right w:val="none" w:sz="0" w:space="0" w:color="auto"/>
          </w:divBdr>
        </w:div>
        <w:div w:id="1084033651">
          <w:marLeft w:val="648"/>
          <w:marRight w:val="0"/>
          <w:marTop w:val="0"/>
          <w:marBottom w:val="101"/>
          <w:divBdr>
            <w:top w:val="none" w:sz="0" w:space="0" w:color="auto"/>
            <w:left w:val="none" w:sz="0" w:space="0" w:color="auto"/>
            <w:bottom w:val="none" w:sz="0" w:space="0" w:color="auto"/>
            <w:right w:val="none" w:sz="0" w:space="0" w:color="auto"/>
          </w:divBdr>
        </w:div>
        <w:div w:id="2032604134">
          <w:marLeft w:val="648"/>
          <w:marRight w:val="0"/>
          <w:marTop w:val="0"/>
          <w:marBottom w:val="101"/>
          <w:divBdr>
            <w:top w:val="none" w:sz="0" w:space="0" w:color="auto"/>
            <w:left w:val="none" w:sz="0" w:space="0" w:color="auto"/>
            <w:bottom w:val="none" w:sz="0" w:space="0" w:color="auto"/>
            <w:right w:val="none" w:sz="0" w:space="0" w:color="auto"/>
          </w:divBdr>
        </w:div>
        <w:div w:id="1567253841">
          <w:marLeft w:val="648"/>
          <w:marRight w:val="0"/>
          <w:marTop w:val="0"/>
          <w:marBottom w:val="101"/>
          <w:divBdr>
            <w:top w:val="none" w:sz="0" w:space="0" w:color="auto"/>
            <w:left w:val="none" w:sz="0" w:space="0" w:color="auto"/>
            <w:bottom w:val="none" w:sz="0" w:space="0" w:color="auto"/>
            <w:right w:val="none" w:sz="0" w:space="0" w:color="auto"/>
          </w:divBdr>
        </w:div>
        <w:div w:id="2022857402">
          <w:marLeft w:val="648"/>
          <w:marRight w:val="0"/>
          <w:marTop w:val="0"/>
          <w:marBottom w:val="101"/>
          <w:divBdr>
            <w:top w:val="none" w:sz="0" w:space="0" w:color="auto"/>
            <w:left w:val="none" w:sz="0" w:space="0" w:color="auto"/>
            <w:bottom w:val="none" w:sz="0" w:space="0" w:color="auto"/>
            <w:right w:val="none" w:sz="0" w:space="0" w:color="auto"/>
          </w:divBdr>
        </w:div>
        <w:div w:id="1113942770">
          <w:marLeft w:val="648"/>
          <w:marRight w:val="0"/>
          <w:marTop w:val="0"/>
          <w:marBottom w:val="101"/>
          <w:divBdr>
            <w:top w:val="none" w:sz="0" w:space="0" w:color="auto"/>
            <w:left w:val="none" w:sz="0" w:space="0" w:color="auto"/>
            <w:bottom w:val="none" w:sz="0" w:space="0" w:color="auto"/>
            <w:right w:val="none" w:sz="0" w:space="0" w:color="auto"/>
          </w:divBdr>
        </w:div>
        <w:div w:id="2020085576">
          <w:marLeft w:val="648"/>
          <w:marRight w:val="0"/>
          <w:marTop w:val="0"/>
          <w:marBottom w:val="101"/>
          <w:divBdr>
            <w:top w:val="none" w:sz="0" w:space="0" w:color="auto"/>
            <w:left w:val="none" w:sz="0" w:space="0" w:color="auto"/>
            <w:bottom w:val="none" w:sz="0" w:space="0" w:color="auto"/>
            <w:right w:val="none" w:sz="0" w:space="0" w:color="auto"/>
          </w:divBdr>
        </w:div>
        <w:div w:id="1155300603">
          <w:marLeft w:val="648"/>
          <w:marRight w:val="0"/>
          <w:marTop w:val="0"/>
          <w:marBottom w:val="101"/>
          <w:divBdr>
            <w:top w:val="none" w:sz="0" w:space="0" w:color="auto"/>
            <w:left w:val="none" w:sz="0" w:space="0" w:color="auto"/>
            <w:bottom w:val="none" w:sz="0" w:space="0" w:color="auto"/>
            <w:right w:val="none" w:sz="0" w:space="0" w:color="auto"/>
          </w:divBdr>
        </w:div>
        <w:div w:id="1651709913">
          <w:marLeft w:val="648"/>
          <w:marRight w:val="0"/>
          <w:marTop w:val="0"/>
          <w:marBottom w:val="101"/>
          <w:divBdr>
            <w:top w:val="none" w:sz="0" w:space="0" w:color="auto"/>
            <w:left w:val="none" w:sz="0" w:space="0" w:color="auto"/>
            <w:bottom w:val="none" w:sz="0" w:space="0" w:color="auto"/>
            <w:right w:val="none" w:sz="0" w:space="0" w:color="auto"/>
          </w:divBdr>
        </w:div>
        <w:div w:id="1922518268">
          <w:marLeft w:val="0"/>
          <w:marRight w:val="0"/>
          <w:marTop w:val="0"/>
          <w:marBottom w:val="101"/>
          <w:divBdr>
            <w:top w:val="none" w:sz="0" w:space="0" w:color="auto"/>
            <w:left w:val="none" w:sz="0" w:space="0" w:color="auto"/>
            <w:bottom w:val="none" w:sz="0" w:space="0" w:color="auto"/>
            <w:right w:val="none" w:sz="0" w:space="0" w:color="auto"/>
          </w:divBdr>
        </w:div>
        <w:div w:id="1907370694">
          <w:marLeft w:val="0"/>
          <w:marRight w:val="0"/>
          <w:marTop w:val="0"/>
          <w:marBottom w:val="101"/>
          <w:divBdr>
            <w:top w:val="none" w:sz="0" w:space="0" w:color="auto"/>
            <w:left w:val="none" w:sz="0" w:space="0" w:color="auto"/>
            <w:bottom w:val="none" w:sz="0" w:space="0" w:color="auto"/>
            <w:right w:val="none" w:sz="0" w:space="0" w:color="auto"/>
          </w:divBdr>
        </w:div>
        <w:div w:id="339283937">
          <w:marLeft w:val="0"/>
          <w:marRight w:val="0"/>
          <w:marTop w:val="0"/>
          <w:marBottom w:val="101"/>
          <w:divBdr>
            <w:top w:val="none" w:sz="0" w:space="0" w:color="auto"/>
            <w:left w:val="none" w:sz="0" w:space="0" w:color="auto"/>
            <w:bottom w:val="none" w:sz="0" w:space="0" w:color="auto"/>
            <w:right w:val="none" w:sz="0" w:space="0" w:color="auto"/>
          </w:divBdr>
        </w:div>
        <w:div w:id="838277009">
          <w:marLeft w:val="0"/>
          <w:marRight w:val="0"/>
          <w:marTop w:val="0"/>
          <w:marBottom w:val="101"/>
          <w:divBdr>
            <w:top w:val="none" w:sz="0" w:space="0" w:color="auto"/>
            <w:left w:val="none" w:sz="0" w:space="0" w:color="auto"/>
            <w:bottom w:val="none" w:sz="0" w:space="0" w:color="auto"/>
            <w:right w:val="none" w:sz="0" w:space="0" w:color="auto"/>
          </w:divBdr>
        </w:div>
        <w:div w:id="701127976">
          <w:marLeft w:val="0"/>
          <w:marRight w:val="0"/>
          <w:marTop w:val="0"/>
          <w:marBottom w:val="101"/>
          <w:divBdr>
            <w:top w:val="none" w:sz="0" w:space="0" w:color="auto"/>
            <w:left w:val="none" w:sz="0" w:space="0" w:color="auto"/>
            <w:bottom w:val="none" w:sz="0" w:space="0" w:color="auto"/>
            <w:right w:val="none" w:sz="0" w:space="0" w:color="auto"/>
          </w:divBdr>
        </w:div>
        <w:div w:id="1919822206">
          <w:marLeft w:val="0"/>
          <w:marRight w:val="0"/>
          <w:marTop w:val="0"/>
          <w:marBottom w:val="101"/>
          <w:divBdr>
            <w:top w:val="none" w:sz="0" w:space="0" w:color="auto"/>
            <w:left w:val="none" w:sz="0" w:space="0" w:color="auto"/>
            <w:bottom w:val="none" w:sz="0" w:space="0" w:color="auto"/>
            <w:right w:val="none" w:sz="0" w:space="0" w:color="auto"/>
          </w:divBdr>
        </w:div>
        <w:div w:id="1434327399">
          <w:marLeft w:val="0"/>
          <w:marRight w:val="0"/>
          <w:marTop w:val="0"/>
          <w:marBottom w:val="101"/>
          <w:divBdr>
            <w:top w:val="none" w:sz="0" w:space="0" w:color="auto"/>
            <w:left w:val="none" w:sz="0" w:space="0" w:color="auto"/>
            <w:bottom w:val="none" w:sz="0" w:space="0" w:color="auto"/>
            <w:right w:val="none" w:sz="0" w:space="0" w:color="auto"/>
          </w:divBdr>
        </w:div>
        <w:div w:id="463350733">
          <w:marLeft w:val="0"/>
          <w:marRight w:val="0"/>
          <w:marTop w:val="0"/>
          <w:marBottom w:val="101"/>
          <w:divBdr>
            <w:top w:val="none" w:sz="0" w:space="0" w:color="auto"/>
            <w:left w:val="none" w:sz="0" w:space="0" w:color="auto"/>
            <w:bottom w:val="none" w:sz="0" w:space="0" w:color="auto"/>
            <w:right w:val="none" w:sz="0" w:space="0" w:color="auto"/>
          </w:divBdr>
        </w:div>
        <w:div w:id="2100633193">
          <w:marLeft w:val="0"/>
          <w:marRight w:val="0"/>
          <w:marTop w:val="0"/>
          <w:marBottom w:val="101"/>
          <w:divBdr>
            <w:top w:val="none" w:sz="0" w:space="0" w:color="auto"/>
            <w:left w:val="none" w:sz="0" w:space="0" w:color="auto"/>
            <w:bottom w:val="none" w:sz="0" w:space="0" w:color="auto"/>
            <w:right w:val="none" w:sz="0" w:space="0" w:color="auto"/>
          </w:divBdr>
        </w:div>
        <w:div w:id="811943750">
          <w:marLeft w:val="0"/>
          <w:marRight w:val="0"/>
          <w:marTop w:val="0"/>
          <w:marBottom w:val="101"/>
          <w:divBdr>
            <w:top w:val="none" w:sz="0" w:space="0" w:color="auto"/>
            <w:left w:val="none" w:sz="0" w:space="0" w:color="auto"/>
            <w:bottom w:val="none" w:sz="0" w:space="0" w:color="auto"/>
            <w:right w:val="none" w:sz="0" w:space="0" w:color="auto"/>
          </w:divBdr>
        </w:div>
        <w:div w:id="2023430835">
          <w:marLeft w:val="0"/>
          <w:marRight w:val="0"/>
          <w:marTop w:val="0"/>
          <w:marBottom w:val="101"/>
          <w:divBdr>
            <w:top w:val="none" w:sz="0" w:space="0" w:color="auto"/>
            <w:left w:val="none" w:sz="0" w:space="0" w:color="auto"/>
            <w:bottom w:val="none" w:sz="0" w:space="0" w:color="auto"/>
            <w:right w:val="none" w:sz="0" w:space="0" w:color="auto"/>
          </w:divBdr>
        </w:div>
        <w:div w:id="1702199154">
          <w:marLeft w:val="0"/>
          <w:marRight w:val="0"/>
          <w:marTop w:val="0"/>
          <w:marBottom w:val="101"/>
          <w:divBdr>
            <w:top w:val="none" w:sz="0" w:space="0" w:color="auto"/>
            <w:left w:val="none" w:sz="0" w:space="0" w:color="auto"/>
            <w:bottom w:val="none" w:sz="0" w:space="0" w:color="auto"/>
            <w:right w:val="none" w:sz="0" w:space="0" w:color="auto"/>
          </w:divBdr>
        </w:div>
        <w:div w:id="1714039966">
          <w:marLeft w:val="0"/>
          <w:marRight w:val="0"/>
          <w:marTop w:val="0"/>
          <w:marBottom w:val="101"/>
          <w:divBdr>
            <w:top w:val="none" w:sz="0" w:space="0" w:color="auto"/>
            <w:left w:val="none" w:sz="0" w:space="0" w:color="auto"/>
            <w:bottom w:val="none" w:sz="0" w:space="0" w:color="auto"/>
            <w:right w:val="none" w:sz="0" w:space="0" w:color="auto"/>
          </w:divBdr>
        </w:div>
        <w:div w:id="1142042109">
          <w:marLeft w:val="0"/>
          <w:marRight w:val="0"/>
          <w:marTop w:val="0"/>
          <w:marBottom w:val="101"/>
          <w:divBdr>
            <w:top w:val="none" w:sz="0" w:space="0" w:color="auto"/>
            <w:left w:val="none" w:sz="0" w:space="0" w:color="auto"/>
            <w:bottom w:val="none" w:sz="0" w:space="0" w:color="auto"/>
            <w:right w:val="none" w:sz="0" w:space="0" w:color="auto"/>
          </w:divBdr>
        </w:div>
        <w:div w:id="1197893454">
          <w:marLeft w:val="0"/>
          <w:marRight w:val="0"/>
          <w:marTop w:val="0"/>
          <w:marBottom w:val="101"/>
          <w:divBdr>
            <w:top w:val="none" w:sz="0" w:space="0" w:color="auto"/>
            <w:left w:val="none" w:sz="0" w:space="0" w:color="auto"/>
            <w:bottom w:val="none" w:sz="0" w:space="0" w:color="auto"/>
            <w:right w:val="none" w:sz="0" w:space="0" w:color="auto"/>
          </w:divBdr>
        </w:div>
        <w:div w:id="1271740689">
          <w:marLeft w:val="0"/>
          <w:marRight w:val="0"/>
          <w:marTop w:val="0"/>
          <w:marBottom w:val="101"/>
          <w:divBdr>
            <w:top w:val="none" w:sz="0" w:space="0" w:color="auto"/>
            <w:left w:val="none" w:sz="0" w:space="0" w:color="auto"/>
            <w:bottom w:val="none" w:sz="0" w:space="0" w:color="auto"/>
            <w:right w:val="none" w:sz="0" w:space="0" w:color="auto"/>
          </w:divBdr>
        </w:div>
        <w:div w:id="1449086554">
          <w:marLeft w:val="0"/>
          <w:marRight w:val="0"/>
          <w:marTop w:val="0"/>
          <w:marBottom w:val="101"/>
          <w:divBdr>
            <w:top w:val="none" w:sz="0" w:space="0" w:color="auto"/>
            <w:left w:val="none" w:sz="0" w:space="0" w:color="auto"/>
            <w:bottom w:val="none" w:sz="0" w:space="0" w:color="auto"/>
            <w:right w:val="none" w:sz="0" w:space="0" w:color="auto"/>
          </w:divBdr>
        </w:div>
        <w:div w:id="1808930304">
          <w:marLeft w:val="0"/>
          <w:marRight w:val="0"/>
          <w:marTop w:val="0"/>
          <w:marBottom w:val="101"/>
          <w:divBdr>
            <w:top w:val="none" w:sz="0" w:space="0" w:color="auto"/>
            <w:left w:val="none" w:sz="0" w:space="0" w:color="auto"/>
            <w:bottom w:val="none" w:sz="0" w:space="0" w:color="auto"/>
            <w:right w:val="none" w:sz="0" w:space="0" w:color="auto"/>
          </w:divBdr>
        </w:div>
        <w:div w:id="2116709877">
          <w:marLeft w:val="0"/>
          <w:marRight w:val="0"/>
          <w:marTop w:val="0"/>
          <w:marBottom w:val="101"/>
          <w:divBdr>
            <w:top w:val="none" w:sz="0" w:space="0" w:color="auto"/>
            <w:left w:val="none" w:sz="0" w:space="0" w:color="auto"/>
            <w:bottom w:val="none" w:sz="0" w:space="0" w:color="auto"/>
            <w:right w:val="none" w:sz="0" w:space="0" w:color="auto"/>
          </w:divBdr>
        </w:div>
        <w:div w:id="89401376">
          <w:marLeft w:val="0"/>
          <w:marRight w:val="0"/>
          <w:marTop w:val="0"/>
          <w:marBottom w:val="101"/>
          <w:divBdr>
            <w:top w:val="none" w:sz="0" w:space="0" w:color="auto"/>
            <w:left w:val="none" w:sz="0" w:space="0" w:color="auto"/>
            <w:bottom w:val="none" w:sz="0" w:space="0" w:color="auto"/>
            <w:right w:val="none" w:sz="0" w:space="0" w:color="auto"/>
          </w:divBdr>
        </w:div>
        <w:div w:id="1457065330">
          <w:marLeft w:val="0"/>
          <w:marRight w:val="0"/>
          <w:marTop w:val="0"/>
          <w:marBottom w:val="101"/>
          <w:divBdr>
            <w:top w:val="none" w:sz="0" w:space="0" w:color="auto"/>
            <w:left w:val="none" w:sz="0" w:space="0" w:color="auto"/>
            <w:bottom w:val="none" w:sz="0" w:space="0" w:color="auto"/>
            <w:right w:val="none" w:sz="0" w:space="0" w:color="auto"/>
          </w:divBdr>
        </w:div>
        <w:div w:id="1556622923">
          <w:marLeft w:val="0"/>
          <w:marRight w:val="0"/>
          <w:marTop w:val="0"/>
          <w:marBottom w:val="101"/>
          <w:divBdr>
            <w:top w:val="none" w:sz="0" w:space="0" w:color="auto"/>
            <w:left w:val="none" w:sz="0" w:space="0" w:color="auto"/>
            <w:bottom w:val="none" w:sz="0" w:space="0" w:color="auto"/>
            <w:right w:val="none" w:sz="0" w:space="0" w:color="auto"/>
          </w:divBdr>
        </w:div>
        <w:div w:id="367724676">
          <w:marLeft w:val="0"/>
          <w:marRight w:val="0"/>
          <w:marTop w:val="0"/>
          <w:marBottom w:val="101"/>
          <w:divBdr>
            <w:top w:val="none" w:sz="0" w:space="0" w:color="auto"/>
            <w:left w:val="none" w:sz="0" w:space="0" w:color="auto"/>
            <w:bottom w:val="none" w:sz="0" w:space="0" w:color="auto"/>
            <w:right w:val="none" w:sz="0" w:space="0" w:color="auto"/>
          </w:divBdr>
        </w:div>
        <w:div w:id="854223871">
          <w:marLeft w:val="0"/>
          <w:marRight w:val="0"/>
          <w:marTop w:val="0"/>
          <w:marBottom w:val="101"/>
          <w:divBdr>
            <w:top w:val="none" w:sz="0" w:space="0" w:color="auto"/>
            <w:left w:val="none" w:sz="0" w:space="0" w:color="auto"/>
            <w:bottom w:val="none" w:sz="0" w:space="0" w:color="auto"/>
            <w:right w:val="none" w:sz="0" w:space="0" w:color="auto"/>
          </w:divBdr>
        </w:div>
        <w:div w:id="1276254024">
          <w:marLeft w:val="0"/>
          <w:marRight w:val="0"/>
          <w:marTop w:val="0"/>
          <w:marBottom w:val="101"/>
          <w:divBdr>
            <w:top w:val="none" w:sz="0" w:space="0" w:color="auto"/>
            <w:left w:val="none" w:sz="0" w:space="0" w:color="auto"/>
            <w:bottom w:val="none" w:sz="0" w:space="0" w:color="auto"/>
            <w:right w:val="none" w:sz="0" w:space="0" w:color="auto"/>
          </w:divBdr>
        </w:div>
        <w:div w:id="1048608368">
          <w:marLeft w:val="0"/>
          <w:marRight w:val="0"/>
          <w:marTop w:val="0"/>
          <w:marBottom w:val="101"/>
          <w:divBdr>
            <w:top w:val="none" w:sz="0" w:space="0" w:color="auto"/>
            <w:left w:val="none" w:sz="0" w:space="0" w:color="auto"/>
            <w:bottom w:val="none" w:sz="0" w:space="0" w:color="auto"/>
            <w:right w:val="none" w:sz="0" w:space="0" w:color="auto"/>
          </w:divBdr>
        </w:div>
        <w:div w:id="1271860633">
          <w:marLeft w:val="0"/>
          <w:marRight w:val="0"/>
          <w:marTop w:val="0"/>
          <w:marBottom w:val="101"/>
          <w:divBdr>
            <w:top w:val="none" w:sz="0" w:space="0" w:color="auto"/>
            <w:left w:val="none" w:sz="0" w:space="0" w:color="auto"/>
            <w:bottom w:val="none" w:sz="0" w:space="0" w:color="auto"/>
            <w:right w:val="none" w:sz="0" w:space="0" w:color="auto"/>
          </w:divBdr>
        </w:div>
        <w:div w:id="632295394">
          <w:marLeft w:val="0"/>
          <w:marRight w:val="0"/>
          <w:marTop w:val="0"/>
          <w:marBottom w:val="101"/>
          <w:divBdr>
            <w:top w:val="none" w:sz="0" w:space="0" w:color="auto"/>
            <w:left w:val="none" w:sz="0" w:space="0" w:color="auto"/>
            <w:bottom w:val="none" w:sz="0" w:space="0" w:color="auto"/>
            <w:right w:val="none" w:sz="0" w:space="0" w:color="auto"/>
          </w:divBdr>
        </w:div>
        <w:div w:id="1424108716">
          <w:marLeft w:val="0"/>
          <w:marRight w:val="0"/>
          <w:marTop w:val="0"/>
          <w:marBottom w:val="101"/>
          <w:divBdr>
            <w:top w:val="none" w:sz="0" w:space="0" w:color="auto"/>
            <w:left w:val="none" w:sz="0" w:space="0" w:color="auto"/>
            <w:bottom w:val="none" w:sz="0" w:space="0" w:color="auto"/>
            <w:right w:val="none" w:sz="0" w:space="0" w:color="auto"/>
          </w:divBdr>
        </w:div>
        <w:div w:id="1314408910">
          <w:marLeft w:val="0"/>
          <w:marRight w:val="0"/>
          <w:marTop w:val="0"/>
          <w:marBottom w:val="101"/>
          <w:divBdr>
            <w:top w:val="none" w:sz="0" w:space="0" w:color="auto"/>
            <w:left w:val="none" w:sz="0" w:space="0" w:color="auto"/>
            <w:bottom w:val="none" w:sz="0" w:space="0" w:color="auto"/>
            <w:right w:val="none" w:sz="0" w:space="0" w:color="auto"/>
          </w:divBdr>
        </w:div>
        <w:div w:id="173569498">
          <w:marLeft w:val="0"/>
          <w:marRight w:val="0"/>
          <w:marTop w:val="0"/>
          <w:marBottom w:val="101"/>
          <w:divBdr>
            <w:top w:val="none" w:sz="0" w:space="0" w:color="auto"/>
            <w:left w:val="none" w:sz="0" w:space="0" w:color="auto"/>
            <w:bottom w:val="none" w:sz="0" w:space="0" w:color="auto"/>
            <w:right w:val="none" w:sz="0" w:space="0" w:color="auto"/>
          </w:divBdr>
        </w:div>
        <w:div w:id="1675523915">
          <w:marLeft w:val="0"/>
          <w:marRight w:val="0"/>
          <w:marTop w:val="0"/>
          <w:marBottom w:val="101"/>
          <w:divBdr>
            <w:top w:val="none" w:sz="0" w:space="0" w:color="auto"/>
            <w:left w:val="none" w:sz="0" w:space="0" w:color="auto"/>
            <w:bottom w:val="none" w:sz="0" w:space="0" w:color="auto"/>
            <w:right w:val="none" w:sz="0" w:space="0" w:color="auto"/>
          </w:divBdr>
        </w:div>
        <w:div w:id="583954209">
          <w:marLeft w:val="0"/>
          <w:marRight w:val="0"/>
          <w:marTop w:val="0"/>
          <w:marBottom w:val="101"/>
          <w:divBdr>
            <w:top w:val="none" w:sz="0" w:space="0" w:color="auto"/>
            <w:left w:val="none" w:sz="0" w:space="0" w:color="auto"/>
            <w:bottom w:val="none" w:sz="0" w:space="0" w:color="auto"/>
            <w:right w:val="none" w:sz="0" w:space="0" w:color="auto"/>
          </w:divBdr>
        </w:div>
        <w:div w:id="1811627261">
          <w:marLeft w:val="0"/>
          <w:marRight w:val="0"/>
          <w:marTop w:val="0"/>
          <w:marBottom w:val="101"/>
          <w:divBdr>
            <w:top w:val="none" w:sz="0" w:space="0" w:color="auto"/>
            <w:left w:val="none" w:sz="0" w:space="0" w:color="auto"/>
            <w:bottom w:val="none" w:sz="0" w:space="0" w:color="auto"/>
            <w:right w:val="none" w:sz="0" w:space="0" w:color="auto"/>
          </w:divBdr>
        </w:div>
        <w:div w:id="1469084533">
          <w:marLeft w:val="0"/>
          <w:marRight w:val="0"/>
          <w:marTop w:val="0"/>
          <w:marBottom w:val="101"/>
          <w:divBdr>
            <w:top w:val="none" w:sz="0" w:space="0" w:color="auto"/>
            <w:left w:val="none" w:sz="0" w:space="0" w:color="auto"/>
            <w:bottom w:val="none" w:sz="0" w:space="0" w:color="auto"/>
            <w:right w:val="none" w:sz="0" w:space="0" w:color="auto"/>
          </w:divBdr>
        </w:div>
        <w:div w:id="175578879">
          <w:marLeft w:val="0"/>
          <w:marRight w:val="0"/>
          <w:marTop w:val="0"/>
          <w:marBottom w:val="101"/>
          <w:divBdr>
            <w:top w:val="none" w:sz="0" w:space="0" w:color="auto"/>
            <w:left w:val="none" w:sz="0" w:space="0" w:color="auto"/>
            <w:bottom w:val="none" w:sz="0" w:space="0" w:color="auto"/>
            <w:right w:val="none" w:sz="0" w:space="0" w:color="auto"/>
          </w:divBdr>
        </w:div>
        <w:div w:id="1021391495">
          <w:marLeft w:val="0"/>
          <w:marRight w:val="0"/>
          <w:marTop w:val="0"/>
          <w:marBottom w:val="101"/>
          <w:divBdr>
            <w:top w:val="none" w:sz="0" w:space="0" w:color="auto"/>
            <w:left w:val="none" w:sz="0" w:space="0" w:color="auto"/>
            <w:bottom w:val="none" w:sz="0" w:space="0" w:color="auto"/>
            <w:right w:val="none" w:sz="0" w:space="0" w:color="auto"/>
          </w:divBdr>
        </w:div>
        <w:div w:id="1989436333">
          <w:marLeft w:val="0"/>
          <w:marRight w:val="0"/>
          <w:marTop w:val="0"/>
          <w:marBottom w:val="101"/>
          <w:divBdr>
            <w:top w:val="none" w:sz="0" w:space="0" w:color="auto"/>
            <w:left w:val="none" w:sz="0" w:space="0" w:color="auto"/>
            <w:bottom w:val="none" w:sz="0" w:space="0" w:color="auto"/>
            <w:right w:val="none" w:sz="0" w:space="0" w:color="auto"/>
          </w:divBdr>
        </w:div>
        <w:div w:id="2144613755">
          <w:marLeft w:val="0"/>
          <w:marRight w:val="0"/>
          <w:marTop w:val="0"/>
          <w:marBottom w:val="101"/>
          <w:divBdr>
            <w:top w:val="none" w:sz="0" w:space="0" w:color="auto"/>
            <w:left w:val="none" w:sz="0" w:space="0" w:color="auto"/>
            <w:bottom w:val="none" w:sz="0" w:space="0" w:color="auto"/>
            <w:right w:val="none" w:sz="0" w:space="0" w:color="auto"/>
          </w:divBdr>
        </w:div>
        <w:div w:id="1130129047">
          <w:marLeft w:val="0"/>
          <w:marRight w:val="0"/>
          <w:marTop w:val="0"/>
          <w:marBottom w:val="101"/>
          <w:divBdr>
            <w:top w:val="none" w:sz="0" w:space="0" w:color="auto"/>
            <w:left w:val="none" w:sz="0" w:space="0" w:color="auto"/>
            <w:bottom w:val="none" w:sz="0" w:space="0" w:color="auto"/>
            <w:right w:val="none" w:sz="0" w:space="0" w:color="auto"/>
          </w:divBdr>
        </w:div>
        <w:div w:id="1466506281">
          <w:marLeft w:val="0"/>
          <w:marRight w:val="0"/>
          <w:marTop w:val="0"/>
          <w:marBottom w:val="101"/>
          <w:divBdr>
            <w:top w:val="none" w:sz="0" w:space="0" w:color="auto"/>
            <w:left w:val="none" w:sz="0" w:space="0" w:color="auto"/>
            <w:bottom w:val="none" w:sz="0" w:space="0" w:color="auto"/>
            <w:right w:val="none" w:sz="0" w:space="0" w:color="auto"/>
          </w:divBdr>
        </w:div>
        <w:div w:id="1623727811">
          <w:marLeft w:val="0"/>
          <w:marRight w:val="0"/>
          <w:marTop w:val="0"/>
          <w:marBottom w:val="101"/>
          <w:divBdr>
            <w:top w:val="none" w:sz="0" w:space="0" w:color="auto"/>
            <w:left w:val="none" w:sz="0" w:space="0" w:color="auto"/>
            <w:bottom w:val="none" w:sz="0" w:space="0" w:color="auto"/>
            <w:right w:val="none" w:sz="0" w:space="0" w:color="auto"/>
          </w:divBdr>
        </w:div>
        <w:div w:id="1016537755">
          <w:marLeft w:val="0"/>
          <w:marRight w:val="0"/>
          <w:marTop w:val="0"/>
          <w:marBottom w:val="101"/>
          <w:divBdr>
            <w:top w:val="none" w:sz="0" w:space="0" w:color="auto"/>
            <w:left w:val="none" w:sz="0" w:space="0" w:color="auto"/>
            <w:bottom w:val="none" w:sz="0" w:space="0" w:color="auto"/>
            <w:right w:val="none" w:sz="0" w:space="0" w:color="auto"/>
          </w:divBdr>
        </w:div>
        <w:div w:id="793795952">
          <w:marLeft w:val="0"/>
          <w:marRight w:val="0"/>
          <w:marTop w:val="0"/>
          <w:marBottom w:val="101"/>
          <w:divBdr>
            <w:top w:val="none" w:sz="0" w:space="0" w:color="auto"/>
            <w:left w:val="none" w:sz="0" w:space="0" w:color="auto"/>
            <w:bottom w:val="none" w:sz="0" w:space="0" w:color="auto"/>
            <w:right w:val="none" w:sz="0" w:space="0" w:color="auto"/>
          </w:divBdr>
        </w:div>
        <w:div w:id="789593964">
          <w:marLeft w:val="0"/>
          <w:marRight w:val="0"/>
          <w:marTop w:val="0"/>
          <w:marBottom w:val="101"/>
          <w:divBdr>
            <w:top w:val="none" w:sz="0" w:space="0" w:color="auto"/>
            <w:left w:val="none" w:sz="0" w:space="0" w:color="auto"/>
            <w:bottom w:val="none" w:sz="0" w:space="0" w:color="auto"/>
            <w:right w:val="none" w:sz="0" w:space="0" w:color="auto"/>
          </w:divBdr>
        </w:div>
        <w:div w:id="1040277709">
          <w:marLeft w:val="0"/>
          <w:marRight w:val="0"/>
          <w:marTop w:val="0"/>
          <w:marBottom w:val="101"/>
          <w:divBdr>
            <w:top w:val="none" w:sz="0" w:space="0" w:color="auto"/>
            <w:left w:val="none" w:sz="0" w:space="0" w:color="auto"/>
            <w:bottom w:val="none" w:sz="0" w:space="0" w:color="auto"/>
            <w:right w:val="none" w:sz="0" w:space="0" w:color="auto"/>
          </w:divBdr>
        </w:div>
        <w:div w:id="1321736792">
          <w:marLeft w:val="0"/>
          <w:marRight w:val="0"/>
          <w:marTop w:val="0"/>
          <w:marBottom w:val="101"/>
          <w:divBdr>
            <w:top w:val="none" w:sz="0" w:space="0" w:color="auto"/>
            <w:left w:val="none" w:sz="0" w:space="0" w:color="auto"/>
            <w:bottom w:val="none" w:sz="0" w:space="0" w:color="auto"/>
            <w:right w:val="none" w:sz="0" w:space="0" w:color="auto"/>
          </w:divBdr>
        </w:div>
        <w:div w:id="817379260">
          <w:marLeft w:val="0"/>
          <w:marRight w:val="0"/>
          <w:marTop w:val="0"/>
          <w:marBottom w:val="101"/>
          <w:divBdr>
            <w:top w:val="none" w:sz="0" w:space="0" w:color="auto"/>
            <w:left w:val="none" w:sz="0" w:space="0" w:color="auto"/>
            <w:bottom w:val="none" w:sz="0" w:space="0" w:color="auto"/>
            <w:right w:val="none" w:sz="0" w:space="0" w:color="auto"/>
          </w:divBdr>
        </w:div>
        <w:div w:id="861892589">
          <w:marLeft w:val="0"/>
          <w:marRight w:val="0"/>
          <w:marTop w:val="0"/>
          <w:marBottom w:val="101"/>
          <w:divBdr>
            <w:top w:val="none" w:sz="0" w:space="0" w:color="auto"/>
            <w:left w:val="none" w:sz="0" w:space="0" w:color="auto"/>
            <w:bottom w:val="none" w:sz="0" w:space="0" w:color="auto"/>
            <w:right w:val="none" w:sz="0" w:space="0" w:color="auto"/>
          </w:divBdr>
        </w:div>
        <w:div w:id="1945729464">
          <w:marLeft w:val="0"/>
          <w:marRight w:val="0"/>
          <w:marTop w:val="0"/>
          <w:marBottom w:val="101"/>
          <w:divBdr>
            <w:top w:val="none" w:sz="0" w:space="0" w:color="auto"/>
            <w:left w:val="none" w:sz="0" w:space="0" w:color="auto"/>
            <w:bottom w:val="none" w:sz="0" w:space="0" w:color="auto"/>
            <w:right w:val="none" w:sz="0" w:space="0" w:color="auto"/>
          </w:divBdr>
        </w:div>
        <w:div w:id="1144932429">
          <w:marLeft w:val="0"/>
          <w:marRight w:val="0"/>
          <w:marTop w:val="0"/>
          <w:marBottom w:val="101"/>
          <w:divBdr>
            <w:top w:val="none" w:sz="0" w:space="0" w:color="auto"/>
            <w:left w:val="none" w:sz="0" w:space="0" w:color="auto"/>
            <w:bottom w:val="none" w:sz="0" w:space="0" w:color="auto"/>
            <w:right w:val="none" w:sz="0" w:space="0" w:color="auto"/>
          </w:divBdr>
        </w:div>
        <w:div w:id="1413772151">
          <w:marLeft w:val="0"/>
          <w:marRight w:val="0"/>
          <w:marTop w:val="0"/>
          <w:marBottom w:val="101"/>
          <w:divBdr>
            <w:top w:val="none" w:sz="0" w:space="0" w:color="auto"/>
            <w:left w:val="none" w:sz="0" w:space="0" w:color="auto"/>
            <w:bottom w:val="none" w:sz="0" w:space="0" w:color="auto"/>
            <w:right w:val="none" w:sz="0" w:space="0" w:color="auto"/>
          </w:divBdr>
        </w:div>
        <w:div w:id="1336614102">
          <w:marLeft w:val="0"/>
          <w:marRight w:val="0"/>
          <w:marTop w:val="0"/>
          <w:marBottom w:val="101"/>
          <w:divBdr>
            <w:top w:val="none" w:sz="0" w:space="0" w:color="auto"/>
            <w:left w:val="none" w:sz="0" w:space="0" w:color="auto"/>
            <w:bottom w:val="none" w:sz="0" w:space="0" w:color="auto"/>
            <w:right w:val="none" w:sz="0" w:space="0" w:color="auto"/>
          </w:divBdr>
        </w:div>
        <w:div w:id="1167673615">
          <w:marLeft w:val="0"/>
          <w:marRight w:val="0"/>
          <w:marTop w:val="0"/>
          <w:marBottom w:val="101"/>
          <w:divBdr>
            <w:top w:val="none" w:sz="0" w:space="0" w:color="auto"/>
            <w:left w:val="none" w:sz="0" w:space="0" w:color="auto"/>
            <w:bottom w:val="none" w:sz="0" w:space="0" w:color="auto"/>
            <w:right w:val="none" w:sz="0" w:space="0" w:color="auto"/>
          </w:divBdr>
        </w:div>
        <w:div w:id="1695572956">
          <w:marLeft w:val="0"/>
          <w:marRight w:val="0"/>
          <w:marTop w:val="0"/>
          <w:marBottom w:val="101"/>
          <w:divBdr>
            <w:top w:val="none" w:sz="0" w:space="0" w:color="auto"/>
            <w:left w:val="none" w:sz="0" w:space="0" w:color="auto"/>
            <w:bottom w:val="none" w:sz="0" w:space="0" w:color="auto"/>
            <w:right w:val="none" w:sz="0" w:space="0" w:color="auto"/>
          </w:divBdr>
        </w:div>
        <w:div w:id="438336032">
          <w:marLeft w:val="0"/>
          <w:marRight w:val="0"/>
          <w:marTop w:val="0"/>
          <w:marBottom w:val="101"/>
          <w:divBdr>
            <w:top w:val="none" w:sz="0" w:space="0" w:color="auto"/>
            <w:left w:val="none" w:sz="0" w:space="0" w:color="auto"/>
            <w:bottom w:val="none" w:sz="0" w:space="0" w:color="auto"/>
            <w:right w:val="none" w:sz="0" w:space="0" w:color="auto"/>
          </w:divBdr>
        </w:div>
        <w:div w:id="1428503702">
          <w:marLeft w:val="0"/>
          <w:marRight w:val="0"/>
          <w:marTop w:val="0"/>
          <w:marBottom w:val="101"/>
          <w:divBdr>
            <w:top w:val="none" w:sz="0" w:space="0" w:color="auto"/>
            <w:left w:val="none" w:sz="0" w:space="0" w:color="auto"/>
            <w:bottom w:val="none" w:sz="0" w:space="0" w:color="auto"/>
            <w:right w:val="none" w:sz="0" w:space="0" w:color="auto"/>
          </w:divBdr>
        </w:div>
        <w:div w:id="1343821565">
          <w:marLeft w:val="0"/>
          <w:marRight w:val="0"/>
          <w:marTop w:val="0"/>
          <w:marBottom w:val="101"/>
          <w:divBdr>
            <w:top w:val="none" w:sz="0" w:space="0" w:color="auto"/>
            <w:left w:val="none" w:sz="0" w:space="0" w:color="auto"/>
            <w:bottom w:val="none" w:sz="0" w:space="0" w:color="auto"/>
            <w:right w:val="none" w:sz="0" w:space="0" w:color="auto"/>
          </w:divBdr>
        </w:div>
        <w:div w:id="59251813">
          <w:marLeft w:val="0"/>
          <w:marRight w:val="0"/>
          <w:marTop w:val="0"/>
          <w:marBottom w:val="101"/>
          <w:divBdr>
            <w:top w:val="none" w:sz="0" w:space="0" w:color="auto"/>
            <w:left w:val="none" w:sz="0" w:space="0" w:color="auto"/>
            <w:bottom w:val="none" w:sz="0" w:space="0" w:color="auto"/>
            <w:right w:val="none" w:sz="0" w:space="0" w:color="auto"/>
          </w:divBdr>
        </w:div>
        <w:div w:id="1832213050">
          <w:marLeft w:val="0"/>
          <w:marRight w:val="0"/>
          <w:marTop w:val="0"/>
          <w:marBottom w:val="101"/>
          <w:divBdr>
            <w:top w:val="none" w:sz="0" w:space="0" w:color="auto"/>
            <w:left w:val="none" w:sz="0" w:space="0" w:color="auto"/>
            <w:bottom w:val="none" w:sz="0" w:space="0" w:color="auto"/>
            <w:right w:val="none" w:sz="0" w:space="0" w:color="auto"/>
          </w:divBdr>
        </w:div>
        <w:div w:id="2050915025">
          <w:marLeft w:val="0"/>
          <w:marRight w:val="0"/>
          <w:marTop w:val="0"/>
          <w:marBottom w:val="101"/>
          <w:divBdr>
            <w:top w:val="none" w:sz="0" w:space="0" w:color="auto"/>
            <w:left w:val="none" w:sz="0" w:space="0" w:color="auto"/>
            <w:bottom w:val="none" w:sz="0" w:space="0" w:color="auto"/>
            <w:right w:val="none" w:sz="0" w:space="0" w:color="auto"/>
          </w:divBdr>
        </w:div>
        <w:div w:id="1539776308">
          <w:marLeft w:val="0"/>
          <w:marRight w:val="0"/>
          <w:marTop w:val="0"/>
          <w:marBottom w:val="101"/>
          <w:divBdr>
            <w:top w:val="none" w:sz="0" w:space="0" w:color="auto"/>
            <w:left w:val="none" w:sz="0" w:space="0" w:color="auto"/>
            <w:bottom w:val="none" w:sz="0" w:space="0" w:color="auto"/>
            <w:right w:val="none" w:sz="0" w:space="0" w:color="auto"/>
          </w:divBdr>
        </w:div>
        <w:div w:id="224414931">
          <w:marLeft w:val="0"/>
          <w:marRight w:val="0"/>
          <w:marTop w:val="0"/>
          <w:marBottom w:val="101"/>
          <w:divBdr>
            <w:top w:val="none" w:sz="0" w:space="0" w:color="auto"/>
            <w:left w:val="none" w:sz="0" w:space="0" w:color="auto"/>
            <w:bottom w:val="none" w:sz="0" w:space="0" w:color="auto"/>
            <w:right w:val="none" w:sz="0" w:space="0" w:color="auto"/>
          </w:divBdr>
        </w:div>
        <w:div w:id="1503230644">
          <w:marLeft w:val="0"/>
          <w:marRight w:val="0"/>
          <w:marTop w:val="0"/>
          <w:marBottom w:val="101"/>
          <w:divBdr>
            <w:top w:val="none" w:sz="0" w:space="0" w:color="auto"/>
            <w:left w:val="none" w:sz="0" w:space="0" w:color="auto"/>
            <w:bottom w:val="none" w:sz="0" w:space="0" w:color="auto"/>
            <w:right w:val="none" w:sz="0" w:space="0" w:color="auto"/>
          </w:divBdr>
        </w:div>
        <w:div w:id="1952006331">
          <w:marLeft w:val="0"/>
          <w:marRight w:val="0"/>
          <w:marTop w:val="0"/>
          <w:marBottom w:val="101"/>
          <w:divBdr>
            <w:top w:val="none" w:sz="0" w:space="0" w:color="auto"/>
            <w:left w:val="none" w:sz="0" w:space="0" w:color="auto"/>
            <w:bottom w:val="none" w:sz="0" w:space="0" w:color="auto"/>
            <w:right w:val="none" w:sz="0" w:space="0" w:color="auto"/>
          </w:divBdr>
        </w:div>
        <w:div w:id="1462919581">
          <w:marLeft w:val="0"/>
          <w:marRight w:val="0"/>
          <w:marTop w:val="0"/>
          <w:marBottom w:val="101"/>
          <w:divBdr>
            <w:top w:val="none" w:sz="0" w:space="0" w:color="auto"/>
            <w:left w:val="none" w:sz="0" w:space="0" w:color="auto"/>
            <w:bottom w:val="none" w:sz="0" w:space="0" w:color="auto"/>
            <w:right w:val="none" w:sz="0" w:space="0" w:color="auto"/>
          </w:divBdr>
        </w:div>
        <w:div w:id="1479153850">
          <w:marLeft w:val="0"/>
          <w:marRight w:val="0"/>
          <w:marTop w:val="0"/>
          <w:marBottom w:val="101"/>
          <w:divBdr>
            <w:top w:val="none" w:sz="0" w:space="0" w:color="auto"/>
            <w:left w:val="none" w:sz="0" w:space="0" w:color="auto"/>
            <w:bottom w:val="none" w:sz="0" w:space="0" w:color="auto"/>
            <w:right w:val="none" w:sz="0" w:space="0" w:color="auto"/>
          </w:divBdr>
        </w:div>
        <w:div w:id="783035363">
          <w:marLeft w:val="0"/>
          <w:marRight w:val="0"/>
          <w:marTop w:val="0"/>
          <w:marBottom w:val="101"/>
          <w:divBdr>
            <w:top w:val="none" w:sz="0" w:space="0" w:color="auto"/>
            <w:left w:val="none" w:sz="0" w:space="0" w:color="auto"/>
            <w:bottom w:val="none" w:sz="0" w:space="0" w:color="auto"/>
            <w:right w:val="none" w:sz="0" w:space="0" w:color="auto"/>
          </w:divBdr>
        </w:div>
        <w:div w:id="1244072720">
          <w:marLeft w:val="0"/>
          <w:marRight w:val="0"/>
          <w:marTop w:val="0"/>
          <w:marBottom w:val="101"/>
          <w:divBdr>
            <w:top w:val="none" w:sz="0" w:space="0" w:color="auto"/>
            <w:left w:val="none" w:sz="0" w:space="0" w:color="auto"/>
            <w:bottom w:val="none" w:sz="0" w:space="0" w:color="auto"/>
            <w:right w:val="none" w:sz="0" w:space="0" w:color="auto"/>
          </w:divBdr>
        </w:div>
        <w:div w:id="2032756382">
          <w:marLeft w:val="0"/>
          <w:marRight w:val="0"/>
          <w:marTop w:val="0"/>
          <w:marBottom w:val="101"/>
          <w:divBdr>
            <w:top w:val="none" w:sz="0" w:space="0" w:color="auto"/>
            <w:left w:val="none" w:sz="0" w:space="0" w:color="auto"/>
            <w:bottom w:val="none" w:sz="0" w:space="0" w:color="auto"/>
            <w:right w:val="none" w:sz="0" w:space="0" w:color="auto"/>
          </w:divBdr>
        </w:div>
        <w:div w:id="1650480167">
          <w:marLeft w:val="0"/>
          <w:marRight w:val="0"/>
          <w:marTop w:val="0"/>
          <w:marBottom w:val="101"/>
          <w:divBdr>
            <w:top w:val="none" w:sz="0" w:space="0" w:color="auto"/>
            <w:left w:val="none" w:sz="0" w:space="0" w:color="auto"/>
            <w:bottom w:val="none" w:sz="0" w:space="0" w:color="auto"/>
            <w:right w:val="none" w:sz="0" w:space="0" w:color="auto"/>
          </w:divBdr>
        </w:div>
        <w:div w:id="2122065569">
          <w:marLeft w:val="0"/>
          <w:marRight w:val="0"/>
          <w:marTop w:val="0"/>
          <w:marBottom w:val="101"/>
          <w:divBdr>
            <w:top w:val="none" w:sz="0" w:space="0" w:color="auto"/>
            <w:left w:val="none" w:sz="0" w:space="0" w:color="auto"/>
            <w:bottom w:val="none" w:sz="0" w:space="0" w:color="auto"/>
            <w:right w:val="none" w:sz="0" w:space="0" w:color="auto"/>
          </w:divBdr>
        </w:div>
        <w:div w:id="2035961341">
          <w:marLeft w:val="0"/>
          <w:marRight w:val="0"/>
          <w:marTop w:val="0"/>
          <w:marBottom w:val="101"/>
          <w:divBdr>
            <w:top w:val="none" w:sz="0" w:space="0" w:color="auto"/>
            <w:left w:val="none" w:sz="0" w:space="0" w:color="auto"/>
            <w:bottom w:val="none" w:sz="0" w:space="0" w:color="auto"/>
            <w:right w:val="none" w:sz="0" w:space="0" w:color="auto"/>
          </w:divBdr>
        </w:div>
        <w:div w:id="95904933">
          <w:marLeft w:val="0"/>
          <w:marRight w:val="0"/>
          <w:marTop w:val="0"/>
          <w:marBottom w:val="101"/>
          <w:divBdr>
            <w:top w:val="none" w:sz="0" w:space="0" w:color="auto"/>
            <w:left w:val="none" w:sz="0" w:space="0" w:color="auto"/>
            <w:bottom w:val="none" w:sz="0" w:space="0" w:color="auto"/>
            <w:right w:val="none" w:sz="0" w:space="0" w:color="auto"/>
          </w:divBdr>
        </w:div>
        <w:div w:id="988360573">
          <w:marLeft w:val="0"/>
          <w:marRight w:val="0"/>
          <w:marTop w:val="0"/>
          <w:marBottom w:val="101"/>
          <w:divBdr>
            <w:top w:val="none" w:sz="0" w:space="0" w:color="auto"/>
            <w:left w:val="none" w:sz="0" w:space="0" w:color="auto"/>
            <w:bottom w:val="none" w:sz="0" w:space="0" w:color="auto"/>
            <w:right w:val="none" w:sz="0" w:space="0" w:color="auto"/>
          </w:divBdr>
        </w:div>
        <w:div w:id="1545288495">
          <w:marLeft w:val="0"/>
          <w:marRight w:val="0"/>
          <w:marTop w:val="0"/>
          <w:marBottom w:val="101"/>
          <w:divBdr>
            <w:top w:val="none" w:sz="0" w:space="0" w:color="auto"/>
            <w:left w:val="none" w:sz="0" w:space="0" w:color="auto"/>
            <w:bottom w:val="none" w:sz="0" w:space="0" w:color="auto"/>
            <w:right w:val="none" w:sz="0" w:space="0" w:color="auto"/>
          </w:divBdr>
        </w:div>
        <w:div w:id="339357672">
          <w:marLeft w:val="0"/>
          <w:marRight w:val="0"/>
          <w:marTop w:val="0"/>
          <w:marBottom w:val="101"/>
          <w:divBdr>
            <w:top w:val="none" w:sz="0" w:space="0" w:color="auto"/>
            <w:left w:val="none" w:sz="0" w:space="0" w:color="auto"/>
            <w:bottom w:val="none" w:sz="0" w:space="0" w:color="auto"/>
            <w:right w:val="none" w:sz="0" w:space="0" w:color="auto"/>
          </w:divBdr>
        </w:div>
        <w:div w:id="1861316721">
          <w:marLeft w:val="0"/>
          <w:marRight w:val="0"/>
          <w:marTop w:val="0"/>
          <w:marBottom w:val="101"/>
          <w:divBdr>
            <w:top w:val="none" w:sz="0" w:space="0" w:color="auto"/>
            <w:left w:val="none" w:sz="0" w:space="0" w:color="auto"/>
            <w:bottom w:val="none" w:sz="0" w:space="0" w:color="auto"/>
            <w:right w:val="none" w:sz="0" w:space="0" w:color="auto"/>
          </w:divBdr>
        </w:div>
        <w:div w:id="1177161615">
          <w:marLeft w:val="0"/>
          <w:marRight w:val="0"/>
          <w:marTop w:val="0"/>
          <w:marBottom w:val="101"/>
          <w:divBdr>
            <w:top w:val="none" w:sz="0" w:space="0" w:color="auto"/>
            <w:left w:val="none" w:sz="0" w:space="0" w:color="auto"/>
            <w:bottom w:val="none" w:sz="0" w:space="0" w:color="auto"/>
            <w:right w:val="none" w:sz="0" w:space="0" w:color="auto"/>
          </w:divBdr>
        </w:div>
        <w:div w:id="2127918638">
          <w:marLeft w:val="0"/>
          <w:marRight w:val="0"/>
          <w:marTop w:val="0"/>
          <w:marBottom w:val="101"/>
          <w:divBdr>
            <w:top w:val="none" w:sz="0" w:space="0" w:color="auto"/>
            <w:left w:val="none" w:sz="0" w:space="0" w:color="auto"/>
            <w:bottom w:val="none" w:sz="0" w:space="0" w:color="auto"/>
            <w:right w:val="none" w:sz="0" w:space="0" w:color="auto"/>
          </w:divBdr>
        </w:div>
        <w:div w:id="1903058712">
          <w:marLeft w:val="0"/>
          <w:marRight w:val="0"/>
          <w:marTop w:val="0"/>
          <w:marBottom w:val="101"/>
          <w:divBdr>
            <w:top w:val="none" w:sz="0" w:space="0" w:color="auto"/>
            <w:left w:val="none" w:sz="0" w:space="0" w:color="auto"/>
            <w:bottom w:val="none" w:sz="0" w:space="0" w:color="auto"/>
            <w:right w:val="none" w:sz="0" w:space="0" w:color="auto"/>
          </w:divBdr>
        </w:div>
        <w:div w:id="1123882827">
          <w:marLeft w:val="0"/>
          <w:marRight w:val="0"/>
          <w:marTop w:val="0"/>
          <w:marBottom w:val="101"/>
          <w:divBdr>
            <w:top w:val="none" w:sz="0" w:space="0" w:color="auto"/>
            <w:left w:val="none" w:sz="0" w:space="0" w:color="auto"/>
            <w:bottom w:val="none" w:sz="0" w:space="0" w:color="auto"/>
            <w:right w:val="none" w:sz="0" w:space="0" w:color="auto"/>
          </w:divBdr>
        </w:div>
        <w:div w:id="445393289">
          <w:marLeft w:val="0"/>
          <w:marRight w:val="0"/>
          <w:marTop w:val="0"/>
          <w:marBottom w:val="101"/>
          <w:divBdr>
            <w:top w:val="none" w:sz="0" w:space="0" w:color="auto"/>
            <w:left w:val="none" w:sz="0" w:space="0" w:color="auto"/>
            <w:bottom w:val="none" w:sz="0" w:space="0" w:color="auto"/>
            <w:right w:val="none" w:sz="0" w:space="0" w:color="auto"/>
          </w:divBdr>
        </w:div>
        <w:div w:id="1960987656">
          <w:marLeft w:val="0"/>
          <w:marRight w:val="0"/>
          <w:marTop w:val="0"/>
          <w:marBottom w:val="101"/>
          <w:divBdr>
            <w:top w:val="none" w:sz="0" w:space="0" w:color="auto"/>
            <w:left w:val="none" w:sz="0" w:space="0" w:color="auto"/>
            <w:bottom w:val="none" w:sz="0" w:space="0" w:color="auto"/>
            <w:right w:val="none" w:sz="0" w:space="0" w:color="auto"/>
          </w:divBdr>
        </w:div>
        <w:div w:id="2021540218">
          <w:marLeft w:val="0"/>
          <w:marRight w:val="0"/>
          <w:marTop w:val="0"/>
          <w:marBottom w:val="101"/>
          <w:divBdr>
            <w:top w:val="none" w:sz="0" w:space="0" w:color="auto"/>
            <w:left w:val="none" w:sz="0" w:space="0" w:color="auto"/>
            <w:bottom w:val="none" w:sz="0" w:space="0" w:color="auto"/>
            <w:right w:val="none" w:sz="0" w:space="0" w:color="auto"/>
          </w:divBdr>
        </w:div>
        <w:div w:id="2097433496">
          <w:marLeft w:val="0"/>
          <w:marRight w:val="0"/>
          <w:marTop w:val="0"/>
          <w:marBottom w:val="101"/>
          <w:divBdr>
            <w:top w:val="none" w:sz="0" w:space="0" w:color="auto"/>
            <w:left w:val="none" w:sz="0" w:space="0" w:color="auto"/>
            <w:bottom w:val="none" w:sz="0" w:space="0" w:color="auto"/>
            <w:right w:val="none" w:sz="0" w:space="0" w:color="auto"/>
          </w:divBdr>
        </w:div>
        <w:div w:id="837697867">
          <w:marLeft w:val="0"/>
          <w:marRight w:val="0"/>
          <w:marTop w:val="0"/>
          <w:marBottom w:val="101"/>
          <w:divBdr>
            <w:top w:val="none" w:sz="0" w:space="0" w:color="auto"/>
            <w:left w:val="none" w:sz="0" w:space="0" w:color="auto"/>
            <w:bottom w:val="none" w:sz="0" w:space="0" w:color="auto"/>
            <w:right w:val="none" w:sz="0" w:space="0" w:color="auto"/>
          </w:divBdr>
        </w:div>
        <w:div w:id="1735002337">
          <w:marLeft w:val="0"/>
          <w:marRight w:val="0"/>
          <w:marTop w:val="0"/>
          <w:marBottom w:val="101"/>
          <w:divBdr>
            <w:top w:val="none" w:sz="0" w:space="0" w:color="auto"/>
            <w:left w:val="none" w:sz="0" w:space="0" w:color="auto"/>
            <w:bottom w:val="none" w:sz="0" w:space="0" w:color="auto"/>
            <w:right w:val="none" w:sz="0" w:space="0" w:color="auto"/>
          </w:divBdr>
        </w:div>
        <w:div w:id="726346024">
          <w:marLeft w:val="0"/>
          <w:marRight w:val="0"/>
          <w:marTop w:val="0"/>
          <w:marBottom w:val="101"/>
          <w:divBdr>
            <w:top w:val="none" w:sz="0" w:space="0" w:color="auto"/>
            <w:left w:val="none" w:sz="0" w:space="0" w:color="auto"/>
            <w:bottom w:val="none" w:sz="0" w:space="0" w:color="auto"/>
            <w:right w:val="none" w:sz="0" w:space="0" w:color="auto"/>
          </w:divBdr>
        </w:div>
        <w:div w:id="1733044774">
          <w:marLeft w:val="0"/>
          <w:marRight w:val="0"/>
          <w:marTop w:val="0"/>
          <w:marBottom w:val="101"/>
          <w:divBdr>
            <w:top w:val="none" w:sz="0" w:space="0" w:color="auto"/>
            <w:left w:val="none" w:sz="0" w:space="0" w:color="auto"/>
            <w:bottom w:val="none" w:sz="0" w:space="0" w:color="auto"/>
            <w:right w:val="none" w:sz="0" w:space="0" w:color="auto"/>
          </w:divBdr>
        </w:div>
        <w:div w:id="326204816">
          <w:marLeft w:val="0"/>
          <w:marRight w:val="0"/>
          <w:marTop w:val="0"/>
          <w:marBottom w:val="101"/>
          <w:divBdr>
            <w:top w:val="none" w:sz="0" w:space="0" w:color="auto"/>
            <w:left w:val="none" w:sz="0" w:space="0" w:color="auto"/>
            <w:bottom w:val="none" w:sz="0" w:space="0" w:color="auto"/>
            <w:right w:val="none" w:sz="0" w:space="0" w:color="auto"/>
          </w:divBdr>
        </w:div>
        <w:div w:id="559169094">
          <w:marLeft w:val="0"/>
          <w:marRight w:val="0"/>
          <w:marTop w:val="0"/>
          <w:marBottom w:val="101"/>
          <w:divBdr>
            <w:top w:val="none" w:sz="0" w:space="0" w:color="auto"/>
            <w:left w:val="none" w:sz="0" w:space="0" w:color="auto"/>
            <w:bottom w:val="none" w:sz="0" w:space="0" w:color="auto"/>
            <w:right w:val="none" w:sz="0" w:space="0" w:color="auto"/>
          </w:divBdr>
        </w:div>
        <w:div w:id="509569360">
          <w:marLeft w:val="0"/>
          <w:marRight w:val="0"/>
          <w:marTop w:val="0"/>
          <w:marBottom w:val="101"/>
          <w:divBdr>
            <w:top w:val="none" w:sz="0" w:space="0" w:color="auto"/>
            <w:left w:val="none" w:sz="0" w:space="0" w:color="auto"/>
            <w:bottom w:val="none" w:sz="0" w:space="0" w:color="auto"/>
            <w:right w:val="none" w:sz="0" w:space="0" w:color="auto"/>
          </w:divBdr>
        </w:div>
        <w:div w:id="1248809926">
          <w:marLeft w:val="0"/>
          <w:marRight w:val="0"/>
          <w:marTop w:val="0"/>
          <w:marBottom w:val="101"/>
          <w:divBdr>
            <w:top w:val="none" w:sz="0" w:space="0" w:color="auto"/>
            <w:left w:val="none" w:sz="0" w:space="0" w:color="auto"/>
            <w:bottom w:val="none" w:sz="0" w:space="0" w:color="auto"/>
            <w:right w:val="none" w:sz="0" w:space="0" w:color="auto"/>
          </w:divBdr>
        </w:div>
        <w:div w:id="1675523590">
          <w:marLeft w:val="0"/>
          <w:marRight w:val="0"/>
          <w:marTop w:val="0"/>
          <w:marBottom w:val="101"/>
          <w:divBdr>
            <w:top w:val="none" w:sz="0" w:space="0" w:color="auto"/>
            <w:left w:val="none" w:sz="0" w:space="0" w:color="auto"/>
            <w:bottom w:val="none" w:sz="0" w:space="0" w:color="auto"/>
            <w:right w:val="none" w:sz="0" w:space="0" w:color="auto"/>
          </w:divBdr>
        </w:div>
        <w:div w:id="2035499197">
          <w:marLeft w:val="0"/>
          <w:marRight w:val="0"/>
          <w:marTop w:val="0"/>
          <w:marBottom w:val="101"/>
          <w:divBdr>
            <w:top w:val="none" w:sz="0" w:space="0" w:color="auto"/>
            <w:left w:val="none" w:sz="0" w:space="0" w:color="auto"/>
            <w:bottom w:val="none" w:sz="0" w:space="0" w:color="auto"/>
            <w:right w:val="none" w:sz="0" w:space="0" w:color="auto"/>
          </w:divBdr>
        </w:div>
        <w:div w:id="564991883">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fontTable" Target="fontTable.xm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microsoft.com/office/2007/relationships/stylesWithEffects" Target="stylesWithEffect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61" Type="http://schemas.openxmlformats.org/officeDocument/2006/relationships/image" Target="media/image57.png"/><Relationship Id="rId82" Type="http://schemas.openxmlformats.org/officeDocument/2006/relationships/image" Target="media/image7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7163</Words>
  <Characters>39402</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dc:creator>
  <cp:lastModifiedBy>Nancy Escutia</cp:lastModifiedBy>
  <cp:revision>1</cp:revision>
  <dcterms:created xsi:type="dcterms:W3CDTF">2023-05-08T14:38:00Z</dcterms:created>
  <dcterms:modified xsi:type="dcterms:W3CDTF">2023-05-08T14:40:00Z</dcterms:modified>
</cp:coreProperties>
</file>