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seis de mayo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abril de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SEIS DE MAYO DOS MIL VEINTIUNO, POR EL QUE SE AMPLÍA EL PERIODO DE APLICACIÓN Y VIGENCIA DE LOS LINEAMIENTOS SANITARIOS EN LAS SALAS Y UNIDADES ADMINISTRATIVAS QUE INTEGRAN ESTE ÓRGANO COLEGIADO, ESTABLECIDOS EN EL ACUERDO DE VEINTISIETE DE JULIO DE DOS MIL VEINTE, ASÍ COMO SU ULTIMA ADECUACIÓN DE SEIS DE ABRIL DE DOS MIL VEINTIUNO.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y nueve de febrero de dos mil veintiuno,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Mediante acuerdos de veintisiete de julio de dos mil veinte y quince de febrero de dos mil veintiuno, publicados en el Boletín Laboral Burocrático en las citadas fechas, dictados por el Pleno de este Órgano Jurisdiccional, se aprobó el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así como el diverso por el que se establecen los </w:t>
      </w:r>
      <w:r w:rsidDel="00000000" w:rsidR="00000000" w:rsidRPr="00000000">
        <w:rPr>
          <w:i w:val="1"/>
          <w:color w:val="2f2f2f"/>
          <w:sz w:val="18"/>
          <w:szCs w:val="18"/>
          <w:rtl w:val="0"/>
        </w:rPr>
        <w:t xml:space="preserve">Lineamientos para la Reapertura de Actividades y la Aplicación del Protocolo Sanitario en las Salas y Unidades Administrativas que integran este Órgano Colegiado, </w:t>
      </w:r>
      <w:r w:rsidDel="00000000" w:rsidR="00000000" w:rsidRPr="00000000">
        <w:rPr>
          <w:color w:val="2f2f2f"/>
          <w:sz w:val="18"/>
          <w:szCs w:val="18"/>
          <w:rtl w:val="0"/>
        </w:rPr>
        <w:t xml:space="preserve">mismos que entraron en vigor a partir del tres de agosto de dos mil veinte y posteriormente, el dieciséis de febrero de dos mil veintiuno,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treinta de septiembre de dos mil veinte, se publicó en el Diario Oficial de la Federación el </w:t>
      </w:r>
      <w:r w:rsidDel="00000000" w:rsidR="00000000" w:rsidRPr="00000000">
        <w:rPr>
          <w:i w:val="1"/>
          <w:color w:val="2f2f2f"/>
          <w:sz w:val="18"/>
          <w:szCs w:val="18"/>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color w:val="2f2f2f"/>
          <w:sz w:val="18"/>
          <w:szCs w:val="18"/>
          <w:rtl w:val="0"/>
        </w:rPr>
        <w:t xml:space="preserve">, el cual, en su artículo único, establece:</w:t>
      </w:r>
    </w:p>
    <w:p w:rsidR="00000000" w:rsidDel="00000000" w:rsidP="00000000" w:rsidRDefault="00000000" w:rsidRPr="00000000" w14:paraId="0000000C">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D">
      <w:pPr>
        <w:shd w:fill="ffffff" w:val="clear"/>
        <w:spacing w:after="100" w:lineRule="auto"/>
        <w:ind w:left="1440" w:right="1160" w:firstLine="0"/>
        <w:jc w:val="both"/>
        <w:rPr>
          <w:b w:val="1"/>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1440" w:right="116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0F">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Quedan exceptuadas de la aplicación del presente Acuerdo,</w:t>
      </w:r>
    </w:p>
    <w:p w:rsidR="00000000" w:rsidDel="00000000" w:rsidP="00000000" w:rsidRDefault="00000000" w:rsidRPr="00000000" w14:paraId="00000010">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 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Asimismo, el treinta de abril de dos mil veintiuno, la Secretaría de la Función Pública, público en el Diario Oficial de la Federación, el </w:t>
      </w:r>
      <w:r w:rsidDel="00000000" w:rsidR="00000000" w:rsidRPr="00000000">
        <w:rPr>
          <w:i w:val="1"/>
          <w:color w:val="2f2f2f"/>
          <w:sz w:val="18"/>
          <w:szCs w:val="18"/>
          <w:rtl w:val="0"/>
        </w:rPr>
        <w:t xml:space="preserve">ACUERDO POR EL QUE SE DETERMINAN LOS CRITERIOS PARA LA ADMINISTRACIÓN DE LOS RECURSOS HUMANOS EN LAS DEPENDENCIAS Y ENTIDADES DE LA ADMINISTRACIÓN PÚBLICA FEDERAL CON EL OBJETO DE REDUCIR EL RIESGO DE CONTAGIO Y DISPERSIÓN DEL CORONAVIRUS SARS-COV-2</w:t>
      </w:r>
      <w:r w:rsidDel="00000000" w:rsidR="00000000" w:rsidRPr="00000000">
        <w:rPr>
          <w:color w:val="2f2f2f"/>
          <w:sz w:val="18"/>
          <w:szCs w:val="18"/>
          <w:rtl w:val="0"/>
        </w:rPr>
        <w:t xml:space="preserve">, señalando lo siguiente:</w:t>
      </w:r>
    </w:p>
    <w:p w:rsidR="00000000" w:rsidDel="00000000" w:rsidP="00000000" w:rsidRDefault="00000000" w:rsidRPr="00000000" w14:paraId="00000012">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Primero. - </w:t>
      </w:r>
      <w:r w:rsidDel="00000000" w:rsidR="00000000" w:rsidRPr="00000000">
        <w:rPr>
          <w:color w:val="2f2f2f"/>
          <w:sz w:val="18"/>
          <w:szCs w:val="18"/>
          <w:rtl w:val="0"/>
        </w:rPr>
        <w:t xml:space="preserve">Durante el periodo comprendido entre el 3 de mayo y el 30 de julio de 2021, con la finalidad reducir el riesgo de contagio y dispersión del coronavirus SARS-CoV-2, de conformidad con las necesidades del servicio y sin alterar el debido cumplimiento de las funciones institucionales, las personas Titulares de la Oficialía Mayor de la Secretaría de Hacienda y Crédito Público y de las Unidades de Administración y Finanzas o equivalentes en la Administración Pública Federal, podrán autorizar o facilitar a las personas servidoras públicas:</w:t>
      </w:r>
    </w:p>
    <w:p w:rsidR="00000000" w:rsidDel="00000000" w:rsidP="00000000" w:rsidRDefault="00000000" w:rsidRPr="00000000" w14:paraId="00000013">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I. Trabajo a distancia, en aquellos casos en los que sea posible y no se altere el debido cumplimiento de sus funciones, con especial énfasis en las personas servidoras públicas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w:t>
      </w:r>
    </w:p>
    <w:p w:rsidR="00000000" w:rsidDel="00000000" w:rsidP="00000000" w:rsidRDefault="00000000" w:rsidRPr="00000000" w14:paraId="00000014">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II. Días de trabajo presencial alternados, entre el personal que integra las distintas unidades administrativas, procurando asegurar en todo tiempo las medidas sanitarias recomendadas por la Secretaría de Salud;</w:t>
      </w:r>
    </w:p>
    <w:p w:rsidR="00000000" w:rsidDel="00000000" w:rsidP="00000000" w:rsidRDefault="00000000" w:rsidRPr="00000000" w14:paraId="00000015">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III. Para el caso de los días de trabajo alternados, se podrán establecer horarios escalonados para la asistencia a los centros de trabajo, procurando asegurar las medidas sanitarias recomendadas por la Secretaría de Salud;</w:t>
      </w:r>
    </w:p>
    <w:p w:rsidR="00000000" w:rsidDel="00000000" w:rsidP="00000000" w:rsidRDefault="00000000" w:rsidRPr="00000000" w14:paraId="00000016">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IV. El uso de las tecnologías de información y comunicación para la realización de sesiones y reuniones de trabajo, acciones de capacitación y similares a efecto de minimizar el traslado, contacto y riesgo de contagio entre las personas servidoras públicas, y</w:t>
      </w:r>
    </w:p>
    <w:p w:rsidR="00000000" w:rsidDel="00000000" w:rsidP="00000000" w:rsidRDefault="00000000" w:rsidRPr="00000000" w14:paraId="00000017">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V. Disponibilidad en el horario laboral de servicios preventivos de salud, medidas de higiene, filtros de supervisión y sana distancia, así como los insumos necesarios acorde con los "Lineamientos Técnicos de Seguridad Sanitaria en el Entorno Laboral" y el "Lineamiento general para la mitigación y prevención de COVID-19 en espacios públicos cerrados".</w:t>
      </w:r>
    </w:p>
    <w:p w:rsidR="00000000" w:rsidDel="00000000" w:rsidP="00000000" w:rsidRDefault="00000000" w:rsidRPr="00000000" w14:paraId="00000018">
      <w:pPr>
        <w:shd w:fill="ffffff" w:val="clear"/>
        <w:spacing w:after="100" w:lineRule="auto"/>
        <w:ind w:left="1440" w:righ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left="1440" w:right="1160" w:firstLine="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Quedan exceptuadas de la aplicación del presente Acuerdo, las secretarías de Salud, Defensa Nacional, Marina, Seguridad y Protección Ciudadana, la Guardia Nacional, las Instancias de Seguridad Nacional, el personal del Servicio Exterior Mexicano, así como el Instituto Mexicano del Seguro Social, el Instituto de Seguridad y Servicios Sociales para los Trabajadores del Estado, los Institutos Nacionales de Salud y Alta Especialidad y demás instituciones que prestan o están relacionadas con los servicios de salud, protección civil y demás que se determine como esenciales o que por su naturaleza deban prestarse de manera presencial, y todas aquellas que determine el Presidente de los Estados Unidos Mexicanos o el Consejo de Salubridad General.."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Con base en lo expuesto en los considerandos que anteceden, en sesiones de treinta de septiembre, tres de noviembre, uno de diciembre de dos mil veinte, nueve de febrero, nueve de marzo y seis de abril de dos mil veintiuno, el Pleno del Tribunal Federal de Conciliación y Arbitraje, aprobó la ampliación del periodo de aplicación y vigencia de las medidas establecidas originalmente en los acuerdos de veintisiete de julio de dos mil veinte y posteriores, hasta el treinta de abril de dos mil veintiuno.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Con fecha veintinueve de abril de dos mil veintiuno, se publicó el </w:t>
      </w:r>
      <w:r w:rsidDel="00000000" w:rsidR="00000000" w:rsidRPr="00000000">
        <w:rPr>
          <w:i w:val="1"/>
          <w:color w:val="2f2f2f"/>
          <w:sz w:val="18"/>
          <w:szCs w:val="18"/>
          <w:rtl w:val="0"/>
        </w:rPr>
        <w:t xml:space="preserve">INSTRUMENTO NORMATIVO APROBADO POR EL PLENO DE LA SUPREMA CORTE DE JUSTICIA DE LA NACIÓN EL VEINTISÉIS DE ABRIL DE DOS MIL VEINTIUNO, EN VIRTUD DEL CUAL SE PRORROGA DEL UNO AL TREINTA Y UNO DE MAYO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w:t>
      </w:r>
      <w:r w:rsidDel="00000000" w:rsidR="00000000" w:rsidRPr="00000000">
        <w:rPr>
          <w:color w:val="2f2f2f"/>
          <w:sz w:val="18"/>
          <w:szCs w:val="18"/>
          <w:rtl w:val="0"/>
        </w:rPr>
        <w:t xml:space="preserve">desprendiéndose de su único resolutivo, lo siguiente:</w:t>
      </w:r>
    </w:p>
    <w:p w:rsidR="00000000" w:rsidDel="00000000" w:rsidP="00000000" w:rsidRDefault="00000000" w:rsidRPr="00000000" w14:paraId="0000001C">
      <w:pPr>
        <w:shd w:fill="ffffff" w:val="clear"/>
        <w:spacing w:after="100" w:lineRule="auto"/>
        <w:ind w:left="1440" w:right="1160" w:firstLine="0"/>
        <w:jc w:val="both"/>
        <w:rPr>
          <w:i w:val="1"/>
          <w:color w:val="2f2f2f"/>
          <w:sz w:val="18"/>
          <w:szCs w:val="18"/>
        </w:rPr>
      </w:pPr>
      <w:r w:rsidDel="00000000" w:rsidR="00000000" w:rsidRPr="00000000">
        <w:rPr>
          <w:b w:val="1"/>
          <w:i w:val="1"/>
          <w:color w:val="2f2f2f"/>
          <w:sz w:val="18"/>
          <w:szCs w:val="18"/>
          <w:rtl w:val="0"/>
        </w:rPr>
        <w:t xml:space="preserve">"ÚNICO.</w:t>
      </w:r>
      <w:r w:rsidDel="00000000" w:rsidR="00000000" w:rsidRPr="00000000">
        <w:rPr>
          <w:i w:val="1"/>
          <w:color w:val="2f2f2f"/>
          <w:sz w:val="18"/>
          <w:szCs w:val="18"/>
          <w:rtl w:val="0"/>
        </w:rPr>
        <w:t xml:space="preserve"> Se prorroga del uno al treinta y uno de mayo de dos mil veintiuno, la vigencia de lo establecido en los puntos del Tercero al Noveno del Acuerdo General 14/2020, de veintiocho de julio de dos mil veinte."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En virtud de que prevalecen las condiciones de emergencia sanitaria, que propiciaron el dictado de los acuerdos de veintisiete de julio y sus diversas adecuaciones, siendo la ultima el seis de abril de dos mil veintiuno, así como los diversos de quince de febrero del presente año,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cumplimiento al acuerdo emitido el treinta de abril del presente año, por la Secretaría de la Función Pública, en específico en el artículo primero, fracción I, que refiere que los servidores públicos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 podrán realizar trabajo a distancia, sin embargo, en el caso de aquellos servidores públicos que no se encuentren en alguno de los supuestos, los mismos deberán estarse a lo que establecen las fracciones II y III del artículo referido.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los servidores públicos que no se encuentren en el supuesto señalado en la fracción I del artículo 1 del </w:t>
      </w:r>
      <w:r w:rsidDel="00000000" w:rsidR="00000000" w:rsidRPr="00000000">
        <w:rPr>
          <w:i w:val="1"/>
          <w:color w:val="2f2f2f"/>
          <w:sz w:val="18"/>
          <w:szCs w:val="18"/>
          <w:rtl w:val="0"/>
        </w:rPr>
        <w:t xml:space="preserve">ACUERDO POR EL QUE SE DETERMINAN LOS CRITERIOS PARA LA ADMINISTRACIÓN DE LOS RECURSOS HUMANOS EN LAS DEPENDENCIAS Y ENTIDADES DE LA ADMINISTRACIÓN PÚBLICA FEDERAL CON EL OBJETO DE REDUCIR EL RIESGO DE CONTAGIO Y DISPERSIÓN DEL CORONAVIRUS SARS-COV-2</w:t>
      </w:r>
      <w:r w:rsidDel="00000000" w:rsidR="00000000" w:rsidRPr="00000000">
        <w:rPr>
          <w:color w:val="2f2f2f"/>
          <w:sz w:val="18"/>
          <w:szCs w:val="18"/>
          <w:rtl w:val="0"/>
        </w:rPr>
        <w:t xml:space="preserve">, publicado del treinta de abril de dos mil veintiuno, deberán presentarse ante sus áreas de adscripción de este Tribunal, a partir del día siguiente hábil a la publicación del presente acuerdo, para el desempeño de sus labores.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amplía el periodo de aplicación y vigencia de las medidas establecidas en los acuerdos de veintisiete de julio, y sus diversas adecuaciones, siendo la ultima el seis de abril de dos mil veintiuno, publicados en el Boletín Laboral Burocrático y en el Diario Oficial de la Federación posteriormente a su aprobación, hasta el treinta y uno de mayo de dos mil veintiuno; para los servidores públicos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 sin embargo para aquellos que no se encuentren en ninguno de los supuestos citados, deberán acudir a su área de adscripción ante este Tribunal Federal de Conciliación y Arbitraje, para presentarse a desempeñar sus labores, esto atendiendo, que será a partir del día siguiente hábil a la publicación del presente acuerdo. Lo anterior, en términos de lo expuesto y fundado en la parte considerativa de la presente resolución.</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Boletín Laboral Burocrático y el Diario Oficial de la Federación.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w:t>
      </w:r>
      <w:r w:rsidDel="00000000" w:rsidR="00000000" w:rsidRPr="00000000">
        <w:rPr>
          <w:b w:val="1"/>
          <w:color w:val="2f2f2f"/>
          <w:sz w:val="18"/>
          <w:szCs w:val="18"/>
          <w:rtl w:val="0"/>
        </w:rPr>
        <w:t xml:space="preserve">U N A N I M I D A D </w:t>
      </w:r>
      <w:r w:rsidDel="00000000" w:rsidR="00000000" w:rsidRPr="00000000">
        <w:rPr>
          <w:color w:val="2f2f2f"/>
          <w:sz w:val="18"/>
          <w:szCs w:val="18"/>
          <w:rtl w:val="0"/>
        </w:rPr>
        <w:t xml:space="preserve">de votos, el Pleno del Tribunal Federal de Conciliación y Arbitraje, en sesión celebrada en esta.- El Presidente del Tribunal.- El Secretario General de Acuerdos.- Doy fe.</w:t>
      </w:r>
    </w:p>
    <w:p w:rsidR="00000000" w:rsidDel="00000000" w:rsidP="00000000" w:rsidRDefault="00000000" w:rsidRPr="00000000" w14:paraId="000000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28">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CERTIFICA :</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seis de mayo de dos mil veintiuno, amplía el periodo de aplicación y vigencia de los lineamientos sanitarios en las Salas y Unidades Administrativas que integran este Órgano Colegiado, establecidos en el acuerdo de veintisiete de julio de dos mil veinte, así como su última adecuación de seis de abril de dos mil veintiuno,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doce días del mes de mayo de dos mil veintiuno.- Doy fe.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