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5D" w:rsidRPr="004450A0" w:rsidRDefault="00BE705D" w:rsidP="00BE705D">
      <w:pPr>
        <w:jc w:val="center"/>
        <w:rPr>
          <w:rFonts w:ascii="Verdana" w:eastAsia="Verdana" w:hAnsi="Verdana" w:cs="Verdana"/>
          <w:b/>
          <w:bCs/>
          <w:color w:val="0000FF"/>
          <w:sz w:val="24"/>
          <w:szCs w:val="24"/>
        </w:rPr>
      </w:pPr>
      <w:r w:rsidRPr="00BE705D">
        <w:rPr>
          <w:rFonts w:ascii="Verdana" w:eastAsia="Verdana" w:hAnsi="Verdana" w:cs="Verdana"/>
          <w:b/>
          <w:bCs/>
          <w:color w:val="0000FF"/>
          <w:sz w:val="24"/>
          <w:szCs w:val="24"/>
        </w:rPr>
        <w:t>ACUERDO G/JGA/21/2024 por el cual se da a conocer la suplencia de Magistrado en la Primera Ponencia de la Sala Regional del Noroeste II.</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06</w:t>
      </w:r>
      <w:r>
        <w:rPr>
          <w:rFonts w:ascii="Verdana" w:eastAsia="Verdana" w:hAnsi="Verdana" w:cs="Verdana"/>
          <w:b/>
          <w:color w:val="0000FF"/>
          <w:sz w:val="24"/>
          <w:szCs w:val="24"/>
        </w:rPr>
        <w:t xml:space="preserve"> de junio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E39BE" w:rsidRDefault="00BE705D" w:rsidP="00BE705D">
      <w:pPr>
        <w:jc w:val="both"/>
        <w:rPr>
          <w:rFonts w:ascii="Arial" w:eastAsia="Times New Roman" w:hAnsi="Arial" w:cs="Arial"/>
          <w:b/>
          <w:bCs/>
          <w:color w:val="2F2F2F"/>
          <w:sz w:val="20"/>
          <w:szCs w:val="16"/>
          <w:lang w:eastAsia="es-MX"/>
        </w:rPr>
      </w:pPr>
      <w:r w:rsidRPr="00BE705D">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BE705D" w:rsidRPr="00BE705D" w:rsidRDefault="00BE705D" w:rsidP="00BE70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E705D">
        <w:rPr>
          <w:rFonts w:ascii="Times" w:eastAsia="Times New Roman" w:hAnsi="Times" w:cs="Times"/>
          <w:b/>
          <w:bCs/>
          <w:color w:val="2F2F2F"/>
          <w:sz w:val="18"/>
          <w:szCs w:val="18"/>
          <w:lang w:eastAsia="es-MX"/>
        </w:rPr>
        <w:t>ACUERDO G/JGA/21/2024</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color w:val="2F2F2F"/>
          <w:sz w:val="18"/>
          <w:szCs w:val="18"/>
          <w:lang w:eastAsia="es-MX"/>
        </w:rPr>
        <w:t>SUPLENCIA DE MAGISTRADO EN LA PRIMERA PONENCIA DE LA SALA REGIONAL DEL NOROESTE II</w:t>
      </w:r>
    </w:p>
    <w:p w:rsidR="00BE705D" w:rsidRPr="00BE705D" w:rsidRDefault="00BE705D" w:rsidP="00BE70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E705D">
        <w:rPr>
          <w:rFonts w:ascii="Times" w:eastAsia="Times New Roman" w:hAnsi="Times" w:cs="Times"/>
          <w:b/>
          <w:bCs/>
          <w:color w:val="2F2F2F"/>
          <w:sz w:val="18"/>
          <w:szCs w:val="18"/>
          <w:lang w:eastAsia="es-MX"/>
        </w:rPr>
        <w:t>CONSIDERANDOS</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1. </w:t>
      </w:r>
      <w:r w:rsidRPr="00BE705D">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2. </w:t>
      </w:r>
      <w:r w:rsidRPr="00BE705D">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3. </w:t>
      </w:r>
      <w:r w:rsidRPr="00BE705D">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4. </w:t>
      </w:r>
      <w:r w:rsidRPr="00BE705D">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5. </w:t>
      </w:r>
      <w:r w:rsidRPr="00BE705D">
        <w:rPr>
          <w:rFonts w:ascii="Arial" w:eastAsia="Times New Roman" w:hAnsi="Arial" w:cs="Arial"/>
          <w:color w:val="2F2F2F"/>
          <w:sz w:val="18"/>
          <w:szCs w:val="18"/>
          <w:lang w:eastAsia="es-MX"/>
        </w:rPr>
        <w:t>Que las fracciones II, XXIII y XXXIX del artículo 23 de la Ley Orgánica vigente de este Tribunal, facultan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6. </w:t>
      </w:r>
      <w:r w:rsidRPr="00BE705D">
        <w:rPr>
          <w:rFonts w:ascii="Arial" w:eastAsia="Times New Roman" w:hAnsi="Arial" w:cs="Arial"/>
          <w:color w:val="2F2F2F"/>
          <w:sz w:val="18"/>
          <w:szCs w:val="18"/>
          <w:lang w:eastAsia="es-MX"/>
        </w:rPr>
        <w:t>Que el nombramiento expedido por el Titular del Ejecutivo Federal en favor del Magistrado José Luis Pinto Verdugo concluyó sus efectos el 29 de abril de 2019; por lo que, ante la falta definitiva de Magistrado Titular en la Ponencia y Sala de su adscripción, la Junta de Gobierno y Administración autorizó, en términos del artículo 48, tercer párrafo de la Ley Orgánica del Tribunal Federal de Justicia Administrativa, que la misma fuera cubierta por su Primer Secretario de Acuerdos.</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7. </w:t>
      </w:r>
      <w:r w:rsidRPr="00BE705D">
        <w:rPr>
          <w:rFonts w:ascii="Arial" w:eastAsia="Times New Roman" w:hAnsi="Arial" w:cs="Arial"/>
          <w:color w:val="2F2F2F"/>
          <w:sz w:val="18"/>
          <w:szCs w:val="18"/>
          <w:lang w:eastAsia="es-MX"/>
        </w:rPr>
        <w:t>Que en sesión de fecha 22 de junio de 2023, la Junta de Gobierno y Administración tomó conocimiento de la resolución de fecha 21 de junio de 2023 emitida dentro de los autos del incidente de suspensión derivado del juicio de amparo 1241/2023, promovido por el C. José Luis Pinto Verdugo, en la que el Juzgado Decimoquinto de Distrito en materia Administrativa, Civil y del Trabajo en el Estado de Jalisco, concedió la suspensión definitiva al quejoso, para efecto de que se le reincorporara en el cargo de Magistrado de Sala Regional en el lugar que, con plena libertad determinara la Junta de Gobierno y Administración.</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8. </w:t>
      </w:r>
      <w:r w:rsidRPr="00BE705D">
        <w:rPr>
          <w:rFonts w:ascii="Arial" w:eastAsia="Times New Roman" w:hAnsi="Arial" w:cs="Arial"/>
          <w:color w:val="2F2F2F"/>
          <w:sz w:val="18"/>
          <w:szCs w:val="18"/>
          <w:lang w:eastAsia="es-MX"/>
        </w:rPr>
        <w:t>Que en cumplimiento a la citada resolución, mediante Acuerdo G/JGA/24/2023 aprobado por la Junta de Gobierno y Administración en sesión de fecha 22 de junio de 2023, se adscribió al Magistrado José Luis Pinto Verdugo a la Primera Ponencia de la Sala Regional del Noroeste II.</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9. </w:t>
      </w:r>
      <w:r w:rsidRPr="00BE705D">
        <w:rPr>
          <w:rFonts w:ascii="Arial" w:eastAsia="Times New Roman" w:hAnsi="Arial" w:cs="Arial"/>
          <w:color w:val="2F2F2F"/>
          <w:sz w:val="18"/>
          <w:szCs w:val="18"/>
          <w:lang w:eastAsia="es-MX"/>
        </w:rPr>
        <w:t>Que en sesión de la presente fecha, la Junta de Gobierno y Administración tomó conocimiento del oficio 21452/2024, emitido por el Juzgado Decimoquinto de Distrito en materias Administrativa, Civil y del Trabajo en el Estado de Jalisco, en el que comunicó la resolución dictada en la revisión incidental 516/2023, en cuyos puntos resolutivos se revocó la interlocutoria detallada en el considerando Séptimo del presente Acuerdo, y en consecuencia se negó la suspensión definitiva al C. José Luis Pinto Verdugo.</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10. </w:t>
      </w:r>
      <w:r w:rsidRPr="00BE705D">
        <w:rPr>
          <w:rFonts w:ascii="Arial" w:eastAsia="Times New Roman" w:hAnsi="Arial" w:cs="Arial"/>
          <w:color w:val="2F2F2F"/>
          <w:sz w:val="18"/>
          <w:szCs w:val="18"/>
          <w:lang w:eastAsia="es-MX"/>
        </w:rPr>
        <w:t xml:space="preserve">Que atento a lo anterior, se generará una vacante definitiva en la Primera Ponencia de la Sala Regional del Noroeste II, la cual, en términos del artículo 48, segundo párrafo de la Ley Orgánica del </w:t>
      </w:r>
      <w:r w:rsidRPr="00BE705D">
        <w:rPr>
          <w:rFonts w:ascii="Arial" w:eastAsia="Times New Roman" w:hAnsi="Arial" w:cs="Arial"/>
          <w:color w:val="2F2F2F"/>
          <w:sz w:val="18"/>
          <w:szCs w:val="18"/>
          <w:lang w:eastAsia="es-MX"/>
        </w:rPr>
        <w:lastRenderedPageBreak/>
        <w:t>Tribunal Federal de Justicia Administrativa, deberá ser cubierta por los Magistrados Supernumerarios, o a falta de estos, por el Primer Secretario de Acuerdos del Magistrado ausente.</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11. </w:t>
      </w:r>
      <w:r w:rsidRPr="00BE705D">
        <w:rPr>
          <w:rFonts w:ascii="Arial" w:eastAsia="Times New Roman" w:hAnsi="Arial" w:cs="Arial"/>
          <w:color w:val="2F2F2F"/>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BE705D">
        <w:rPr>
          <w:rFonts w:ascii="Arial" w:eastAsia="Times New Roman" w:hAnsi="Arial" w:cs="Arial"/>
          <w:color w:val="000000"/>
          <w:sz w:val="18"/>
          <w:szCs w:val="18"/>
          <w:lang w:eastAsia="es-MX"/>
        </w:rPr>
        <w:t>Unidos Mexicanos; 1 párrafos segundo y quinto, 21, 23, fracciones II, XXIII y XXXIX, y 48 de la Ley Orgánica del Tribunal Federal de Justicia Administrativa; así como los diversos 28, 29 y 63 </w:t>
      </w:r>
      <w:r w:rsidRPr="00BE705D">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BE705D" w:rsidRPr="00BE705D" w:rsidRDefault="00BE705D" w:rsidP="00BE70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E705D">
        <w:rPr>
          <w:rFonts w:ascii="Times" w:eastAsia="Times New Roman" w:hAnsi="Times" w:cs="Times"/>
          <w:b/>
          <w:bCs/>
          <w:color w:val="2F2F2F"/>
          <w:sz w:val="18"/>
          <w:szCs w:val="18"/>
          <w:lang w:eastAsia="es-MX"/>
        </w:rPr>
        <w:t>ACUERDO</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Primero.</w:t>
      </w:r>
      <w:r w:rsidRPr="00BE705D">
        <w:rPr>
          <w:rFonts w:ascii="Arial" w:eastAsia="Times New Roman" w:hAnsi="Arial" w:cs="Arial"/>
          <w:color w:val="2F2F2F"/>
          <w:sz w:val="18"/>
          <w:szCs w:val="18"/>
          <w:lang w:eastAsia="es-MX"/>
        </w:rPr>
        <w:t> En atención a lo señalado en los Considerandos Noveno y Décimo del presente Acuerdo, la Junta de Gobierno y Administración aprueba que la Licenciada Guadalupe Quiñonez Armenta, Primera Secretaria de Acuerdos de la Primera Ponencia de la Sala Regional del Noroeste II, con sede en Ciudad Obregón, Estado de Sonora, supla la falta de Magistrado en la Ponencia de su adscripción, por lo que en su carácter de suplente adquiere las facultades inherentes y las funciones jurisdiccionales de un Magistrado de Sala Regional, al actuar por Ministerio de Ley.</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Segundo. </w:t>
      </w:r>
      <w:r w:rsidRPr="00BE705D">
        <w:rPr>
          <w:rFonts w:ascii="Arial" w:eastAsia="Times New Roman" w:hAnsi="Arial" w:cs="Arial"/>
          <w:color w:val="2F2F2F"/>
          <w:sz w:val="18"/>
          <w:szCs w:val="18"/>
          <w:lang w:eastAsia="es-MX"/>
        </w:rPr>
        <w:t>Dicha suplencia surtirá efectos a partir del 30 de mayo de 2024, y hasta en tanto la Junta de Gobierno y Administración determine otra situación.</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Tercero. </w:t>
      </w:r>
      <w:r w:rsidRPr="00BE705D">
        <w:rPr>
          <w:rFonts w:ascii="Arial" w:eastAsia="Times New Roman" w:hAnsi="Arial" w:cs="Arial"/>
          <w:color w:val="2F2F2F"/>
          <w:sz w:val="18"/>
          <w:szCs w:val="18"/>
          <w:lang w:eastAsia="es-MX"/>
        </w:rPr>
        <w:t>La Licenciada Guadalupe Quiñonez Armenta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Cuarto. </w:t>
      </w:r>
      <w:r w:rsidRPr="00BE705D">
        <w:rPr>
          <w:rFonts w:ascii="Arial" w:eastAsia="Times New Roman" w:hAnsi="Arial" w:cs="Arial"/>
          <w:color w:val="2F2F2F"/>
          <w:sz w:val="18"/>
          <w:szCs w:val="18"/>
          <w:lang w:eastAsia="es-MX"/>
        </w:rPr>
        <w:t>El C. José Luis Pinto Verdugo, deberá entregar la Ponencia de su actual adscripción, conforme a lo señalado en el artículo 141 del Reglamento Interior vigente de este Tribunal.</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Quinto. </w:t>
      </w:r>
      <w:r w:rsidRPr="00BE705D">
        <w:rPr>
          <w:rFonts w:ascii="Arial" w:eastAsia="Times New Roman" w:hAnsi="Arial" w:cs="Arial"/>
          <w:color w:val="2F2F2F"/>
          <w:sz w:val="18"/>
          <w:szCs w:val="18"/>
          <w:lang w:eastAsia="es-MX"/>
        </w:rPr>
        <w:t>Notifíquese a las personas servidoras publicas señaladas en el presente Acuerdo.</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b/>
          <w:bCs/>
          <w:color w:val="2F2F2F"/>
          <w:sz w:val="18"/>
          <w:szCs w:val="18"/>
          <w:lang w:eastAsia="es-MX"/>
        </w:rPr>
        <w:t>Sexto. </w:t>
      </w:r>
      <w:r w:rsidRPr="00BE705D">
        <w:rPr>
          <w:rFonts w:ascii="Arial" w:eastAsia="Times New Roman" w:hAnsi="Arial" w:cs="Arial"/>
          <w:color w:val="2F2F2F"/>
          <w:sz w:val="18"/>
          <w:szCs w:val="18"/>
          <w:lang w:eastAsia="es-MX"/>
        </w:rPr>
        <w:t>Publíquese el presente Acuerdo en el Diario Oficial de la Federación y en el Medio Electrónico Oficial de Difusión Normativa del Tribunal Federal de Justicia Administrativa.</w:t>
      </w:r>
    </w:p>
    <w:p w:rsidR="00BE705D" w:rsidRPr="00BE705D" w:rsidRDefault="00BE705D" w:rsidP="00BE705D">
      <w:pPr>
        <w:shd w:val="clear" w:color="auto" w:fill="FFFFFF"/>
        <w:spacing w:after="101" w:line="240" w:lineRule="auto"/>
        <w:ind w:firstLine="288"/>
        <w:jc w:val="both"/>
        <w:rPr>
          <w:rFonts w:ascii="Arial" w:eastAsia="Times New Roman" w:hAnsi="Arial" w:cs="Arial"/>
          <w:color w:val="2F2F2F"/>
          <w:sz w:val="18"/>
          <w:szCs w:val="18"/>
          <w:lang w:eastAsia="es-MX"/>
        </w:rPr>
      </w:pPr>
      <w:r w:rsidRPr="00BE705D">
        <w:rPr>
          <w:rFonts w:ascii="Arial" w:eastAsia="Times New Roman" w:hAnsi="Arial" w:cs="Arial"/>
          <w:color w:val="2F2F2F"/>
          <w:sz w:val="18"/>
          <w:szCs w:val="18"/>
          <w:lang w:eastAsia="es-MX"/>
        </w:rPr>
        <w:t>Dictado en sesión ordinaria presencial de fecha 30 de mayo de 2024, por unanimidad de tres votos a favor.- Firman el Magistrado</w:t>
      </w:r>
      <w:r w:rsidRPr="00BE705D">
        <w:rPr>
          <w:rFonts w:ascii="Arial" w:eastAsia="Times New Roman" w:hAnsi="Arial" w:cs="Arial"/>
          <w:b/>
          <w:bCs/>
          <w:color w:val="2F2F2F"/>
          <w:sz w:val="18"/>
          <w:szCs w:val="18"/>
          <w:lang w:eastAsia="es-MX"/>
        </w:rPr>
        <w:t xml:space="preserve"> Guillermo Valls </w:t>
      </w:r>
      <w:proofErr w:type="spellStart"/>
      <w:r w:rsidRPr="00BE705D">
        <w:rPr>
          <w:rFonts w:ascii="Arial" w:eastAsia="Times New Roman" w:hAnsi="Arial" w:cs="Arial"/>
          <w:b/>
          <w:bCs/>
          <w:color w:val="2F2F2F"/>
          <w:sz w:val="18"/>
          <w:szCs w:val="18"/>
          <w:lang w:eastAsia="es-MX"/>
        </w:rPr>
        <w:t>Esponda</w:t>
      </w:r>
      <w:proofErr w:type="spellEnd"/>
      <w:r w:rsidRPr="00BE705D">
        <w:rPr>
          <w:rFonts w:ascii="Arial" w:eastAsia="Times New Roman" w:hAnsi="Arial" w:cs="Arial"/>
          <w:color w:val="2F2F2F"/>
          <w:sz w:val="18"/>
          <w:szCs w:val="18"/>
          <w:lang w:eastAsia="es-MX"/>
        </w:rPr>
        <w:t>, Presidente de la Junta de Gobierno y Administración del Tribunal Federal de Justicia Administrativa, y la Licenciada</w:t>
      </w:r>
      <w:r w:rsidRPr="00BE705D">
        <w:rPr>
          <w:rFonts w:ascii="Arial" w:eastAsia="Times New Roman" w:hAnsi="Arial" w:cs="Arial"/>
          <w:b/>
          <w:bCs/>
          <w:color w:val="2F2F2F"/>
          <w:sz w:val="18"/>
          <w:szCs w:val="18"/>
          <w:lang w:eastAsia="es-MX"/>
        </w:rPr>
        <w:t> Abigail Calderón Rojas</w:t>
      </w:r>
      <w:r w:rsidRPr="00BE705D">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los artículos 54, fracción XVI y 61, fracciones II, III y IV, de la Ley Orgánica del Tribunal Federal de Justicia Administrativa; así como los artículos 11, fracción I, 26, fracción IX, 99, fracciones VIII y XI, 138, fracción XII, y 139 del Reglamento Interior del Tribunal Federal de Justicia Administrativa vigente.- Rúbricas.</w:t>
      </w:r>
    </w:p>
    <w:p w:rsidR="00BE705D" w:rsidRDefault="00BE705D" w:rsidP="00BE705D">
      <w:pPr>
        <w:jc w:val="both"/>
      </w:pPr>
    </w:p>
    <w:sectPr w:rsidR="00BE70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5D"/>
    <w:rsid w:val="002E39BE"/>
    <w:rsid w:val="00BE70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75394">
      <w:bodyDiv w:val="1"/>
      <w:marLeft w:val="0"/>
      <w:marRight w:val="0"/>
      <w:marTop w:val="0"/>
      <w:marBottom w:val="0"/>
      <w:divBdr>
        <w:top w:val="none" w:sz="0" w:space="0" w:color="auto"/>
        <w:left w:val="none" w:sz="0" w:space="0" w:color="auto"/>
        <w:bottom w:val="none" w:sz="0" w:space="0" w:color="auto"/>
        <w:right w:val="none" w:sz="0" w:space="0" w:color="auto"/>
      </w:divBdr>
      <w:divsChild>
        <w:div w:id="1254431960">
          <w:marLeft w:val="0"/>
          <w:marRight w:val="0"/>
          <w:marTop w:val="101"/>
          <w:marBottom w:val="101"/>
          <w:divBdr>
            <w:top w:val="none" w:sz="0" w:space="0" w:color="auto"/>
            <w:left w:val="none" w:sz="0" w:space="0" w:color="auto"/>
            <w:bottom w:val="none" w:sz="0" w:space="0" w:color="auto"/>
            <w:right w:val="none" w:sz="0" w:space="0" w:color="auto"/>
          </w:divBdr>
        </w:div>
        <w:div w:id="498471112">
          <w:marLeft w:val="0"/>
          <w:marRight w:val="0"/>
          <w:marTop w:val="0"/>
          <w:marBottom w:val="101"/>
          <w:divBdr>
            <w:top w:val="none" w:sz="0" w:space="0" w:color="auto"/>
            <w:left w:val="none" w:sz="0" w:space="0" w:color="auto"/>
            <w:bottom w:val="none" w:sz="0" w:space="0" w:color="auto"/>
            <w:right w:val="none" w:sz="0" w:space="0" w:color="auto"/>
          </w:divBdr>
        </w:div>
        <w:div w:id="1441292970">
          <w:marLeft w:val="0"/>
          <w:marRight w:val="0"/>
          <w:marTop w:val="101"/>
          <w:marBottom w:val="101"/>
          <w:divBdr>
            <w:top w:val="none" w:sz="0" w:space="0" w:color="auto"/>
            <w:left w:val="none" w:sz="0" w:space="0" w:color="auto"/>
            <w:bottom w:val="none" w:sz="0" w:space="0" w:color="auto"/>
            <w:right w:val="none" w:sz="0" w:space="0" w:color="auto"/>
          </w:divBdr>
        </w:div>
        <w:div w:id="952369883">
          <w:marLeft w:val="0"/>
          <w:marRight w:val="0"/>
          <w:marTop w:val="0"/>
          <w:marBottom w:val="101"/>
          <w:divBdr>
            <w:top w:val="none" w:sz="0" w:space="0" w:color="auto"/>
            <w:left w:val="none" w:sz="0" w:space="0" w:color="auto"/>
            <w:bottom w:val="none" w:sz="0" w:space="0" w:color="auto"/>
            <w:right w:val="none" w:sz="0" w:space="0" w:color="auto"/>
          </w:divBdr>
        </w:div>
        <w:div w:id="560363929">
          <w:marLeft w:val="0"/>
          <w:marRight w:val="0"/>
          <w:marTop w:val="0"/>
          <w:marBottom w:val="101"/>
          <w:divBdr>
            <w:top w:val="none" w:sz="0" w:space="0" w:color="auto"/>
            <w:left w:val="none" w:sz="0" w:space="0" w:color="auto"/>
            <w:bottom w:val="none" w:sz="0" w:space="0" w:color="auto"/>
            <w:right w:val="none" w:sz="0" w:space="0" w:color="auto"/>
          </w:divBdr>
        </w:div>
        <w:div w:id="435639026">
          <w:marLeft w:val="0"/>
          <w:marRight w:val="0"/>
          <w:marTop w:val="0"/>
          <w:marBottom w:val="101"/>
          <w:divBdr>
            <w:top w:val="none" w:sz="0" w:space="0" w:color="auto"/>
            <w:left w:val="none" w:sz="0" w:space="0" w:color="auto"/>
            <w:bottom w:val="none" w:sz="0" w:space="0" w:color="auto"/>
            <w:right w:val="none" w:sz="0" w:space="0" w:color="auto"/>
          </w:divBdr>
        </w:div>
        <w:div w:id="489256239">
          <w:marLeft w:val="0"/>
          <w:marRight w:val="0"/>
          <w:marTop w:val="0"/>
          <w:marBottom w:val="101"/>
          <w:divBdr>
            <w:top w:val="none" w:sz="0" w:space="0" w:color="auto"/>
            <w:left w:val="none" w:sz="0" w:space="0" w:color="auto"/>
            <w:bottom w:val="none" w:sz="0" w:space="0" w:color="auto"/>
            <w:right w:val="none" w:sz="0" w:space="0" w:color="auto"/>
          </w:divBdr>
        </w:div>
        <w:div w:id="788551856">
          <w:marLeft w:val="0"/>
          <w:marRight w:val="0"/>
          <w:marTop w:val="0"/>
          <w:marBottom w:val="101"/>
          <w:divBdr>
            <w:top w:val="none" w:sz="0" w:space="0" w:color="auto"/>
            <w:left w:val="none" w:sz="0" w:space="0" w:color="auto"/>
            <w:bottom w:val="none" w:sz="0" w:space="0" w:color="auto"/>
            <w:right w:val="none" w:sz="0" w:space="0" w:color="auto"/>
          </w:divBdr>
        </w:div>
        <w:div w:id="79714220">
          <w:marLeft w:val="0"/>
          <w:marRight w:val="0"/>
          <w:marTop w:val="0"/>
          <w:marBottom w:val="101"/>
          <w:divBdr>
            <w:top w:val="none" w:sz="0" w:space="0" w:color="auto"/>
            <w:left w:val="none" w:sz="0" w:space="0" w:color="auto"/>
            <w:bottom w:val="none" w:sz="0" w:space="0" w:color="auto"/>
            <w:right w:val="none" w:sz="0" w:space="0" w:color="auto"/>
          </w:divBdr>
        </w:div>
        <w:div w:id="268777839">
          <w:marLeft w:val="0"/>
          <w:marRight w:val="0"/>
          <w:marTop w:val="0"/>
          <w:marBottom w:val="101"/>
          <w:divBdr>
            <w:top w:val="none" w:sz="0" w:space="0" w:color="auto"/>
            <w:left w:val="none" w:sz="0" w:space="0" w:color="auto"/>
            <w:bottom w:val="none" w:sz="0" w:space="0" w:color="auto"/>
            <w:right w:val="none" w:sz="0" w:space="0" w:color="auto"/>
          </w:divBdr>
        </w:div>
        <w:div w:id="1640764725">
          <w:marLeft w:val="0"/>
          <w:marRight w:val="0"/>
          <w:marTop w:val="0"/>
          <w:marBottom w:val="101"/>
          <w:divBdr>
            <w:top w:val="none" w:sz="0" w:space="0" w:color="auto"/>
            <w:left w:val="none" w:sz="0" w:space="0" w:color="auto"/>
            <w:bottom w:val="none" w:sz="0" w:space="0" w:color="auto"/>
            <w:right w:val="none" w:sz="0" w:space="0" w:color="auto"/>
          </w:divBdr>
        </w:div>
        <w:div w:id="390233095">
          <w:marLeft w:val="0"/>
          <w:marRight w:val="0"/>
          <w:marTop w:val="0"/>
          <w:marBottom w:val="101"/>
          <w:divBdr>
            <w:top w:val="none" w:sz="0" w:space="0" w:color="auto"/>
            <w:left w:val="none" w:sz="0" w:space="0" w:color="auto"/>
            <w:bottom w:val="none" w:sz="0" w:space="0" w:color="auto"/>
            <w:right w:val="none" w:sz="0" w:space="0" w:color="auto"/>
          </w:divBdr>
        </w:div>
        <w:div w:id="849953361">
          <w:marLeft w:val="0"/>
          <w:marRight w:val="0"/>
          <w:marTop w:val="0"/>
          <w:marBottom w:val="101"/>
          <w:divBdr>
            <w:top w:val="none" w:sz="0" w:space="0" w:color="auto"/>
            <w:left w:val="none" w:sz="0" w:space="0" w:color="auto"/>
            <w:bottom w:val="none" w:sz="0" w:space="0" w:color="auto"/>
            <w:right w:val="none" w:sz="0" w:space="0" w:color="auto"/>
          </w:divBdr>
        </w:div>
        <w:div w:id="1183977930">
          <w:marLeft w:val="0"/>
          <w:marRight w:val="0"/>
          <w:marTop w:val="0"/>
          <w:marBottom w:val="101"/>
          <w:divBdr>
            <w:top w:val="none" w:sz="0" w:space="0" w:color="auto"/>
            <w:left w:val="none" w:sz="0" w:space="0" w:color="auto"/>
            <w:bottom w:val="none" w:sz="0" w:space="0" w:color="auto"/>
            <w:right w:val="none" w:sz="0" w:space="0" w:color="auto"/>
          </w:divBdr>
        </w:div>
        <w:div w:id="264390055">
          <w:marLeft w:val="0"/>
          <w:marRight w:val="0"/>
          <w:marTop w:val="0"/>
          <w:marBottom w:val="101"/>
          <w:divBdr>
            <w:top w:val="none" w:sz="0" w:space="0" w:color="auto"/>
            <w:left w:val="none" w:sz="0" w:space="0" w:color="auto"/>
            <w:bottom w:val="none" w:sz="0" w:space="0" w:color="auto"/>
            <w:right w:val="none" w:sz="0" w:space="0" w:color="auto"/>
          </w:divBdr>
        </w:div>
        <w:div w:id="1076392568">
          <w:marLeft w:val="0"/>
          <w:marRight w:val="0"/>
          <w:marTop w:val="101"/>
          <w:marBottom w:val="101"/>
          <w:divBdr>
            <w:top w:val="none" w:sz="0" w:space="0" w:color="auto"/>
            <w:left w:val="none" w:sz="0" w:space="0" w:color="auto"/>
            <w:bottom w:val="none" w:sz="0" w:space="0" w:color="auto"/>
            <w:right w:val="none" w:sz="0" w:space="0" w:color="auto"/>
          </w:divBdr>
        </w:div>
        <w:div w:id="135875134">
          <w:marLeft w:val="0"/>
          <w:marRight w:val="0"/>
          <w:marTop w:val="0"/>
          <w:marBottom w:val="101"/>
          <w:divBdr>
            <w:top w:val="none" w:sz="0" w:space="0" w:color="auto"/>
            <w:left w:val="none" w:sz="0" w:space="0" w:color="auto"/>
            <w:bottom w:val="none" w:sz="0" w:space="0" w:color="auto"/>
            <w:right w:val="none" w:sz="0" w:space="0" w:color="auto"/>
          </w:divBdr>
        </w:div>
        <w:div w:id="1151865408">
          <w:marLeft w:val="0"/>
          <w:marRight w:val="0"/>
          <w:marTop w:val="0"/>
          <w:marBottom w:val="101"/>
          <w:divBdr>
            <w:top w:val="none" w:sz="0" w:space="0" w:color="auto"/>
            <w:left w:val="none" w:sz="0" w:space="0" w:color="auto"/>
            <w:bottom w:val="none" w:sz="0" w:space="0" w:color="auto"/>
            <w:right w:val="none" w:sz="0" w:space="0" w:color="auto"/>
          </w:divBdr>
        </w:div>
        <w:div w:id="727847903">
          <w:marLeft w:val="0"/>
          <w:marRight w:val="0"/>
          <w:marTop w:val="0"/>
          <w:marBottom w:val="101"/>
          <w:divBdr>
            <w:top w:val="none" w:sz="0" w:space="0" w:color="auto"/>
            <w:left w:val="none" w:sz="0" w:space="0" w:color="auto"/>
            <w:bottom w:val="none" w:sz="0" w:space="0" w:color="auto"/>
            <w:right w:val="none" w:sz="0" w:space="0" w:color="auto"/>
          </w:divBdr>
        </w:div>
        <w:div w:id="1426926981">
          <w:marLeft w:val="0"/>
          <w:marRight w:val="0"/>
          <w:marTop w:val="0"/>
          <w:marBottom w:val="101"/>
          <w:divBdr>
            <w:top w:val="none" w:sz="0" w:space="0" w:color="auto"/>
            <w:left w:val="none" w:sz="0" w:space="0" w:color="auto"/>
            <w:bottom w:val="none" w:sz="0" w:space="0" w:color="auto"/>
            <w:right w:val="none" w:sz="0" w:space="0" w:color="auto"/>
          </w:divBdr>
        </w:div>
        <w:div w:id="1398087822">
          <w:marLeft w:val="0"/>
          <w:marRight w:val="0"/>
          <w:marTop w:val="0"/>
          <w:marBottom w:val="101"/>
          <w:divBdr>
            <w:top w:val="none" w:sz="0" w:space="0" w:color="auto"/>
            <w:left w:val="none" w:sz="0" w:space="0" w:color="auto"/>
            <w:bottom w:val="none" w:sz="0" w:space="0" w:color="auto"/>
            <w:right w:val="none" w:sz="0" w:space="0" w:color="auto"/>
          </w:divBdr>
        </w:div>
        <w:div w:id="1761175859">
          <w:marLeft w:val="0"/>
          <w:marRight w:val="0"/>
          <w:marTop w:val="0"/>
          <w:marBottom w:val="101"/>
          <w:divBdr>
            <w:top w:val="none" w:sz="0" w:space="0" w:color="auto"/>
            <w:left w:val="none" w:sz="0" w:space="0" w:color="auto"/>
            <w:bottom w:val="none" w:sz="0" w:space="0" w:color="auto"/>
            <w:right w:val="none" w:sz="0" w:space="0" w:color="auto"/>
          </w:divBdr>
        </w:div>
        <w:div w:id="20808614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1209</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2024-06-06T15:15:00Z</dcterms:created>
  <dcterms:modified xsi:type="dcterms:W3CDTF">2024-06-06T15:21:00Z</dcterms:modified>
</cp:coreProperties>
</file>