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adicionan diversas disposiciones de la Ley de Fiscalización y Rendición de Cuentas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EL CONGRESO GENERAL DE LOS ESTADOS UNIDOS MEXICANOS, D E C R E T A :</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REFORMAN Y ADICIONAN DIVERSAS DISPOSICIONES DE LA LEY DE FISCALIZACIÓN Y RENDICIÓN DE CUENTAS DE LA FEDERACIÓN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reforman la fracción III del artículo 4; la fracción XI del artículo 17; el segundo párrafo del artículo 60 y se adicionan los artículos 17 Bis; 17 Ter; un tercer párrafo al artículo 61 y, un segundo párrafo a la fracción VIII del artículo 89 de la Ley de Fiscalización y Rendición de Cuentas de la Federación, para quedar como sigue: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Para efectos de esta Ley, se entenderá por:</w:t>
      </w:r>
    </w:p>
    <w:p w:rsidR="00000000" w:rsidDel="00000000" w:rsidP="00000000" w:rsidRDefault="00000000" w:rsidRPr="00000000" w14:paraId="0000000C">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0D">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Autonomía de gestión: la facultad de la Auditoría Superior de la Federación para decidir sobre su organización interna, estructura, funcionamiento y resoluciones, así como la administración de sus recursos humanos, materiales y financieros que utilice para la ejecución de sus atribuciones, en los términos contenidos en la Constitución y esta Ley;</w:t>
      </w:r>
    </w:p>
    <w:p w:rsidR="00000000" w:rsidDel="00000000" w:rsidP="00000000" w:rsidRDefault="00000000" w:rsidRPr="00000000" w14:paraId="0000000E">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XXXIII.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17. ...</w:t>
      </w:r>
    </w:p>
    <w:p w:rsidR="00000000" w:rsidDel="00000000" w:rsidP="00000000" w:rsidRDefault="00000000" w:rsidRPr="00000000" w14:paraId="00000011">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X. ...</w:t>
      </w:r>
    </w:p>
    <w:p w:rsidR="00000000" w:rsidDel="00000000" w:rsidP="00000000" w:rsidRDefault="00000000" w:rsidRPr="00000000" w14:paraId="00000012">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Solicitar, obtener y tener acceso a toda la información y documentación, a través de medios físicos o electrónicos mediante herramientas tecnológicas, que a juicio de la Auditoría Superior de la Federación sea necesaria para llevar a cabo la auditoría correspondiente, sin importar el carácter de confidencial o reservado de la misma, que obren en poder de:</w:t>
      </w:r>
    </w:p>
    <w:p w:rsidR="00000000" w:rsidDel="00000000" w:rsidP="00000000" w:rsidRDefault="00000000" w:rsidRPr="00000000" w14:paraId="00000013">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f) ...</w:t>
      </w:r>
    </w:p>
    <w:p w:rsidR="00000000" w:rsidDel="00000000" w:rsidP="00000000" w:rsidRDefault="00000000" w:rsidRPr="00000000" w14:paraId="00000014">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XXVIII.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Bis. </w:t>
      </w:r>
      <w:r w:rsidDel="00000000" w:rsidR="00000000" w:rsidRPr="00000000">
        <w:rPr>
          <w:rFonts w:ascii="Verdana" w:cs="Verdana" w:eastAsia="Verdana" w:hAnsi="Verdana"/>
          <w:color w:val="2f2f2f"/>
          <w:sz w:val="20"/>
          <w:szCs w:val="20"/>
          <w:rtl w:val="0"/>
        </w:rPr>
        <w:t xml:space="preserve">Los procesos de fiscalización a que hace referencia esta Ley, podrán ser realizados por la Auditoría Superior de la Federación de manera presencial o por medios electrónicos a través de las herramientas tecnológicas y de conformidad con sus Reglas de carácter general.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Auditoría Superior de la Federación contará con un Buzón Digital, a través del cual, de manera enunciativa más no limitativa realizará la notificación de solicitudes de información preliminar, órdenes de auditoría, e informes individuales que contengan acciones, previsiones o recomendaciones, así como, en su caso, cualquier acto que se emita, los cuales constarán en documentos digitales.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las entidades fiscalizadas presentarán solicitudes o darán atención a requerimientos de información de la Auditoría Superior de la Federación a través de documentos o archivos digitales certificados enviados a través del Buzón Digital o celebrarán los actos que se requieran dentro del proceso de fiscalización superior.</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procesos de fiscalización que se realicen a través de medios electrónicos mediante las herramientas tecnológicas constarán en expedientes electrónicos o digitales.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Ter. </w:t>
      </w:r>
      <w:r w:rsidDel="00000000" w:rsidR="00000000" w:rsidRPr="00000000">
        <w:rPr>
          <w:rFonts w:ascii="Verdana" w:cs="Verdana" w:eastAsia="Verdana" w:hAnsi="Verdana"/>
          <w:color w:val="2f2f2f"/>
          <w:sz w:val="20"/>
          <w:szCs w:val="20"/>
          <w:rtl w:val="0"/>
        </w:rPr>
        <w:t xml:space="preserve">Las disposiciones relativas a la auditoría presencial le serán aplicables en lo conducente a la auditoría realizada a través de medios digitales o electrónicos, sin perjuicio de que de manera particular se esté a lo siguiente:</w:t>
      </w:r>
    </w:p>
    <w:p w:rsidR="00000000" w:rsidDel="00000000" w:rsidP="00000000" w:rsidRDefault="00000000" w:rsidRPr="00000000" w14:paraId="0000001E">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Previo al inicio de la auditoría por medios digitales la Auditoría Superior de la Federación requerirá por escrito a la entidad fiscalizada, el nombre, cargo, registro federal de contribuyentes y correo o dirección electrónica del servidor público que fungirá como enlace o coordinador para la atención de la auditoría;</w:t>
      </w:r>
    </w:p>
    <w:p w:rsidR="00000000" w:rsidDel="00000000" w:rsidP="00000000" w:rsidRDefault="00000000" w:rsidRPr="00000000" w14:paraId="0000001F">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Una vez recibida la información a que hace referencia la fracción anterior, la Auditoría Superior de la Federación enviará por única ocasión, al correo o dirección electrónica designada, un aviso de confirmación que servirá para corroborar la autenticidad y correcto funcionamiento de éste;</w:t>
      </w:r>
    </w:p>
    <w:p w:rsidR="00000000" w:rsidDel="00000000" w:rsidP="00000000" w:rsidRDefault="00000000" w:rsidRPr="00000000" w14:paraId="00000020">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Los servidores públicos de la entidad fiscalizada que se encuentren autorizados para tal efecto harán uso del Buzón Digital para el desahogo de la auditoría por medios electrónicos o digitales, y deberán consultarlo a más tardar dentro de los dos días hábiles siguientes a aquél en que reciban un aviso electrónico enviado por la Auditoría Superior de la Federación;</w:t>
      </w:r>
    </w:p>
    <w:p w:rsidR="00000000" w:rsidDel="00000000" w:rsidP="00000000" w:rsidRDefault="00000000" w:rsidRPr="00000000" w14:paraId="00000021">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Las notificaciones digitales, se tendrán por realizadas cuando se genere el acuse de recibo digital de notificación del acto de autoridad de que se trate, en el que se hará constar el sello digital de tiempo emitido de conformidad con las disposiciones jurídicas aplicables, que refleja la fecha y hora en que el servidor público de la entidad fiscalizada se autenticó para abrir el documento a notificar o bien, se tuvo por notificado;</w:t>
      </w:r>
    </w:p>
    <w:p w:rsidR="00000000" w:rsidDel="00000000" w:rsidP="00000000" w:rsidRDefault="00000000" w:rsidRPr="00000000" w14:paraId="00000022">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Ante la falta de consulta de la notificación digital, ésta se tendrá por realizada al tercer día hábil siguiente, contado a partir del día en que fue enviado el referido aviso. Será responsabilidad de las entidades fiscalizadas mantener vigente la cuenta de correo electrónico señalada para efectos de notificación de los actos derivados de la auditoría por medios electrónicos o digitales;</w:t>
      </w:r>
    </w:p>
    <w:p w:rsidR="00000000" w:rsidDel="00000000" w:rsidP="00000000" w:rsidRDefault="00000000" w:rsidRPr="00000000" w14:paraId="00000023">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En los documentos electrónicos o digitales, la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 y</w:t>
      </w:r>
    </w:p>
    <w:p w:rsidR="00000000" w:rsidDel="00000000" w:rsidP="00000000" w:rsidRDefault="00000000" w:rsidRPr="00000000" w14:paraId="00000024">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Cuando la Auditoría Superior de la Federación por caso fortuito o fuerza mayor, se vea impedida para continuar con la auditoría por medios digitales o electrónicos, ésta se suspenderá hasta que la causa desaparezca, lo cual se deberá publicar en la página de Internet de la Auditoría Superior de la Federación acompañada de la fundamentación y motivación correspondiente.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la auditoría pueda ser continuada por la vía presencial, ésta se cambiará de modalidad para cumplir con el mandato constitucional en tiempo y forma. En el mismo sentido, el cambio de una auditoría presencial a una digital podrá realizarse en cualquier tiempo fundando y motivando debidamente la determinación.</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60. ...</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escrito de denuncia podrá presentarse de forma presencial o a través de medios electrónicos y deberá contar, como mínimo, con los siguientes elementos:</w:t>
      </w:r>
    </w:p>
    <w:p w:rsidR="00000000" w:rsidDel="00000000" w:rsidP="00000000" w:rsidRDefault="00000000" w:rsidRPr="00000000" w14:paraId="00000028">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61. ...</w:t>
      </w:r>
    </w:p>
    <w:p w:rsidR="00000000" w:rsidDel="00000000" w:rsidP="00000000" w:rsidRDefault="00000000" w:rsidRPr="00000000" w14:paraId="0000002C">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Auditoría Superior de la Federación informará al denunciante la resolución que tome sobre la procedencia de iniciar la revisión correspondiente.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las denuncias a través de medios electrónicos, la respuesta se realizará por el mismo medio de conformidad con las disposiciones aplicables.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89. ...</w:t>
      </w:r>
    </w:p>
    <w:p w:rsidR="00000000" w:rsidDel="00000000" w:rsidP="00000000" w:rsidRDefault="00000000" w:rsidRPr="00000000" w14:paraId="00000030">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VII. ...</w:t>
      </w:r>
    </w:p>
    <w:p w:rsidR="00000000" w:rsidDel="00000000" w:rsidP="00000000" w:rsidRDefault="00000000" w:rsidRPr="00000000" w14:paraId="00000031">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Expedir aquellas normas y disposiciones que esta Ley le confiere a la Auditoría Superior de la Federación; así como establecer los elementos que posibiliten la adecuada rendición de cuentas y la práctica idónea de las auditorías, tomando en consideración las propuestas que formulen las entidades fiscalizadas y las características propias de su operación.</w:t>
      </w:r>
    </w:p>
    <w:p w:rsidR="00000000" w:rsidDel="00000000" w:rsidP="00000000" w:rsidRDefault="00000000" w:rsidRPr="00000000" w14:paraId="00000032">
      <w:pPr>
        <w:shd w:fill="ffffff" w:val="clear"/>
        <w:spacing w:after="100" w:lineRule="auto"/>
        <w:ind w:firstLine="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expedir las Reglas de carácter general aplicables a los procesos de fiscalización superior por medios electrónicos, así como la normatividad relativa a los protocolos de seguridad que para tal efecto se implementen. La información y documentación así obtenida, tendrá para todos los efectos legales, pleno valor probatorio.</w:t>
      </w:r>
    </w:p>
    <w:p w:rsidR="00000000" w:rsidDel="00000000" w:rsidP="00000000" w:rsidRDefault="00000000" w:rsidRPr="00000000" w14:paraId="00000033">
      <w:pPr>
        <w:shd w:fill="ffffff" w:val="clear"/>
        <w:spacing w:after="100" w:lineRule="auto"/>
        <w:ind w:firstLine="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XXXIII. ...</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Decreto entrará en vigor el día siguiente al de su publicación en el Diario Oficial de la Federación.</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Auditoría Superior de la Federación realizará y adecuará las disposiciones reglamentarias correspondientes, a fin de poner en funcionamiento la herramienta electrónica a que hace referencia el artículo 17 Bis de la presente Ley, dentro del plazo de ciento ochenta días naturales, contados a partir de la entrada en vigor del presente Decreto.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Las auditorías presenciales iniciadas antes de la entrada en vigor de la presente reforma se concluirán bajo la misma modalidad.</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Congreso de la Unión homologará y armonizará la Ley Orgánica del Congreso General de los Estados Unidos Mexicanos y la Cámara de Diputados hará lo conducente respecto al Reglamento de la Cámara de Diputados, a fin de permitir la recepción, por medios electrónicos de las denuncias a que se refiere la presente Ley, dentro del plazo de ciento ochenta días naturales, contados a partir de la entrada en vigor del presente Decreto.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10 de diciembre de 2020.- Sen. </w:t>
      </w:r>
      <w:r w:rsidDel="00000000" w:rsidR="00000000" w:rsidRPr="00000000">
        <w:rPr>
          <w:rFonts w:ascii="Verdana" w:cs="Verdana" w:eastAsia="Verdana" w:hAnsi="Verdana"/>
          <w:b w:val="1"/>
          <w:color w:val="2f2f2f"/>
          <w:sz w:val="20"/>
          <w:szCs w:val="20"/>
          <w:rtl w:val="0"/>
        </w:rPr>
        <w:t xml:space="preserve">Eduardo Ramírez Aguilar</w:t>
      </w:r>
      <w:r w:rsidDel="00000000" w:rsidR="00000000" w:rsidRPr="00000000">
        <w:rPr>
          <w:rFonts w:ascii="Verdana" w:cs="Verdana" w:eastAsia="Verdana" w:hAnsi="Verdana"/>
          <w:color w:val="2f2f2f"/>
          <w:sz w:val="20"/>
          <w:szCs w:val="20"/>
          <w:rtl w:val="0"/>
        </w:rPr>
        <w:t xml:space="preserve">, Presidente.- Dip. </w:t>
      </w:r>
      <w:r w:rsidDel="00000000" w:rsidR="00000000" w:rsidRPr="00000000">
        <w:rPr>
          <w:rFonts w:ascii="Verdana" w:cs="Verdana" w:eastAsia="Verdana" w:hAnsi="Verdana"/>
          <w:b w:val="1"/>
          <w:color w:val="2f2f2f"/>
          <w:sz w:val="20"/>
          <w:szCs w:val="20"/>
          <w:rtl w:val="0"/>
        </w:rPr>
        <w:t xml:space="preserve">Dulce María Sauri Riancho</w:t>
      </w:r>
      <w:r w:rsidDel="00000000" w:rsidR="00000000" w:rsidRPr="00000000">
        <w:rPr>
          <w:rFonts w:ascii="Verdana" w:cs="Verdana" w:eastAsia="Verdana" w:hAnsi="Verdana"/>
          <w:color w:val="2f2f2f"/>
          <w:sz w:val="20"/>
          <w:szCs w:val="20"/>
          <w:rtl w:val="0"/>
        </w:rPr>
        <w:t xml:space="preserve">, Presidenta.- Sen. </w:t>
      </w:r>
      <w:r w:rsidDel="00000000" w:rsidR="00000000" w:rsidRPr="00000000">
        <w:rPr>
          <w:rFonts w:ascii="Verdana" w:cs="Verdana" w:eastAsia="Verdana" w:hAnsi="Verdana"/>
          <w:b w:val="1"/>
          <w:color w:val="2f2f2f"/>
          <w:sz w:val="20"/>
          <w:szCs w:val="20"/>
          <w:rtl w:val="0"/>
        </w:rPr>
        <w:t xml:space="preserve">Lilia Margarita Valdez Martínez</w:t>
      </w:r>
      <w:r w:rsidDel="00000000" w:rsidR="00000000" w:rsidRPr="00000000">
        <w:rPr>
          <w:rFonts w:ascii="Verdana" w:cs="Verdana" w:eastAsia="Verdana" w:hAnsi="Verdana"/>
          <w:color w:val="2f2f2f"/>
          <w:sz w:val="20"/>
          <w:szCs w:val="20"/>
          <w:rtl w:val="0"/>
        </w:rPr>
        <w:t xml:space="preserve">, Secretaria.- Dip. </w:t>
      </w:r>
      <w:r w:rsidDel="00000000" w:rsidR="00000000" w:rsidRPr="00000000">
        <w:rPr>
          <w:rFonts w:ascii="Verdana" w:cs="Verdana" w:eastAsia="Verdana" w:hAnsi="Verdana"/>
          <w:b w:val="1"/>
          <w:color w:val="2f2f2f"/>
          <w:sz w:val="20"/>
          <w:szCs w:val="20"/>
          <w:rtl w:val="0"/>
        </w:rPr>
        <w:t xml:space="preserve">Martha Hortencia Garay Cadena</w:t>
      </w:r>
      <w:r w:rsidDel="00000000" w:rsidR="00000000" w:rsidRPr="00000000">
        <w:rPr>
          <w:rFonts w:ascii="Verdana" w:cs="Verdana" w:eastAsia="Verdana" w:hAnsi="Verdana"/>
          <w:color w:val="2f2f2f"/>
          <w:sz w:val="20"/>
          <w:szCs w:val="20"/>
          <w:rtl w:val="0"/>
        </w:rPr>
        <w:t xml:space="preserve">, Secretaria.-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6 de enero de 2021.-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Dra.</w:t>
      </w:r>
      <w:r w:rsidDel="00000000" w:rsidR="00000000" w:rsidRPr="00000000">
        <w:rPr>
          <w:rFonts w:ascii="Verdana" w:cs="Verdana" w:eastAsia="Verdana" w:hAnsi="Verdana"/>
          <w:b w:val="1"/>
          <w:color w:val="2f2f2f"/>
          <w:sz w:val="20"/>
          <w:szCs w:val="20"/>
          <w:rtl w:val="0"/>
        </w:rPr>
        <w:t xml:space="preserve"> Olga María del Carmen Sánchez Cordero Dávila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