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 w:cs="Verdana Regular"/>
          <w:b/>
          <w:bCs/>
          <w:color w:val="5B9BD5" w:themeColor="accent1"/>
          <w:sz w:val="20"/>
          <w:szCs w:val="20"/>
          <w14:textFill>
            <w14:solidFill>
              <w14:schemeClr w14:val="accent1"/>
            </w14:solidFill>
          </w14:textFill>
        </w:rPr>
      </w:pPr>
      <w:bookmarkStart w:id="0" w:name="_GoBack"/>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que establece las mercancías cuya importación y exportación está sujeta a regulación por parte de la Secretaría de la Defensa Nacional</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 de noviembre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Secretaría de Economía.-</w:t>
      </w:r>
      <w:r>
        <w:rPr>
          <w:rFonts w:hint="default" w:ascii="Verdana Regular" w:hAnsi="Verdana Regular" w:cs="Verdana Regular"/>
          <w:i w:val="0"/>
          <w:iCs w:val="0"/>
          <w:caps w:val="0"/>
          <w:color w:val="2F2F2F"/>
          <w:spacing w:val="0"/>
          <w:sz w:val="20"/>
          <w:szCs w:val="20"/>
          <w:shd w:val="clear" w:fill="FFFFFF"/>
        </w:rPr>
        <w:t> Secretaría de la Defensa Nacional.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29 fracciones XVI y XVII y 34 fracciones I, V y XXXIII de la Ley Orgánica de la Administración Pública Federal; 4o. fracción III, 5o. fracción III, 15 fracción VI, 16 fracción VI y 17 de la Ley de Comercio Exterior; 37 y 40 de la Ley Federal de Armas de Fuego y Explosivos; 5 fracción XVII del Reglamento Interior de la Secretaría de Economía, 10 fracción XXV del Reglamento Interior de la Secretaría de la Defensa Nacional, y</w:t>
      </w:r>
    </w:p>
    <w:p>
      <w:pPr>
        <w:keepNext w:val="0"/>
        <w:keepLines w:val="0"/>
        <w:widowControl/>
        <w:suppressLineNumbers w:val="0"/>
        <w:shd w:val="clear" w:fill="FFFFFF"/>
        <w:spacing w:before="101"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los artículos 37 párrafo segundo y 40 de la Ley Federal de Armas de Fuego y Explosivos, facultan a la Secretaría de la Defensa Nacional para controlar y vigilar las actividades y operaciones industriales y comerciales que se realicen con armas, municiones, explosivos, artificios y sustancias químicas, así como para dictar las disposiciones a las que se sujetarán las actividades industriales y comerciales relacionadas con armas, municiones, explosivos y demás objetos regulados por dicha Ley.</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 fecha 27 de diciembre de 2020, fue publicado en el Diario Oficial de la Federación el Acuerdo que establece las mercancías cuya importación y exportación está sujeta a regulación por parte de la Secretaría de la Defensa Nacional (Acuerdo).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7 de junio de 2022, se publicó en el Diario Oficial de la Federación el Decreto por el que se expide la Ley de los Impuestos Generales de Importación y de Exportación (Decreto),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Decreto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14 de julio de 2022, se publicó en el Diario Oficial de la Federación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22 de agosto de 2022,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Consejo de Seguridad de la Organización de las Naciones Unidas aprobó, el 28 de abril de 2004, la Resolución 1540 mediante la cual decidió que todos los Estados deben adoptar y hacer cumplir medidas eficaces para instaurar controles nacionales, a fin de prevenir la fabricación y proliferación de armas de destrucción masiva, sus sistemas vectores y materiales conexos, por lo que México ha incorporado en su legislación nacional regulaciones y restricciones no arancelarias a la exportación de las mercancías contenidas en las Listas de Municiones publicadas por el Arreglo de Wassenaar, siendo estas identificadas en términos de la codificación y descripción de las fracciones arancelarias de la Ley de los Impuestos Generales de Importación y Exportación.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a efecto de mantener los compromisos internacionales en el marco de la Organización de las Naciones Unidas, México debe aplicar un régimen eficaz de control de las exportaciones a las mercancías citadas anteriormente, por lo cual, resulta necesario que ciertas mercancías reguladas en el Acuerdo, se desplacen a un inciso e) dentro de su Anexo I, a fin de que únicamente se regule la exportación de las mismas.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ante la necesidad de otorgar mayor certidumbre jurídica en la aplicación del Acuerdo, resulta indispensable efectuar su actualización a fin de armonizar las fracciones arancelarias contenidas en el mismo, conforme a los cambios referidos en los Considerandos anteriores.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QUE ESTABLECE LAS MERCANCÍAS CUYA IMPORTACIÓN Y EXPORTACIÓN ESTÁ</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SUJETA A REGULACIÓN POR PARTE DE LA SECRETARÍA DE LA DEFENSA NACIONAL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tiene por objeto, establecer las fracciones arancelarias de las mercancías que están sujetas a regulación, por parte de la Secretaría de la Defensa Nacional, con base en lo establecido en la Ley Federal de Armas de Fuego y Explosivos, cuyo cumplimiento se deberá acreditar ante las autoridades competentes.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del presente Acuerdo, se entenderá por:</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COCEX: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Comisión de Comercio Exterior;</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del Registro Federal de Armas de Fuego y Control de Explosivos, de la Secretaría de la Defensa Nacional;</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Documento Digital: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Todo mensaje que contiene información por reproducción electrónica de documentos escritos o impresos, transmitida, comunicada, presentada, recibida, archivada o almacenada, por medios electrónicos o cualquier otro medio tecnológico;</w:t>
      </w:r>
    </w:p>
    <w:p>
      <w:pPr>
        <w:keepNext w:val="0"/>
        <w:keepLines w:val="0"/>
        <w:widowControl/>
        <w:suppressLineNumbers w:val="0"/>
        <w:shd w:val="clear" w:fill="FFFFFF"/>
        <w:spacing w:after="100" w:afterAutospacing="0"/>
        <w:ind w:left="806" w:hanging="51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Documento Electrónico: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Todo mensaje que contiene información escrita en datos generada, transmitida, comunicada, presentada, recibida, archivada o almacenada por medios electrónicos o cualquier otro medio tecnológico;</w:t>
      </w:r>
    </w:p>
    <w:p>
      <w:pPr>
        <w:keepNext w:val="0"/>
        <w:keepLines w:val="0"/>
        <w:widowControl/>
        <w:suppressLineNumbers w:val="0"/>
        <w:shd w:val="clear" w:fill="FFFFFF"/>
        <w:spacing w:after="100" w:afterAutospacing="0"/>
        <w:ind w:left="806" w:hanging="51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Exportación: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salida de mercancías de territorio nacional para permanecer en el extranjero por tiempo limitado o ilimitado;</w:t>
      </w:r>
    </w:p>
    <w:p>
      <w:pPr>
        <w:keepNext w:val="0"/>
        <w:keepLines w:val="0"/>
        <w:widowControl/>
        <w:suppressLineNumbers w:val="0"/>
        <w:shd w:val="clear" w:fill="FFFFFF"/>
        <w:spacing w:after="100" w:afterAutospacing="0"/>
        <w:ind w:left="806" w:hanging="51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Importación: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entrada de mercancías de procedencia extranjera a territorio nacional, para permanecer en él, por tiempo limitado o ilimitado;</w:t>
      </w:r>
    </w:p>
    <w:p>
      <w:pPr>
        <w:keepNext w:val="0"/>
        <w:keepLines w:val="0"/>
        <w:widowControl/>
        <w:suppressLineNumbers w:val="0"/>
        <w:shd w:val="clear" w:fill="FFFFFF"/>
        <w:spacing w:after="100" w:afterAutospacing="0"/>
        <w:ind w:left="806" w:hanging="51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Ley: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Ley Federal de Armas de Fuego y Explosivos;</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Manual de Procedimientos: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Manual de Procedimientos para la Obtención de los Permisos a que se refiere el artículo 4o. transitorio del Acuerdo que establece la clasificación y codificación de las mercancías cuya Importación o Exportación están sujetas a regulación por parte de la Secretaría de la Defensa Nacional, publicado en el Diario Oficial de la Federación el 27 de septiembre de 2007;</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Número o números de identificación comercial, de conformidad con lo establecido en el Artículo 2o., fracción II, Regla Complementaria 10</w:t>
      </w:r>
      <w:r>
        <w:rPr>
          <w:rFonts w:hint="default" w:ascii="Verdana Regular" w:hAnsi="Verdana Regular" w:eastAsia="SimSun" w:cs="Verdana Regular"/>
          <w:i w:val="0"/>
          <w:iCs w:val="0"/>
          <w:caps w:val="0"/>
          <w:color w:val="2F2F2F"/>
          <w:spacing w:val="0"/>
          <w:kern w:val="0"/>
          <w:sz w:val="20"/>
          <w:szCs w:val="20"/>
          <w:shd w:val="clear" w:fill="FFFFFF"/>
          <w:vertAlign w:val="superscript"/>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 Ley de los Impuestos Generales de Importación y de Exportación;</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Pasajero: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Toda persona que introduzca o extraiga del territorio nacional mercancías de comercio exterior a su llegada o salida del país;</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Régimen Aduanero: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señalados en el artículo 90 de la Ley Aduanera;</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Regulación: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permiso ordinario o extraordinario de Importación o Exportación que corresponda, de conformidad con la Ley Federal de Armas de Fuego y Explosivos;</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Regularización: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Importación definitiva de las mercancías que se hubieran introducido al país, sin haberlas sometido a las formalidades del despacho, o aquellas mercancías que hubieran excedido el plazo de retorno en caso de importaciones temporales;</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RGCE: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Reglas Generales de Comercio Exterior, emitidas por la Secretaría de Hacienda y Crédito Público, a través del Servicio de Administración Tributaria, vigentes;</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Secretaría: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 la Defensa Nacional;</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Tarifa: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contenida en el artículo 1o. de la Ley de los Impuestos Generales de Importación y de Exportación, y</w:t>
      </w:r>
    </w:p>
    <w:p>
      <w:pPr>
        <w:keepNext w:val="0"/>
        <w:keepLines w:val="0"/>
        <w:widowControl/>
        <w:suppressLineNumbers w:val="0"/>
        <w:shd w:val="clear" w:fill="FFFFFF"/>
        <w:spacing w:after="100" w:afterAutospacing="0"/>
        <w:ind w:left="810" w:hanging="52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Ventanilla Digital: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prevista en el Decreto por el que se establece la Ventanilla Digital Mexicana de Comercio Exterior publicada en el Diario Oficial de la Federación el 14 de enero de 2011, disponible en la página electrónica www.ventanillaunica.gob.mx.</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mercancías clasificadas en las fracciones arancelarias listadas en los incisos a), b), c) y d) del Anexo I del presente Acuerdo, deberán cumplir con la Regulación señalada en el propio Anexo, siempre que se destinen a los regímenes aduaneros de Importación y Exportación definitiva, Importación y Exportación temporal, depósito fiscal, tránsito de mercancías, elaboración, transformación o reparación en recinto fiscalizado y de recinto fiscalizado estratégico. Del mismo modo, deberán cumplir con dicha Regulación los Pasajeros que lleven consigo alguna de las mercancías reguladas en el presente Acuerdo.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mercancías clasificadas en las fracciones arancelarias listadas en el inciso e) del Anexo I del presente Acuerdo, deberán cumplir con la Regulación señalada en el propio Anexo, siempre que se destinen a los regímenes aduaneros de Exportación definitiva y temporal.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interesados en realizar la Importación o la Exportación de las mercancías a que se refiere el Anexo I del presente Acuerdo, deberán acudir al Módulo de Atención al Público de la Dirección General, a fin de cumplir con los requisitos necesarios para la expedición del permiso ordinario o extraordinario de Importación o Exportación que corresponda a la operación que pretendan realizar, de conformidad con la Ley, o en su caso, se podrán presentar ante la Ventanilla Digital.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o exportaciones de las mercancías a que se refiere el presente ordenamiento, se sujetarán a las disposiciones que dicte la Secretaría, siempre que las operaciones sean efectuadas por la misma, y se trate de mercancías para uso exclusivo del Ejército y Fuerza Aérea. Para el caso de importaciones o exportaciones de mercancías, que sean del uso exclusivo de la Armada de México y que realice la Secretaría de Marina, se sujetarán a lo dispuesto por los artículos 40 y 51 de la Ley, y 99 de su Reglamento.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permisos ordinarios de Importación o Exportación se conceden a las personas físicas o morales que tienen un permiso general vigente y que de manera habitual pretenden comercializar o utilizar material regulado por la Secretaría.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Únicamente en el caso de las personas físicas o morales que tengan un permiso general vigente, cuando se trate de artículos, sustancias y materiales, contemplados en el Anexo I del presente Acuerdo, pero que su utilización, aplicación o uso, no estén destinados a la fabricación, elaboración, ensamble, reparación o acondicionamiento de armas, municiones, pólvoras, explosivos, artificios para voladuras o demoliciones y/o artificios pirotécnicos, el interesado quedará exento de obtener y presentar el permiso ordinario respectivo, debiendo transmitir en Documento Digital, como anexo al pedimento de Importación o de Exportación que corresponda, una carta-compromiso firmada en forma autógrafa por la persona física y en el caso de persona moral, por quien cuente con la representación legal para hacerlo, en donde manifieste bajo protesta de decir verdad, que los materiales o artículos motivo de la Importación o Exportación, no serán destinados o utilizados en las actividades descritas en el presente artículo.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Además de transmitir la carta-compromiso, el interesado estará obligado a dar aviso con veinte días hábiles de anticipación a la Dirección General, a efecto de que se le expida un oficio, mismo que también se deberá transmitir en Documento Digital como anexo al pedimento de Importación o de Exportación que corresponda.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si solamente de manera eventual requiere comercializar o utilizar material regulado, corresponderá tramitar un permiso extraordinario de Importación o Exportación.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SEXTO.-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importadores o exportadores de las mercancías que se listan en el Anexo I del presente Acuerdo, deberán declarar y transmitir en Documento Electrónico o Digital, como anexo al pedimento correspondiente, el número de permiso ordinario o extraordinario expedido por la Dirección General, y someter las mercancías, en su caso, a la inspección ocular correspondiente, en los términos del artículo Séptimo de este Acuerdo. El permiso de Importación o Exportación a que se refiere el artículo 42 de la Ley, no exime a los interesados de cubrir los requisitos que señalen otras disposiciones legales.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SÉPTIMO.-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importadores y exportadores de las mercancías listadas en el Anexo I de este Acuerdo, deberán someterlas a inspección por parte de un interventor militar en puertos, aeropuertos y fronteras, de la Zona o Guarnición Militar más cercana al punto de entrada al país, en términos del Manual de Procedimientos, a fin de certificar que los productos a importar o exportar, cumplen con las características, cantidades y condiciones definidas en los permisos ordinarios o extraordinarios de Importación o Exportación expedidos por la Dirección General.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OCTAVO.-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interesados en realizar la Importación temporal o Exportación temporal de armas, partes de armas, accesorios, refacciones y municiones con fines deportivos o de cacería, deberán acudir a la Zona o Guarnición Militar más cercana a su punto de entrada o salida del país, o bien al Módulo de Atención al Público de la Dirección General, para efectuar los trámites correspondientes.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NOVENO.-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se realice el desistimiento del Régimen Aduanero de Exportación, las mercancías no deberán cumplir con la Regulación aplicable a la Importación, siempre que la mercancía no haya salido del territorio nacional; para el caso de mercancías de procedencia extranjera, que no vayan a permanecer en territorio nacional, se deberá cumplir con la Regulación a la Exportación, que en su caso aplique.</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el caso de Regularización de mercancías, se deberá cumplir con la Regulación señalada en el presente Acuerdo, así como con lo establecido en el Manual de Procedimientos, aplicable al momento de realizar el pago de las contribuciones correspondientes, sin perjuicio de las medidas y sanciones que resulten aplicables.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mercancías que hayan sido exportadas y retornen al país por cualquier motivo, deberán presentar al momento de su Importación al territorio nacional, la Regulación que corresponda, expedida por la Secretaría y cumplir, en su caso, con lo establecido en el Manual de Procedimientos.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 dispuesto en este Acuerdo, no le aplicará a las mercancías que habiendo sido importadas temporalmente para elaboración, transformación o reparación en programas de maquila o de Exportación, realicen el cambio de Régimen Aduanero al de Importación definitiva, siempre que se haya cumplido con la Regulación al momento de la Importación temporal al territorio nacional.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TERCERO.-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mercancías listadas en 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correspondiente al momento de la Importación al territorio nacional y se cumpla con los requisitos establecidos en el Manual de Procedimientos.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CUARTO.-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en coordinación con la COCEX, revisará por lo menos una vez al año</w:t>
      </w:r>
    </w:p>
    <w:p>
      <w:pPr>
        <w:keepNext w:val="0"/>
        <w:keepLines w:val="0"/>
        <w:widowControl/>
        <w:suppressLineNumbers w:val="0"/>
        <w:shd w:val="clear" w:fill="FFFFFF"/>
        <w:spacing w:after="100"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DÉCIMO QUINTO.-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cumplimiento de lo dispuesto en el presente Acuerdo no exime del cumplimiento de cualquier otro requisito o regulación a los que esté sujeta la Importación o en su caso, la Exportación de mercancías, conforme a las disposiciones jurídicas aplicables.</w:t>
      </w:r>
    </w:p>
    <w:p>
      <w:pPr>
        <w:keepNext w:val="0"/>
        <w:keepLines w:val="0"/>
        <w:widowControl/>
        <w:suppressLineNumbers w:val="0"/>
        <w:shd w:val="clear" w:fill="FFFFFF"/>
        <w:spacing w:before="0" w:beforeAutospacing="0" w:after="6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ANEXO I</w:t>
      </w:r>
    </w:p>
    <w:p>
      <w:pPr>
        <w:keepNext w:val="0"/>
        <w:keepLines w:val="0"/>
        <w:widowControl/>
        <w:suppressLineNumbers w:val="0"/>
        <w:shd w:val="clear" w:fill="FFFFFF"/>
        <w:spacing w:after="6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Armas de fuego y sus partes, refacciones, accesorios y municiones; así como armas de gas comprimido, de gas carbónico y/o inmovilizadores eléctricos, sujetos a permiso ordinario y/o extraordinario e inspección ocular por parte de la Secretaría.</w:t>
      </w:r>
    </w:p>
    <w:p>
      <w:pPr>
        <w:keepNext w:val="0"/>
        <w:keepLines w:val="0"/>
        <w:widowControl/>
        <w:suppressLineNumbers w:val="0"/>
        <w:shd w:val="clear" w:fill="FFFFFF"/>
        <w:spacing w:after="6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formatos que deberán ser utilizados, según sea el caso, son:</w:t>
      </w:r>
    </w:p>
    <w:tbl>
      <w:tblPr>
        <w:tblW w:w="4650"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0"/>
        <w:gridCol w:w="12892"/>
      </w:tblGrid>
      <w:tr>
        <w:trPr>
          <w:trHeight w:val="331" w:hRule="atLeast"/>
        </w:trPr>
        <w:tc>
          <w:tcPr>
            <w:tcW w:w="1100" w:type="pc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Homoclave</w:t>
            </w:r>
          </w:p>
        </w:tc>
        <w:tc>
          <w:tcPr>
            <w:tcW w:w="3900" w:type="pc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p>
        </w:tc>
      </w:tr>
      <w:tr>
        <w:tblPrEx>
          <w:shd w:val="clear"/>
        </w:tblPrEx>
        <w:trPr>
          <w:trHeight w:val="552" w:hRule="atLeast"/>
        </w:trPr>
        <w:tc>
          <w:tcPr>
            <w:tcW w:w="16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SEDENA-02-051</w:t>
            </w:r>
          </w:p>
        </w:tc>
        <w:tc>
          <w:tcPr>
            <w:tcW w:w="590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ordinario para la exportación de material al amparo de un permiso general para personas físicas o morales.</w:t>
            </w:r>
          </w:p>
        </w:tc>
      </w:tr>
      <w:tr>
        <w:tblPrEx>
          <w:shd w:val="clear"/>
        </w:tblPrEx>
        <w:trPr>
          <w:trHeight w:val="552" w:hRule="atLeast"/>
        </w:trPr>
        <w:tc>
          <w:tcPr>
            <w:tcW w:w="16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SEDENA-02-052</w:t>
            </w:r>
          </w:p>
        </w:tc>
        <w:tc>
          <w:tcPr>
            <w:tcW w:w="590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extraordinario para la exportación de armas, municiones y diverso material para personas físicas y morales.</w:t>
            </w:r>
          </w:p>
        </w:tc>
      </w:tr>
      <w:tr>
        <w:tblPrEx>
          <w:shd w:val="clear"/>
        </w:tblPrEx>
        <w:trPr>
          <w:trHeight w:val="552" w:hRule="atLeast"/>
        </w:trPr>
        <w:tc>
          <w:tcPr>
            <w:tcW w:w="16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SEDENA-02-053</w:t>
            </w:r>
          </w:p>
        </w:tc>
        <w:tc>
          <w:tcPr>
            <w:tcW w:w="590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extraordinario para la importación de armamento, municiones y diverso material para personas físicas y morales.</w:t>
            </w:r>
          </w:p>
        </w:tc>
      </w:tr>
      <w:tr>
        <w:tblPrEx>
          <w:shd w:val="clear"/>
        </w:tblPrEx>
        <w:trPr>
          <w:trHeight w:val="567" w:hRule="atLeast"/>
        </w:trPr>
        <w:tc>
          <w:tcPr>
            <w:tcW w:w="16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SEDENA-02-061</w:t>
            </w:r>
          </w:p>
        </w:tc>
        <w:tc>
          <w:tcPr>
            <w:tcW w:w="590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extraordinario para la exportación temporal de armas, municiones y diverso material para personas físicas y morales.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3"/>
        <w:gridCol w:w="2933"/>
        <w:gridCol w:w="5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2" w:hRule="atLeast"/>
        </w:trPr>
        <w:tc>
          <w:tcPr>
            <w:tcW w:w="1200"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Fracción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 /</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NICO</w:t>
            </w:r>
          </w:p>
        </w:tc>
        <w:tc>
          <w:tcPr>
            <w:tcW w:w="4102"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c>
          <w:tcPr>
            <w:tcW w:w="3678"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8526.92.99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Ordenadores de bombardeo, y sistemas de control de armas; sistemas de vigilancia o rastreo del blanco, equipos de detección, fusión de datos, reconocimiento o identificación del equipo, y equipos de integración sensorial; equipos de contramedidas para el material especificado en ML5.a y ML5.b de la Lista de Municiones del Acuerdo de Wassenaar.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8710.00.01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Tanques y demás vehículos automóviles blindados de combate, incluso con su armamento; sus partes.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Tanques y demás vehículos automóviles blindados de combate, incluso con su armamento; sus partes.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8802.12.99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Helicópteros para uso de las fuerzas armadas,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8802.30.02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Aviones con motor a reacción, con peso en vacío superior o igual a 10,000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Aviones con motor a reacción, con peso en vacío superior o igual a 10,000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8802.30.99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8802.40.01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Aviones y demás aeronaves, de peso en vacío superior a 15,000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Aviones y demás aeronaves, de peso en vacío superior a 15,000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2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7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8805.10.01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Aparatos y dispositivos para lanzamiento de aeronaves y sus partes; aparatos y dispositivos para aterrizaje en portaaviones y aparatos y dispositivos similares, y sus partes.</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Lanzadores, equipo de recuperación y equipo de apoyo en tierra.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7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Aparatos y dispositivos para lanzamiento de aeronaves y sus partes; aparatos y dispositivos para aterrizaje en portaaviones y aparatos y dispositivos similares, y sus partes.</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8805.21.01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Simuladores de combate aéreo y sus partes.</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Simuladores de vuelo, tiro, combate aéreo y sus partes, para modelos de aeronaves de uso militar.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Simuladores de combate aéreo y sus partes.</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8805.29.99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Equipos especializados para el entrenamiento militar o la simulación de escenarios militares, simuladores diseñados especialmente para el aprendizaje del manejo de armas de fuego u otras armas, especificados por los artículos ML1 o ML2 de la Lista de Municiones del Acuerdo de Wassenaar, componentes y accesorios diseñados especialmente para ellos.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peso en vacío superior a 15,000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peso en vacío superior a 15,000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7"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9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8806.10.02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Aviones con motor a reacción, con peso en vacío superior o igual a 10,000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9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Aviones con motor a reacción, con peso en vacío superior o igual a 10,000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7"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8806.10.99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Helicópteros para uso de las fuerzas armadas, para el transporte de tropas, para reconocimiento, bombardeo, caza o pelea. </w:t>
            </w: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de peso en vacío inferior o igual a 2,000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7"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8806.29.02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Aviones y aeronaves similares, de peso en vacío superior a 15,000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Aviones y aeronaves similares, de peso en vacío superior a 15,000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8806.29.99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Helicópteros para uso de las fuerzas armadas, para el transporte de tropas, para reconocimiento, bombardeo, caza o pelea, excepto de peso en vacío inferior o igual a 2,000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8806.99.02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Aviones y aeronaves similares, de peso en vacío superior a 15,000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Aeronaves para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Aviones y aeronaves similares, de peso en vacío superior a 15,000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8"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8806.99.99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Helicópteros para uso de las fuerzas armadas, para el transporte de tropas, para reconocimiento, bombardeo, caza o pelea, excepto de peso en vacío inferior o igual a 2,000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8807.10.01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Hélices y rotores, y sus partes.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Para aviones o helicópteros de uso militar, para el transporte de tropas,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Hélices y rotores, y sus partes.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8807.20.01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Trenes de aterrizaje y sus partes.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Para aparatos de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Trenes de aterrizaje y sus partes.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8807.30.91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 partes de aviones, helicópteros o aeronaves no tripuladas.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Para aparatos de uso militar, para el transporte de tropas, para reconocimiento, bombardeo, caza o pelea.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 partes de aviones, helicópteros o aeronaves no tripuladas.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8906.10.01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Navíos de guerra.</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Navíos de guerra.</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8906.90.99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Barcos y demás embarcaciones de uso militar, naves para transporte de tropas, patrullaje y desembarco; submarinos de uso militar.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9005.10.01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Binoculares (incluidos los prismáticos).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Equipo de formación de imagen de infrarrojos o térmica; para visión nocturna.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Binoculares (incluidos los prismáticos).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9005.80.91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 instrumentos.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Monoculares para visión nocturna.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 instrumentos.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8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9005.90.02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Partes y accesorios, reconocibles exclusivamente para lo comprendido en la fracción arancelaria 9005.10.01, excepto lo comprendido en la fracción arancelaria 9005.90.01.</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Para binoculares (incluidos los prismáticos) de visión nocturna.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8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Partes y accesorios, reconocibles exclusivamente para lo comprendido en la fracción arancelaria 9005.10.01, excepto lo comprendido en la fracción arancelaria 9005.90.01.</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9005.90.99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Partes para monoculares para visión nocturna.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9013.10.01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Miras telescópicas para armas; periscopios; visores para máquinas, aparatos o instrumentos de este Capítulo o de la Sección XVI.</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Miras telescópicas para armas de todo tipo; miras infrarrojas; miras de visión nocturna; designadores de objetivos; aparatos de puntería; periscopios; y/o visores ópticos de armas con procesamiento electrónico de imágenes; y/o visores ópticos de armas especialmente diseñadas para uso militar.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Miras telescópicas para armas; periscopios; visores para máquinas, aparatos o instrumentos de este Capítulo o de la Sección XVI.</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9013.20.01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Láseres, excepto los diodos láser.</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Sistemas láser diseñados especialmente para destruir un objetivo o hacer abortar la misión de un objetivo y sistemas de haces de partículas capaces de destruir un objetivo o hacer abortar la misión de un objetivo y sistemas láser de onda continua o de impulsos, diseñados especialmente para causar ceguera permanente a un observador sin visión aumentada, es decir, al ojo desnudo o al ojo con dispositivos correctores de la visión; miras láser.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Láseres, excepto los diodos láser.</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9013.90.01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Partes y accesorios.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Para miras telescópicas para armas de todo tipo, miras infrarrojas, miras de visión nocturna, designadores de objetivos, aparatos de puntería, periscopios o miras láser; y/o visores ópticos de armas con procesamiento electrónico de imágenes; y/o visores ópticos de armas especialmente diseñadas para uso militar.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Partes y accesorios.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9031.80.99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Equipos de ensayo o alineación de campaña, especialmente diseñados para los artículos especificados en ML5.a, ML5.b y ML5.c de la Lista de Municiones del Acuerdo de Wassenaar.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9301.10.02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Piezas de artillería (por ejemplo: cañones, obuses y morteros).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De manera enunciativa mas no limitativa, quedan comprendidas en esta fracción, entre otras, todo tipo de piezas de artillería como cañones, obuseros y morteros.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Piezas de artillería (por ejemplo: cañones, obuses y morteros).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9301.20.01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Lanzacohetes; lanzallamas; lanzagranadas; lanzatorpedos y lanzadores similares.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Lanzacohetes; lanzallamas; lanzagranadas; lanzatorpedos y lanzadores similares.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9301.90.99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De manera enunciativa mas no limitativa, quedan comprendidas en esta fracción, entre otras, todo tipo de armas de guerra en sus diferentes calibres, que utilizan los gases producto de la deflagración de la pólvora, tales como: carabinas, rifles, fusiles, mosquetones, ametralladoras, subametralladoras, así como escopetas.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9302.00.02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Revólveres y pistolas, excepto los de las partidas 93.03 o 93.04.</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Notas:</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383" w:hanging="383"/>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esta fracción se incluyen las pistolas y revólveres en calibres superiores e inferiores al calibre 0.25'' (25 centésimas de pulgada).</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383" w:hanging="383"/>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Calibre 25: También se conoce como calibre 0.25'' (25 centésimas de pulgada).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Revólveres y pistolas, excepto los de las partidas 93.03 o 93.04.</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9303.10.01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Para lanzar cápsulas con sustancias asfixiantes, tóxicas o repelentes.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Para lanzar cápsulas con sustancias asfixiantes, tóxicas o repelentes.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9303.10.99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De manera enunciativa mas no limitativa, quedan comprendidas en esta fracción las armas de avancarga con ánima lisa o rayada.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9303.20.91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 armas largas de caza o tiro deportivo que tengan, por lo menos, un cañón de ánima lisa.</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El término "armas largas" incluye todo tipo de escopetas de caza o tiro deportivo.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 armas largas de caza o tiro deportivo que tengan, por lo menos, un cañón de ánima lisa.</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9303.30.91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 armas largas de caza o tiro deportivo.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De manera enunciativa mas no limitativa, quedan comprendidos en esta fracción los rifles de caza o tiro deportivo.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 armas largas de caza o tiro deportivo.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9303.90.01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Cañones industriales desincrustadores, mediante cartuchos especiales con proyectil blindado.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Cañones industriales desincrustadores, mediante cartuchos especiales con proyectil blindado.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9303.90.99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De manera enunciativa mas no limitativa, quedan comprendidas en esta fracción armas de fuego, artefactos o dispositivos que emplean la energía de la deflagración de la pólvora.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9304.00.01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Pistolas de matarife de émbolo oculto.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Pistolas de matarife de émbolo oculto.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9304.00.99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De gas comprimido en recipientes a presión, por ejemplo CO2 o gas carbónico, que no sean de las que lanzan dardos para inmovilización de animales con fines veterinarios, de investigación o científicos; armas que utilizan cartuchos sin casquillo; inmovilizadores eléctricos, también conocidos como arma de electrochoque, porra eléctrica o pistola eléctrica.</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 </w:t>
            </w:r>
            <w:r>
              <w:rPr>
                <w:rFonts w:hint="default" w:ascii="Verdana Regular" w:hAnsi="Verdana Regular" w:eastAsia="SimSun" w:cs="Verdana Regular"/>
                <w:color w:val="000000"/>
                <w:kern w:val="0"/>
                <w:sz w:val="20"/>
                <w:szCs w:val="20"/>
                <w:lang w:val="en-US" w:eastAsia="zh-CN" w:bidi="ar"/>
              </w:rPr>
              <w:t>las armas de aire comprimido mediante resorte y pistón.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7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9305.10.01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Reconocibles como diseñadas exclusivamente para lo comprendido en la fracción arancelaria 9304.00.01.</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Reconocibles como diseñadas exclusivamente para lo comprendido en la fracción arancelaria 9304.00.01.</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9305.10.99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Para las pistolas y revólveres comprendidos en la partida 93.02; partes y accesorios de pistolas y revólveres de gas comprimido en recipientes a presión, por ejemplo CO2 o gas carbónico, que no sean de las que lanzan dardos para inmovilización de animales con fines veterinarios, de investigación o científicos;</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partes para armas a base de aire comprimido mediante resorte y pistón.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9305.20.02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armas largas de la partida 93.03.</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En esta fracción se incluyen las partes y accesorios de las armas de la partida 93.03.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armas largas de la partida 93.03.</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9305.91.01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armas de guerra de la partida 93.01.</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armas de guerra de la partida 93.01.</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9305.99.99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Partes y accesorios de armas largas de gas comprimido en recipientes a presión, por ejemplo CO2 o gas carbónico, que no sean de las que lanzan dardos para inmovilización de animales con fines veterinarios, de investigación o científicos.</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partes para armas de aire comprimido mediante resorte y pistón.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6"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9306.21.01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Cartuchos cargados con gases lacrimosos o tóxicos.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Cartuchos cargados con gases lacrimosos o tóxicos.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9306.21.99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9306.29.99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Balines para armas de aire comprimido.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9306.30.04</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Partes.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Esta fracción comprende las partes de cartuchos de armas de fuego, excepto para armas largas con cañón de ánima lisa, e incluye las de "pistolas" de remachar y similares o para pistolas de matarife.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9306.30.99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Municiones para armas de gas o de aire comprimido.</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Notas:</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383" w:hanging="383"/>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esta fracción se incluyen las pistolas y revólveres en calibres superiores e inferiores al calibre 0.25'' (25 centésimas de pulgada).</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383" w:hanging="383"/>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Calibre 25: También se conoce como calibre 0.25'' (25 centésimas de pulgada).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Calibre 45.</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Cartuchos para "pistolas" de remachar y similares o para "pistolas" de matarife.</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9306.90.03</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Partes; bombas o granadas.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Bombas o granadas con gases lacrimosos o tóxicos.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9306.90.99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Esferas, pelotas o cápsulas de plástico con pintura, utilizadas en la práctica del juego llamado "Paintball" o "Gotcha".</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De manera enunciativa mas no limitativa, quedan comprendidos en esta fracción, entre otros, todo tipo de torpedos, minas, misiles, en sus diversos calibres y tipos, y sus partes.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9620.00.99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Partes para monoculares para visión nocturna.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9705.10.99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Colecciones de armas de fuego y ejemplares para dichas colecciones, con excepción de las réplicas de utilería.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9706.10.01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más de 250 años.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Armas de fuego.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más de 250 años.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9706.90.99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Armas de fuego.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8"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Explosivos y material relacionado con explosivos, sujetos a permiso ordinario y/o extraordinario, por parte de la Secretaría.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formatos que deberán ser utilizados, según sea el caso, son:</w:t>
      </w:r>
    </w:p>
    <w:tbl>
      <w:tblPr>
        <w:tblW w:w="4650"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0"/>
        <w:gridCol w:w="11073"/>
      </w:tblGrid>
      <w:tr>
        <w:tblPrEx>
          <w:shd w:val="clear"/>
        </w:tblPrEx>
        <w:trPr>
          <w:trHeight w:val="331" w:hRule="atLeast"/>
        </w:trPr>
        <w:tc>
          <w:tcPr>
            <w:tcW w:w="20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Homoclave</w:t>
            </w:r>
          </w:p>
        </w:tc>
        <w:tc>
          <w:tcPr>
            <w:tcW w:w="57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p>
        </w:tc>
      </w:tr>
      <w:tr>
        <w:tblPrEx>
          <w:shd w:val="cle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SEDENA-02-069</w:t>
            </w:r>
          </w:p>
        </w:tc>
        <w:tc>
          <w:tcPr>
            <w:tcW w:w="57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ordinario o extraordinario de importación y exportación de material explosivo o sustancias químicas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6"/>
        <w:gridCol w:w="3108"/>
        <w:gridCol w:w="5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0" w:hRule="atLeast"/>
        </w:trPr>
        <w:tc>
          <w:tcPr>
            <w:tcW w:w="1201"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Fracción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 /</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NICO</w:t>
            </w:r>
          </w:p>
        </w:tc>
        <w:tc>
          <w:tcPr>
            <w:tcW w:w="4106"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c>
          <w:tcPr>
            <w:tcW w:w="3673"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2834.21.01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potasio.</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potasio.</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2843.29.99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Fulminato de plata; nitruro de plata (azida de plata).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7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2850.00.03</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Hidruros, nitruros, aziduros (azidas), siliciuros y boruros, aunque no sean de constitución química definida, excepto los compuestos que consistan igualmente en carburos de la partida 28.49.</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Nitruro de cobre (azida de cobre); nitruro de plomo (azida de plomo); nitruro de sodio (azida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7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Hidruros, nitruros, aziduros (azidas), siliciuros y boruros, aunque no sean de constitución química definida, excepto los compuestos que consistan igualmente en carburos de la partida 28.49.</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2852.10.04</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constitución química definida.</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Fulminato de mercurio inorgánico.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constitución química definida.</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2902.90.99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Tetraceno (Naftaceno).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2904.20.99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Trinitrotolueno (T.N.T.); dinitritolueno; trinitrobenceno.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2908.99.99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2,4,6-Trinitrofenol (ácido pícrico).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2916.39.99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Acido trinitrobenzoico.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2918.29.99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Estifnato de potasio (trinitroresorcinato de potasio); estifnato de plomo (trinitroresorcinato de plomo).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2920.90.99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Tetranitrato de pentaeritritol; Nitroglicerina; Mononitroglicol y/o nitroglicol.</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Tetranitrato de pentaeritritol: También se conoce como: Tetranitrato de pentaeritrita; Pentrita; P.T.E.N.; Pentaeritrita tetranitrada; Pentaeritritol tetranitrato.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Tetranitrato de pentaeritritol.</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2921.42.99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Trinitroanilina.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2927.00.06</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Compuestos diazoicos, azoicos o azoxi.</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Diazodinitrofenol.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2929.90.99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Tetranitrometilanilina (tetril; tetralita; pyronita; tetrilo); nitroguanidina (picrita).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2933.69.99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Trinitrotrimetilentriamina (Ciclonita).</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Trinitrotrimetilentriamina (Ciclonita): También se conoce como: Trinitrometilentrinitramina, R.D.X.; hexógeno.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2933.99.99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Octógeno (Tetranitro tetrazocina) y sus mezclas.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3102.30.02</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Nitrato de amonio, incluso en disolución acuosa.</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Grado reactivo y concebido exclusivamente para uso agrícola.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3102.50.01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Nitrato de sodio.</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Nitrato de sodio.</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3105.51.01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 contengan nitratos y fosfatos.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Cuando se utilicen para la fabricación, ensamble, preparación o acondicionamiento de explosivos, artificios para voladuras o demoliciones y/o artificios pirotécnicos.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Que contengan nitratos y fosfatos.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3601.00.01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Pólvora sin humo o negra.</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Pólvora sin humo o negra.</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3601.00.99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3602.00.02</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Dinamita gelatina.</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Dinamita gelatina.</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73"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3602.00.03</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Cartuchos o cápsulas microgeneradores de gas utilizados en la fabricación de cinturones de seguridad para vehículos automotores.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3"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Cartuchos o cápsulas microgeneradores de gas utilizados en la fabricación de cinturones de seguridad para vehículos automotores.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3602.00.99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3603.10.01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Para minas con núcleo de pólvora negra.</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También se conocen como: Mechas de seguridad para minas, incluyendo la mecha lenta e ignitacord.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Para minas con núcleo de pólvora negra.</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3603.10.99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3603.20.01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Cordones detonantes.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Cordones detonantes.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3603.30.01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Cebos fulminantes.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Cebos fulminantes.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3603.40.01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Cápsulas fulminantes.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Cápsulas fulminantes.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3603.50.01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Inflamadores.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Inflamadores.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3603.60.01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Detonadores eléctricos.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Detonadores eléctricos.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3912.20.02</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Nitratos de celulosa (incluidos los colodiones).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Nitrocelulosa en bloques, trozos, grumos, masas no coherentes, granuladas, copos o polvos; sin adición de plastificantes, aun cuando tenga hasta 41% de alcohol; Nitrocelulosa en sus diferentes grados de viscosidad y contenido de nitrógeno.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73"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Nitrocelulosa en bloques, trozos, grumos, masas no coherentes, granuladas, copos o polvos; sin adición de plastificantes, aun cuando tenga hasta 41% de alcohol.</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7"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8708.95.02</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Bolsas inflables de seguridad con sistema de inflado (airbag); sus partes.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Detonadores e ignitores, de carga propelente, utilizados en el sistema de bolsas de aire y cinturones de seguridad de vehículos automóviles y demás dispositivos que accionen bolsas de aire para seguridad del usuario, excepto cuando se presenten integrados como parte automotriz para su montaje en los sistemas, dispositivos o módulos de bolsas de aire o cinturones de seguridad de vehículos automotores.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9031.80.99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3"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Equipos de ensayo o alineación de campaña, especialmente diseñados para los artículos especificados en ML5.a, ML5.b y ML5.c de la Lista de Municiones del Acuerdo de Wassenaar.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8" w:hRule="atLeast"/>
        </w:trPr>
        <w:tc>
          <w:tcPr>
            <w:tcW w:w="1201"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3"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Sustancias químicas, materiales para usos pirotécnicos y artificios relacionados con el empleo de explosivos, sujetos a permiso ordinario y/o extraordinario, por parte de la Secretaría.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formatos que deberán ser utilizados, según sea el caso, son:</w:t>
      </w:r>
    </w:p>
    <w:tbl>
      <w:tblPr>
        <w:tblW w:w="4650"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0"/>
        <w:gridCol w:w="12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1200" w:type="pc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Homoclave</w:t>
            </w:r>
          </w:p>
        </w:tc>
        <w:tc>
          <w:tcPr>
            <w:tcW w:w="3800" w:type="pc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3" w:hRule="atLeast"/>
        </w:trPr>
        <w:tc>
          <w:tcPr>
            <w:tcW w:w="18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SEDENA-02-018</w:t>
            </w:r>
          </w:p>
        </w:tc>
        <w:tc>
          <w:tcPr>
            <w:tcW w:w="585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extraordinario para la importación y exportación de material explosivo, artificios pirotécnicos y/o sustancias químicas.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8" w:hRule="atLeast"/>
        </w:trPr>
        <w:tc>
          <w:tcPr>
            <w:tcW w:w="18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SEDENA-02-019</w:t>
            </w:r>
          </w:p>
        </w:tc>
        <w:tc>
          <w:tcPr>
            <w:tcW w:w="585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ordinario de importación y/o exportación de material explosivo, artificios pirotécnicos y/o sustancias químicas.</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4"/>
        <w:gridCol w:w="1873"/>
        <w:gridCol w:w="6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0" w:hRule="atLeast"/>
        </w:trPr>
        <w:tc>
          <w:tcPr>
            <w:tcW w:w="1202"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Fracción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 /</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NICO</w:t>
            </w:r>
          </w:p>
        </w:tc>
        <w:tc>
          <w:tcPr>
            <w:tcW w:w="4084"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c>
          <w:tcPr>
            <w:tcW w:w="3694"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2503.00.02</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Azufre de cualquier clase, excepto el sublimado, el precipitado y el coloidal.</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Azufre en bruto y azufre sin refinar.</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2802.00.01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Azufre sublimado o precipitado; azufre coloidal.</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Azufre sublimado o precipitado; azufre coloidal.</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2804.70.04</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Fósforo.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Fosforo rojo o amorfo y/o fosforo blanco.</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Nota:</w:t>
            </w:r>
            <w:r>
              <w:rPr>
                <w:rFonts w:hint="default" w:ascii="Verdana Regular" w:hAnsi="Verdana Regular" w:eastAsia="SimSun" w:cs="Verdana Regular"/>
                <w:color w:val="000000"/>
                <w:kern w:val="0"/>
                <w:sz w:val="20"/>
                <w:szCs w:val="20"/>
                <w:lang w:val="en-US" w:eastAsia="zh-CN" w:bidi="ar"/>
              </w:rPr>
              <w:t> También se conoce como "fósforo amarillo".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Fósforo.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2805.11.01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Sodio.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Sodio.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2805.19.99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Potasio, excepto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2813.90.99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Trisulfuro de fósforo comercial.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2815.30.01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Peróxidos de sodio o de potasio.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Los de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Peróxidos de sodio o de potasio.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7"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2816.40.03</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Óxidos, hidróxidos y peróxidos, de estroncio o de bario.</w:t>
            </w:r>
          </w:p>
        </w:tc>
        <w:tc>
          <w:tcPr>
            <w:tcW w:w="369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bottom"/>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7"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Óxidos, hidróxidos y peróxidos, de estroncio o de bario.</w:t>
            </w:r>
          </w:p>
        </w:tc>
        <w:tc>
          <w:tcPr>
            <w:tcW w:w="369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bottom"/>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Peróxido de bario, excepto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2829.11.03</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sodio.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Clorato de sodio, excepto grado reactivo.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2829.19.99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Clorato de potasio; clorato de amonio; cloratos de bario; clorato de estroncio; clorato de zinc y/o clorato penta de fósforo, excepto que no sean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Clorato de potasio.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2829.90.01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Percloratos de hierro o de potasio.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Perclorato de potasio, excepto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Percloratos de hierro o de potasio.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2829.90.99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Perclorato de sodio, perclorato de amonio, perclorato de bario, perclorato de estroncio o perclorato de magnesio, que no sean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2834.29.99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Nitrato de bario y nitrato de calcio, que no sean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2841.50.91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 cromatos y dicromatos; peroxocromatos.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Dicromato de potasio, excepto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 cromatos y dicromatos; peroxocromatos.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2841.61.01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Permanganato de potasio.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w:t>
            </w:r>
            <w:r>
              <w:rPr>
                <w:rFonts w:hint="default" w:ascii="Verdana Regular" w:hAnsi="Verdana Regular" w:eastAsia="SimSun" w:cs="Verdana Regular"/>
                <w:color w:val="000000"/>
                <w:kern w:val="0"/>
                <w:sz w:val="20"/>
                <w:szCs w:val="20"/>
                <w:lang w:val="en-US" w:eastAsia="zh-CN" w:bidi="ar"/>
              </w:rPr>
              <w:t> Grado reactivo.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Permanganato de potasio.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2926.90.99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Malonitrilo (o-clorobencilidenmalononitrilo).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3603.10.99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Explosores de todo tipo; lanzadores de bengalas; temporizadores (iniciadores con tiempo de retardo); tirafrictores; pretensores para accionamiento de válvulas de seguridad; pretensores para bolsas de aire y cinturones de seguridad de vehículos automóviles, y demás dispositivos que accionen bolsas de aire para seguridad del usuario; pretensores para eyección en aeronaves; pretensores para ensamble.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3603.30.01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Cebos fulminantes.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Explosores de todo tipo; lanzadores de bengalas; temporizadores (iniciadores con tiempo de retardo); tirafrictores; pretensores para accionamiento de válvulas de seguridad; pretensores para bolsas de aire y cinturones de seguridad de vehículos automóviles, y demás dispositivos que accionen bolsas de aire para seguridad del usuario; pretensores para eyección en aeronaves; pretensores para ensamble.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2"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Cebos fulminantes.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3603.40.01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Cápsulas fulminantes.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Explosores de todo tipo; lanzadores de bengalas; temporizadores (iniciadores con tiempo de retardo); tirafrictores; pretensores para accionamiento de válvulas de seguridad; pretensores para bolsas de aire y cinturones de seguridad de vehículos automóviles, y demás dispositivos que accionen bolsas de aire para seguridad del usuario; pretensores para eyección en aeronaves; pretensores para ensamble.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Cápsulas fulminantes.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3603.50.01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Inflamadores.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Explosores de todo tipo; lanzadores de bengalas; temporizadores (iniciadores con tiempo de retardo); tirafrictores; pretensores para accionamiento de válvulas de seguridad; pretensores para bolsas de aire y cinturones de seguridad de vehículos automóviles, y demás dispositivos que accionen bolsas de aire para seguridad del usuario; pretensores para eyección en aeronaves; pretensores para ensamble.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Inflamadores.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3603.60.01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Detonadores eléctricos.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Explosores de todo tipo; lanzadores de bengalas; temporizadores (iniciadores con tiempo de retardo); tirafrictores; pretensores para accionamiento de válvulas de seguridad; pretensores para bolsas de aire y cinturones de seguridad de vehículos automóviles, y demás dispositivos que accionen bolsas de aire para seguridad del usuario; pretensores para eyección en aeronaves; pretensores para ensamble.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Detonadores eléctricos.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3604.10.01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Artículos para fuegos artificiales.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para fuegos artificiales.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3604.90.99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3824.99.99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Aleación de sodio-potasio.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8104.11.01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un contenido de magnesio superior o igual al 99.8% en peso.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 </w:t>
            </w:r>
            <w:r>
              <w:rPr>
                <w:rFonts w:hint="default" w:ascii="Verdana Regular" w:hAnsi="Verdana Regular" w:eastAsia="SimSun" w:cs="Verdana Regular"/>
                <w:color w:val="000000"/>
                <w:kern w:val="0"/>
                <w:sz w:val="20"/>
                <w:szCs w:val="20"/>
                <w:lang w:val="en-US" w:eastAsia="zh-CN" w:bidi="ar"/>
              </w:rPr>
              <w:t>lingotes.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un contenido de magnesio superior o igual al 99.8% en peso.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8104.19.99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Excepto: </w:t>
            </w:r>
            <w:r>
              <w:rPr>
                <w:rFonts w:hint="default" w:ascii="Verdana Regular" w:hAnsi="Verdana Regular" w:eastAsia="SimSun" w:cs="Verdana Regular"/>
                <w:color w:val="000000"/>
                <w:kern w:val="0"/>
                <w:sz w:val="20"/>
                <w:szCs w:val="20"/>
                <w:lang w:val="en-US" w:eastAsia="zh-CN" w:bidi="ar"/>
              </w:rPr>
              <w:t>lingotes.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8104.90.99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Magnalium (mezcla de magnesio y aluminio); excepto: lingotes.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8108.20.01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Titanio en bruto; polvo.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Titanio en polvo.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Titanio en bruto; polvo.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8109.21.01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un contenido inferior a 1 parte de hafnio (celtio) por 500 partes de circonio, en peso.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Circonio en polvo.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un contenido inferior a 1 parte de hafnio (celtio) por 500 partes de circonio, en peso.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8109.29.99</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Circonio en polvo.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8110.10.01</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Antimonio en bruto; polvo.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Antimonio en polvo.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2" w:hRule="atLeast"/>
        </w:trPr>
        <w:tc>
          <w:tcPr>
            <w:tcW w:w="12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084"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Antimonio en bruto; polvo.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Máquinas, aparatos, dispositivos, artefactos y materiales, sujetos a permiso ordinario y/o extraordinario, por parte de la Secretaría, únicamente cuando se utilicen para la fabricación, ensamble, reparación o acondicionamiento de armas, municiones, explosivos, artificios para voladuras o demoliciones, artificios pirotécnicos, así como sus componentes.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formatos que deberán ser utilizados, según sea el caso, son:</w:t>
      </w:r>
    </w:p>
    <w:tbl>
      <w:tblPr>
        <w:tblW w:w="4650"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0"/>
        <w:gridCol w:w="12537"/>
      </w:tblGrid>
      <w:tr>
        <w:tblPrEx>
          <w:shd w:val="clear"/>
        </w:tblPrEx>
        <w:trPr>
          <w:trHeight w:val="335" w:hRule="atLeast"/>
        </w:trPr>
        <w:tc>
          <w:tcPr>
            <w:tcW w:w="18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Homoclave</w:t>
            </w:r>
          </w:p>
        </w:tc>
        <w:tc>
          <w:tcPr>
            <w:tcW w:w="569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p>
        </w:tc>
      </w:tr>
      <w:tr>
        <w:tblPrEx>
          <w:shd w:val="clear"/>
        </w:tblPrEx>
        <w:trPr>
          <w:trHeight w:val="575" w:hRule="atLeast"/>
        </w:trPr>
        <w:tc>
          <w:tcPr>
            <w:tcW w:w="18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SEDENA-02-041</w:t>
            </w:r>
          </w:p>
        </w:tc>
        <w:tc>
          <w:tcPr>
            <w:tcW w:w="569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ordinario para la importación de materia prima al amparo de un permiso general, para personas físicas y morales.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7"/>
        <w:gridCol w:w="4278"/>
        <w:gridCol w:w="3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22" w:hRule="atLeast"/>
        </w:trPr>
        <w:tc>
          <w:tcPr>
            <w:tcW w:w="1200"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Fracción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 /</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NICO</w:t>
            </w:r>
          </w:p>
        </w:tc>
        <w:tc>
          <w:tcPr>
            <w:tcW w:w="4102"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c>
          <w:tcPr>
            <w:tcW w:w="3678" w:type="dxa"/>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8457.10.01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Centros de mecanizado.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Centros de mecanizado.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8457.20.01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Máquinas de puesto fijo.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Máquinas de puesto fijo.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8457.30.99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complejas que realicen de manera alternativa o simultánea dos o más operaciones por deformación de material, incluso si cortan o perforan.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2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Máquinas complejas que realicen de manera alternativa o simultánea dos o más operaciones por deformación de material, incluso si cortan o perforan.</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2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8458.11.01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Paralelos universales, con distancia entre puntos hasta de 4.5 m y con capacidad de volteo hasta de 750 mm, de diámetro sobre la bancada.</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Paralelos universales, con distancia entre puntos hasta de 4.5 m y con capacidad de volteo hasta de 750 mm, de diámetro sobre la bancada.</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8458.11.99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Semiautomáticos revólver, con torreta.</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8459.10.02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Unidades de mecanizado de correderas.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Fresadoras; fileteadoras o roscadoras ("machueladoras").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Fresadoras; fileteadoras o roscadoras ("machueladoras").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8459.31.01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control numérico.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control numérico.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8459.39.99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8462.11.01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Hidráulicas con capacidad (de presión de trabajo) hasta 1,000 t.</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Hidráulicas con capacidad (de presión de trabajo) hasta 1,000 t.</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8462.11.99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8462.19.01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Hidráulicas con capacidad (de presión de trabajo) hasta 1,000 t.</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Hidráulicas con capacidad (de presión de trabajo) hasta 1,000 t.</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8462.19.99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3678"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8462.51.99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8462.59.99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9"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8462.61.01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Prensas hidráulicas con capacidad (de presión de trabajo) hasta 1,000 t.</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Prensas hidráulicas con capacidad (de presión de trabajo) hasta 1,000 t.</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8462.61.99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8462.62.99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8462.63.01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Servoprensas.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Servoprensas.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8462.69.99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8462.90.99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Las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Máquinas de forjar o estampar, martillos pilón y otras máquinas de martillar.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2"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7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8465.10.01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Máquinas que efectúen distintas operaciones de mecanizado sin cambio de útil entre dichas operaciones.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Máquinas que efectúen distintas operaciones de mecanizado sin cambio de útil entre dichas operaciones.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8465.95.01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Taladradoras o escopleadoras.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Taladradoras o escopleadoras.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8477.10.01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Para materias termoplásticas, con capacidad de inyección hasta de 5 kg.</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Para materias termoplásticas, con capacidad de inyección hasta de 5 kg.</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8477.10.99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8477.80.99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Para unir y sellar por compresión (machimbrar) partes plásticas moldeadas.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05</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Para unir y sellar por compresión (machimbrar) partes plásticas moldeadas.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8479.82.01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Mezcladoras, de aspas horizontales, provistas de dispositivos de tornillo de Arquímedes para descarga continua.</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3"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Mezcladoras, de aspas horizontales, provistas de dispositivos de tornillo de Arquímedes para descarga continua.</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7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8479.82.02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Cubas u otros recipientes provistos de agitadores, incluso con sistemas de vacío o vidriados interiormente, excepto lo comprendido en las fracciones arancelarias 8479.82.01 y 8479.82.05.</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Cubas u otros recipientes provistos de agitadores, incluso con sistemas de vacío o vidriados interiormente, excepto lo comprendido en las fracciones arancelarias 8479.82.01 y 8479.82.05.</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8479.82.04</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Agitador-mezclador de hélice, excepto lo comprendido en la fracción arancelaria 8479.82.05.</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Agitador-mezclador de hélice, excepto lo comprendido en la fracción arancelaria 8479.82.05.</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8479.82.99</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8485.20.01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Por depósito de plástico o caucho.</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Para unir y sellar por compresión (machimbrar) partes plásticas moldeadas.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 depósito de plástico o caucho.</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8514.19.02</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resistencia para temple de metales.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resistencia para temple de metales.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8514.20.01</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inducción de baja frecuencia, para el recalentamiento de metales.</w:t>
            </w:r>
          </w:p>
        </w:tc>
        <w:tc>
          <w:tcPr>
            <w:tcW w:w="3678"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20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4102"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inducción de baja frecuencia, para el recalentamiento de metales.</w:t>
            </w:r>
          </w:p>
        </w:tc>
        <w:tc>
          <w:tcPr>
            <w:tcW w:w="3678"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bl>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Sustancias químicas, materiales para usos pirotécnicos y artificios relacionados con el empleo de explosivos, sujetos a permiso ordinario y/o extraordinario de exportación, por parte de la Secretaría.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formatos que deberán ser utilizados, según sea el caso, son:</w:t>
      </w:r>
    </w:p>
    <w:tbl>
      <w:tblPr>
        <w:tblW w:w="4650"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0"/>
        <w:gridCol w:w="12912"/>
      </w:tblGrid>
      <w:tr>
        <w:trPr>
          <w:trHeight w:val="331" w:hRule="atLeast"/>
        </w:trPr>
        <w:tc>
          <w:tcPr>
            <w:tcW w:w="1200" w:type="pc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Homoclave</w:t>
            </w:r>
          </w:p>
        </w:tc>
        <w:tc>
          <w:tcPr>
            <w:tcW w:w="3800" w:type="pc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p>
        </w:tc>
      </w:tr>
      <w:tr>
        <w:tblPrEx>
          <w:shd w:val="clear"/>
        </w:tblPrEx>
        <w:trPr>
          <w:trHeight w:val="552" w:hRule="atLeast"/>
        </w:trPr>
        <w:tc>
          <w:tcPr>
            <w:tcW w:w="18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SEDENA-02-018</w:t>
            </w:r>
          </w:p>
        </w:tc>
        <w:tc>
          <w:tcPr>
            <w:tcW w:w="57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extraordinario para la importación y exportación de material explosivo, artificios pirotécnicos y/o sustancias químicas.</w:t>
            </w:r>
          </w:p>
        </w:tc>
      </w:tr>
      <w:tr>
        <w:tblPrEx>
          <w:shd w:val="clear"/>
        </w:tblPrEx>
        <w:trPr>
          <w:trHeight w:val="567" w:hRule="atLeast"/>
        </w:trPr>
        <w:tc>
          <w:tcPr>
            <w:tcW w:w="18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SEDENA-02-019</w:t>
            </w:r>
          </w:p>
        </w:tc>
        <w:tc>
          <w:tcPr>
            <w:tcW w:w="57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Permiso ordinario de importación y/o exportación de material explosivo, artificios pirotécnicos y/o sustancias químicas.</w:t>
            </w: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4"/>
        <w:gridCol w:w="2116"/>
        <w:gridCol w:w="5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0" w:hRule="atLeast"/>
        </w:trPr>
        <w:tc>
          <w:tcPr>
            <w:tcW w:w="750" w:type="pct"/>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Fracción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 /</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NICO</w:t>
            </w:r>
          </w:p>
        </w:tc>
        <w:tc>
          <w:tcPr>
            <w:tcW w:w="2150" w:type="pct"/>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c>
          <w:tcPr>
            <w:tcW w:w="2100" w:type="pct"/>
            <w:tcBorders>
              <w:top w:val="single" w:color="000000" w:sz="6" w:space="0"/>
              <w:left w:val="single" w:color="000000" w:sz="6" w:space="0"/>
              <w:bottom w:val="single" w:color="000000" w:sz="6" w:space="0"/>
              <w:right w:val="single" w:color="000000" w:sz="6" w:space="0"/>
            </w:tcBorders>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7"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3813.00.01</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Preparaciones y cargas para aparatos extintores; granadas y bombas extintoras.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7"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Preparaciones y cargas para aparatos extintores; granadas y bombas extintoras.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1"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8413.70.01</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Portátiles, contra incendio.</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1"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Portátiles, contra incendio.</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1"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8424.10.03</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Extintores, incluso cargados.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7"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capacidad igual o inferior a 24 kg, excepto los reconocibles para naves aéreas.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9"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8424.90.01</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Partes.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 </w:t>
            </w:r>
            <w:r>
              <w:rPr>
                <w:rFonts w:hint="default" w:ascii="Verdana Regular" w:hAnsi="Verdana Regular" w:eastAsia="SimSun" w:cs="Verdana Regular"/>
                <w:color w:val="000000"/>
                <w:kern w:val="0"/>
                <w:sz w:val="20"/>
                <w:szCs w:val="20"/>
                <w:lang w:val="en-US" w:eastAsia="zh-CN" w:bidi="ar"/>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Partes.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23"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8531.10.01</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Bocinas en o con caja tipo intemperie a prueba de humedad, gases, vapores, polvo y explosión.</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23"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Bocinas en o con caja tipo intemperie a prueba de humedad, gases, vapores, polvo y explosión.</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3"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8531.10.02</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Campanas de alarma, con caja tipo intemperie a prueba de humedad, gases, vapores, polvos y explosión.</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3"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Campanas de alarma, con caja tipo intemperie a prueba de humedad, gases, vapores, polvos y explosión.</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3"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8531.10.03</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Alarmas electrónicas contra robo o incendio, de uso doméstico o industrial, incluso en forma de sistema.</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00</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Alarmas electrónicas contra robo o incendio, de uso doméstico o industrial, incluso en forma de sistema.</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1"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8531.10.99</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Los demás.</w:t>
            </w:r>
          </w:p>
        </w:tc>
        <w:tc>
          <w:tcPr>
            <w:tcW w:w="3694" w:type="dxa"/>
            <w:vMerge w:val="restart"/>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Únicamente:</w:t>
            </w:r>
            <w:r>
              <w:rPr>
                <w:rFonts w:hint="default" w:ascii="Verdana Regular" w:hAnsi="Verdana Regular" w:eastAsia="SimSun" w:cs="Verdana Regular"/>
                <w:color w:val="000000"/>
                <w:kern w:val="0"/>
                <w:sz w:val="20"/>
                <w:szCs w:val="20"/>
                <w:lang w:val="en-US" w:eastAsia="zh-CN" w:bidi="ar"/>
              </w:rPr>
              <w:t>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7"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Detectores electrónicos de humo, de monóxido de carbono, o de calor.</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1306"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right"/>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99</w:t>
            </w:r>
          </w:p>
        </w:tc>
        <w:tc>
          <w:tcPr>
            <w:tcW w:w="3980" w:type="dxa"/>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c>
          <w:tcPr>
            <w:tcW w:w="3694" w:type="dxa"/>
            <w:vMerge w:val="continue"/>
            <w:tcBorders>
              <w:top w:val="single" w:color="000000" w:sz="6" w:space="0"/>
              <w:left w:val="single" w:color="000000" w:sz="6" w:space="0"/>
              <w:bottom w:val="single" w:color="000000" w:sz="6" w:space="0"/>
              <w:right w:val="single" w:color="000000" w:sz="6" w:space="0"/>
            </w:tcBorders>
            <w:shd w:val="clear"/>
            <w:tcMar>
              <w:top w:w="0" w:type="dxa"/>
              <w:left w:w="70" w:type="dxa"/>
              <w:bottom w:w="0" w:type="dxa"/>
              <w:right w:w="70" w:type="dxa"/>
            </w:tcMar>
            <w:vAlign w:val="center"/>
          </w:tcPr>
          <w:p>
            <w:pPr>
              <w:rPr>
                <w:rFonts w:hint="default" w:ascii="Verdana Regular" w:hAnsi="Verdana Regular" w:cs="Verdana Regular"/>
                <w:sz w:val="20"/>
                <w:szCs w:val="20"/>
              </w:rPr>
            </w:pPr>
          </w:p>
        </w:tc>
      </w:tr>
    </w:tbl>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la entrada en vigor del presente Acuerdo, se abroga el Acuerdo que establece las mercancías cuya importación y exportación está sujeta a regulación por parte de la Secretaría de la Defensa Nacional, publicado en el Diario Oficial de la Federación el 27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30 de septiembre de 2022.- La Secretaria de Economía,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El Secretario de la Defensa Nacional,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Luis Cresencio Sandoval González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pStyle w:val="6"/>
        <w:keepNext w:val="0"/>
        <w:keepLines w:val="0"/>
        <w:widowControl/>
        <w:suppressLineNumbers w:val="0"/>
        <w:shd w:val="clear" w:fill="FFFFFF"/>
        <w:spacing w:before="0" w:beforeAutospacing="0" w:after="105" w:afterAutospacing="0"/>
        <w:ind w:left="105" w:righ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 </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F8D3E"/>
    <w:rsid w:val="4FEF8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2022-11-01T07:01:00Z</dcterms:created>
  <dc:creator>morgan</dc:creator>
  <cp:lastModifiedBy>Allan Morgan Hernández</cp:lastModifiedBy>
  <dcterms:modified xsi:type="dcterms:W3CDTF">2022-11-01T07:03:05Z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