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80F" w:rsidRPr="00C17112" w:rsidRDefault="009D080F" w:rsidP="009D080F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bookmarkStart w:id="0" w:name="_GoBack"/>
      <w:r w:rsidRPr="009D080F">
        <w:rPr>
          <w:rFonts w:ascii="Verdana" w:eastAsia="Verdana" w:hAnsi="Verdana" w:cs="Verdana"/>
          <w:b/>
          <w:color w:val="0000FF"/>
          <w:sz w:val="24"/>
          <w:szCs w:val="24"/>
        </w:rPr>
        <w:t>ACUERDO General 14/2021 del Pleno del Consejo de la Judicatura Federal, relativo al cambio de residencia y domicilio del Primer Tribunal Colegiado en Materias Civil y Administrativa del Decimotercer Circuito; y que reforma el similar 3/2013, relativo a la determinación del número y límites territoriales de los circuitos judiciales en que se divide la República Mexicana; y al número, a la jurisdicción territorial y especialización por materia de los Tribunales de Circuito y de los Juzgados de Distrito</w:t>
      </w:r>
      <w:bookmarkEnd w:id="0"/>
      <w:r w:rsidRPr="009D080F">
        <w:rPr>
          <w:rFonts w:ascii="Verdana" w:eastAsia="Verdana" w:hAnsi="Verdana" w:cs="Verdana"/>
          <w:b/>
          <w:color w:val="0000FF"/>
          <w:sz w:val="24"/>
          <w:szCs w:val="24"/>
        </w:rPr>
        <w:t xml:space="preserve">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(DOF del 25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octubre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2021)</w:t>
      </w:r>
    </w:p>
    <w:p w:rsidR="00B32171" w:rsidRDefault="009D080F" w:rsidP="009D080F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9D080F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Consejo de la Judicatura Federal.- Secretaría Ejecutiva del Pleno.</w:t>
      </w:r>
    </w:p>
    <w:p w:rsidR="009D080F" w:rsidRPr="009D080F" w:rsidRDefault="009D080F" w:rsidP="009D080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9D080F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ACUERDO GENERAL 14/2021, DEL PLENO DEL CONSEJO DE LA JUDICATURA FEDERAL, RELATIVO AL CAMBIO DE RESIDENCIA Y DOMICILIO DEL PRIMER TRIBUNAL COLEGIADO EN MATERIAS CIVIL Y ADMINISTRATIVA DEL DECIMOTERCER CIRCUITO; Y QUE REFORMA EL SIMILAR 3/2013, RELATIVO A LA DETERMINACIÓN DEL NÚMERO Y LÍMITES TERRITORIALES DE LOS CIRCUITOS JUDICIALES EN QUE SE DIVIDE LA REPÚBLICA MEXICANA; Y AL NÚMERO, A LA JURISDICCIÓN TERRITORIAL Y ESPECIALIZACIÓN POR MATERIA DE LOS TRIBUNALES DE CIRCUITO Y DE LOS JUZGADOS DE DISTRITO.</w:t>
      </w:r>
    </w:p>
    <w:p w:rsidR="009D080F" w:rsidRPr="009D080F" w:rsidRDefault="009D080F" w:rsidP="009D080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D080F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CONSIDERANDO</w:t>
      </w:r>
    </w:p>
    <w:p w:rsidR="009D080F" w:rsidRPr="009D080F" w:rsidRDefault="009D080F" w:rsidP="009D080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D080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PRIMERO. </w:t>
      </w:r>
      <w:r w:rsidRPr="009D08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 términos de</w:t>
      </w:r>
      <w:r w:rsidRPr="009D080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  <w:r w:rsidRPr="009D08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 dispuesto por los artículos 94, párrafo segundo; 100, párrafos primero y noveno, de la Constitución Política de los Estados Unidos Mexicanos; y 73 y 86, fracción II, de la Ley Orgánica del Poder Judicial de la Federación, el Consejo de la Judicatura Federal es el órgano encargado de la administración, vigilancia, disciplina y carrera judicial de los Tribunales de Circuito y Juzgados de Distrito, con independencia técnica, de gestión y para emitir sus resoluciones. Además, está facultado para expedir acuerdos generales que permitan el adecuado ejercicio de sus atribuciones;</w:t>
      </w:r>
    </w:p>
    <w:p w:rsidR="009D080F" w:rsidRPr="009D080F" w:rsidRDefault="009D080F" w:rsidP="009D080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D080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SEGUNDO.</w:t>
      </w:r>
      <w:r w:rsidRPr="009D08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artículo 17, párrafo segundo, de la Constitución Política de los Estados Unidos Mexicanos, establece que toda persona tiene derecho a que se le administre justicia por tribunales que estarán expeditos para impartirla en los plazos y términos que fijen las leyes, lo cual hace necesario que los órganos jurisdiccionales se encuentren en condiciones físicas convenientes para garantizar la impartición de justicia pronta, completa, imparcial y gratuita, como lo ordena el precepto constitucional invocado. Por tal motivo, el Consejo de la Judicatura Federal estima conveniente realizar el cambio de residencia y domicilio del Primer Tribunal Colegiado en Materias Civil y Administrativa del Decimotercer Circuito, con residencia en San Bartolo </w:t>
      </w:r>
      <w:proofErr w:type="spellStart"/>
      <w:r w:rsidRPr="009D08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Coyotepec</w:t>
      </w:r>
      <w:proofErr w:type="spellEnd"/>
      <w:r w:rsidRPr="009D08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con la finalidad de que los dos tribunales que comparten la </w:t>
      </w:r>
      <w:proofErr w:type="spellStart"/>
      <w:r w:rsidRPr="009D08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semiespecialización</w:t>
      </w:r>
      <w:proofErr w:type="spellEnd"/>
      <w:r w:rsidRPr="009D08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indicada se encuentren en la misma residencia, lugar en el que de igual forma se ubica la Oficina de Correspondencia Común que les presta servicio; y</w:t>
      </w:r>
    </w:p>
    <w:p w:rsidR="009D080F" w:rsidRPr="009D080F" w:rsidRDefault="009D080F" w:rsidP="009D080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D080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TERCERO.</w:t>
      </w:r>
      <w:r w:rsidRPr="009D08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En términos del Acuerdo General 3/2013 del Pleno del Consejo de la Judicatura Federal, relativo a la determinación del número y límites territoriales de los Circuitos Judiciales en que se divide la República Mexicana; y al número, a la jurisdicción territorial y especialización por Materia de los Tribunales de Circuito y de los Juzgados de Distrito; el Tribunal Colegiado señalado en el considerando anterior ejerce jurisdicción territorial en el Estado de Oaxaca, sin embargo, debido a su cambio de domicilio a la ciudad de Oaxaca resulta necesario modificar el Acuerdo General antes citado.</w:t>
      </w:r>
    </w:p>
    <w:p w:rsidR="009D080F" w:rsidRPr="009D080F" w:rsidRDefault="009D080F" w:rsidP="009D080F">
      <w:pPr>
        <w:shd w:val="clear" w:color="auto" w:fill="FFFFFF"/>
        <w:spacing w:after="8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D08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Por lo anterior, se expide el siguiente</w:t>
      </w:r>
    </w:p>
    <w:p w:rsidR="009D080F" w:rsidRPr="009D080F" w:rsidRDefault="009D080F" w:rsidP="009D080F">
      <w:pPr>
        <w:shd w:val="clear" w:color="auto" w:fill="FFFFFF"/>
        <w:spacing w:after="86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D080F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</w:t>
      </w:r>
    </w:p>
    <w:p w:rsidR="009D080F" w:rsidRPr="009D080F" w:rsidRDefault="009D080F" w:rsidP="009D080F">
      <w:pPr>
        <w:shd w:val="clear" w:color="auto" w:fill="FFFFFF"/>
        <w:spacing w:after="8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D080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1.</w:t>
      </w:r>
      <w:r w:rsidRPr="009D08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 Se autoriza el cambio de residencia y domicilio del Primer Tribunal Colegiado en Materias Civil y Administrativa del Decimotercer Circuito, con residencia en San Bartolo </w:t>
      </w:r>
      <w:proofErr w:type="spellStart"/>
      <w:r w:rsidRPr="009D08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Coyotepec</w:t>
      </w:r>
      <w:proofErr w:type="spellEnd"/>
      <w:r w:rsidRPr="009D08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</w:t>
      </w:r>
    </w:p>
    <w:p w:rsidR="009D080F" w:rsidRPr="009D080F" w:rsidRDefault="009D080F" w:rsidP="009D080F">
      <w:pPr>
        <w:shd w:val="clear" w:color="auto" w:fill="FFFFFF"/>
        <w:spacing w:after="8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D080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2.</w:t>
      </w:r>
      <w:r w:rsidRPr="009D08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nuevo domicilio del Primer Tribunal Colegiado en Materias Civil y Administrativa del Decimotercer Circuito, es Avenida Juárez 709, colonia Centro, código postal 68000, Oaxaca, Oaxaca.</w:t>
      </w:r>
    </w:p>
    <w:p w:rsidR="009D080F" w:rsidRPr="009D080F" w:rsidRDefault="009D080F" w:rsidP="009D080F">
      <w:pPr>
        <w:shd w:val="clear" w:color="auto" w:fill="FFFFFF"/>
        <w:spacing w:after="8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D080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3.</w:t>
      </w:r>
      <w:r w:rsidRPr="009D08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Primer Tribunal Colegiado en Materias Civil y Administrativa del Decimotercer Circuito, iniciará funciones en su nuevo domicilio el 16 de enero de 2022.</w:t>
      </w:r>
    </w:p>
    <w:p w:rsidR="009D080F" w:rsidRPr="009D080F" w:rsidRDefault="009D080F" w:rsidP="009D080F">
      <w:pPr>
        <w:shd w:val="clear" w:color="auto" w:fill="FFFFFF"/>
        <w:spacing w:after="8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D080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Artículo 4.</w:t>
      </w:r>
      <w:r w:rsidRPr="009D08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A partir del 16 de enero de 2022, toda la correspondencia, trámites y diligencias relacionados con los asuntos de la competencia del Primer Tribunal Colegiado en Materias Civil y Administrativa del Decimotercer Circuito, deberán dirigirse y realizarse en el domicilio precisado en el artículo 2 de este Acuerdo.</w:t>
      </w:r>
    </w:p>
    <w:p w:rsidR="009D080F" w:rsidRPr="009D080F" w:rsidRDefault="009D080F" w:rsidP="009D080F">
      <w:pPr>
        <w:shd w:val="clear" w:color="auto" w:fill="FFFFFF"/>
        <w:spacing w:after="8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D080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5.</w:t>
      </w:r>
      <w:r w:rsidRPr="009D08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 Oficina de Correspondencia Común de los Tribunales Colegiados en Materias Civil y Administrativa del Decimotercer Circuito, continuará prestando servicio al Tribunal Colegiado que cambia de residencia y domicilio.</w:t>
      </w:r>
    </w:p>
    <w:p w:rsidR="009D080F" w:rsidRPr="009D080F" w:rsidRDefault="009D080F" w:rsidP="009D080F">
      <w:pPr>
        <w:shd w:val="clear" w:color="auto" w:fill="FFFFFF"/>
        <w:spacing w:after="8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D080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6.</w:t>
      </w:r>
      <w:r w:rsidRPr="009D08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Pleno y las Comisiones de Creación de Nuevos Órganos; de Carrera Judicial; de Adscripción; y de Administración del Consejo de la Judicatura Federal, estarán facultados para interpretar y resolver las cuestiones administrativas que se susciten con motivo de la aplicación del presente Acuerdo en el ámbito de sus respectivas competencias.</w:t>
      </w:r>
    </w:p>
    <w:p w:rsidR="009D080F" w:rsidRPr="009D080F" w:rsidRDefault="009D080F" w:rsidP="009D080F">
      <w:pPr>
        <w:shd w:val="clear" w:color="auto" w:fill="FFFFFF"/>
        <w:spacing w:after="8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D08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D080F" w:rsidRPr="009D080F" w:rsidRDefault="009D080F" w:rsidP="009D080F">
      <w:pPr>
        <w:shd w:val="clear" w:color="auto" w:fill="FFFFFF"/>
        <w:spacing w:after="8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D080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7.</w:t>
      </w:r>
      <w:r w:rsidRPr="009D08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reforma el numeral SEGUNDO, fracción XIII, número 1, del Acuerdo General 3/2013 del Pleno del Consejo de la Judicatura Federal, relativo a la determinación del número y límites territoriales de los Circuitos Judiciales en que se divide la República Mexicana; y al número, a la jurisdicción territorial y especialización por materia de los Tribunales de Circuito y de los Juzgados de Distrito, para quedar como sigue:</w:t>
      </w:r>
    </w:p>
    <w:p w:rsidR="009D080F" w:rsidRPr="009D080F" w:rsidRDefault="009D080F" w:rsidP="009D080F">
      <w:pPr>
        <w:shd w:val="clear" w:color="auto" w:fill="FFFFFF"/>
        <w:spacing w:after="8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D08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</w:t>
      </w:r>
      <w:r w:rsidRPr="009D080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SEGUNDO.</w:t>
      </w:r>
      <w:r w:rsidRPr="009D08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  <w:r w:rsidRPr="009D080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9D080F" w:rsidRPr="009D080F" w:rsidRDefault="009D080F" w:rsidP="009D080F">
      <w:pPr>
        <w:shd w:val="clear" w:color="auto" w:fill="FFFFFF"/>
        <w:spacing w:after="8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D080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I.</w:t>
      </w:r>
      <w:r w:rsidRPr="009D08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a </w:t>
      </w:r>
      <w:r w:rsidRPr="009D080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XIII.</w:t>
      </w:r>
      <w:r w:rsidRPr="009D08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  <w:r w:rsidRPr="009D080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9D080F" w:rsidRPr="009D080F" w:rsidRDefault="009D080F" w:rsidP="009D080F">
      <w:pPr>
        <w:shd w:val="clear" w:color="auto" w:fill="FFFFFF"/>
        <w:spacing w:after="8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D080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1. </w:t>
      </w:r>
      <w:r w:rsidRPr="009D08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Cuatro tribunales colegiados </w:t>
      </w:r>
      <w:proofErr w:type="spellStart"/>
      <w:r w:rsidRPr="009D08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semi</w:t>
      </w:r>
      <w:proofErr w:type="spellEnd"/>
      <w:r w:rsidRPr="009D08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-especializados: Dos en materias civil y administrativa, ambos con residencia en la Ciudad de Oaxaca; y, dos en materias penal y de trabajo, ambos con residencia en San Bartolo </w:t>
      </w:r>
      <w:proofErr w:type="spellStart"/>
      <w:r w:rsidRPr="009D08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Coyotepec</w:t>
      </w:r>
      <w:proofErr w:type="spellEnd"/>
      <w:r w:rsidRPr="009D08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Oaxaca.</w:t>
      </w:r>
    </w:p>
    <w:p w:rsidR="009D080F" w:rsidRPr="009D080F" w:rsidRDefault="009D080F" w:rsidP="009D080F">
      <w:pPr>
        <w:shd w:val="clear" w:color="auto" w:fill="FFFFFF"/>
        <w:spacing w:after="8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D080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2.</w:t>
      </w:r>
      <w:r w:rsidRPr="009D08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a </w:t>
      </w:r>
      <w:r w:rsidRPr="009D080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3.</w:t>
      </w:r>
      <w:r w:rsidRPr="009D08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  <w:r w:rsidRPr="009D080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9D080F" w:rsidRPr="009D080F" w:rsidRDefault="009D080F" w:rsidP="009D080F">
      <w:pPr>
        <w:shd w:val="clear" w:color="auto" w:fill="FFFFFF"/>
        <w:spacing w:after="8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D080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XIV.</w:t>
      </w:r>
      <w:r w:rsidRPr="009D08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a </w:t>
      </w:r>
      <w:r w:rsidRPr="009D080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XXXII.</w:t>
      </w:r>
      <w:r w:rsidRPr="009D08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  <w:r w:rsidRPr="009D080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  <w:r w:rsidRPr="009D08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</w:t>
      </w:r>
    </w:p>
    <w:p w:rsidR="009D080F" w:rsidRPr="009D080F" w:rsidRDefault="009D080F" w:rsidP="009D080F">
      <w:pPr>
        <w:shd w:val="clear" w:color="auto" w:fill="FFFFFF"/>
        <w:spacing w:after="86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D080F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TRANSITORIOS</w:t>
      </w:r>
    </w:p>
    <w:p w:rsidR="009D080F" w:rsidRPr="009D080F" w:rsidRDefault="009D080F" w:rsidP="009D080F">
      <w:pPr>
        <w:shd w:val="clear" w:color="auto" w:fill="FFFFFF"/>
        <w:spacing w:after="8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D080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</w:t>
      </w:r>
      <w:r w:rsidRPr="009D08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 El presente Acuerdo entrará en vigor al día siguiente de su publicación en el Diario Oficial de la Federación; con excepción del transitorio </w:t>
      </w:r>
      <w:r w:rsidRPr="009D080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CUARTO</w:t>
      </w:r>
      <w:r w:rsidRPr="009D08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el cual entrará en vigor al día siguiente de su aprobación.</w:t>
      </w:r>
    </w:p>
    <w:p w:rsidR="009D080F" w:rsidRPr="009D080F" w:rsidRDefault="009D080F" w:rsidP="009D080F">
      <w:pPr>
        <w:shd w:val="clear" w:color="auto" w:fill="FFFFFF"/>
        <w:spacing w:after="8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D080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SEGUNDO.</w:t>
      </w:r>
      <w:r w:rsidRPr="009D08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Publíquese este Acuerdo en el Diario Oficial de la Federación, y para su mayor difusión en el Semanario Judicial de la Federación y su Gaceta, así como en el portal del Consejo de la Judicatura Federal en Intranet e Internet.</w:t>
      </w:r>
    </w:p>
    <w:p w:rsidR="009D080F" w:rsidRPr="009D080F" w:rsidRDefault="009D080F" w:rsidP="009D080F">
      <w:pPr>
        <w:shd w:val="clear" w:color="auto" w:fill="FFFFFF"/>
        <w:spacing w:after="8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D080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TERCERO.</w:t>
      </w:r>
      <w:r w:rsidRPr="009D08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Primer Tribunal Colegiado en Materias Civil y Administrativa del Decimotercer Circuito y la Oficina de Correspondencia Común de que se trata, deberán colocar avisos en lugares visibles con relación al cambio de domicilio.</w:t>
      </w:r>
    </w:p>
    <w:p w:rsidR="009D080F" w:rsidRPr="009D080F" w:rsidRDefault="009D080F" w:rsidP="009D080F">
      <w:pPr>
        <w:shd w:val="clear" w:color="auto" w:fill="FFFFFF"/>
        <w:spacing w:after="8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D080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CUARTO.</w:t>
      </w:r>
      <w:r w:rsidRPr="009D08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 Secretaría Ejecutiva de Administración, por conducto de las unidades administrativas competentes que le están adscritas, deberá realizar las acciones necesarias para que el Primer Tribunal Colegiado en Materias Civil y Administrativa del Decimotercer Circuito, inicie funciones en su nuevo domicilio el 16 de enero de 2022.</w:t>
      </w:r>
    </w:p>
    <w:p w:rsidR="009D080F" w:rsidRPr="009D080F" w:rsidRDefault="009D080F" w:rsidP="009D080F">
      <w:pPr>
        <w:shd w:val="clear" w:color="auto" w:fill="FFFFFF"/>
        <w:spacing w:after="86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9D080F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EL LICENCIADO </w:t>
      </w:r>
      <w:r w:rsidRPr="009D080F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ARTURO GUERRERO ZAZUETA</w:t>
      </w:r>
      <w:r w:rsidRPr="009D080F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, SECRETARIO EJECUTIVO DEL PLENO DEL CONSEJO DE LA JUDICATURA FEDERAL, CERTIFICA:</w:t>
      </w:r>
      <w:r w:rsidRPr="009D080F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 </w:t>
      </w:r>
      <w:r w:rsidRPr="009D080F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Que este Acuerdo General 14/2021, del Pleno del Consejo de la Judicatura Federal, relativo al cambio de residencia y domicilio del Primer Tribunal Colegiado en Materias Civil y Administrativa del Decimotercer Circuito; y que reforma el similar 3/2013, relativo a la determinación del número y límites territoriales de los Circuitos judiciales en que se divide la república mexicana; y al número, a la jurisdicción territorial y especialización por materia de los tribunales de Circuito y de los juzgados de Distrito, fue aprobado por el Pleno del propio Consejo, en sesión ordinaria de 8 de septiembre de 2021, por unanimidad de votos de los señores Consejeros: Presidente Ministro Arturo Zaldívar Lelo de Larrea, Bernardo </w:t>
      </w:r>
      <w:proofErr w:type="spellStart"/>
      <w:r w:rsidRPr="009D080F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Bátiz</w:t>
      </w:r>
      <w:proofErr w:type="spellEnd"/>
      <w:r w:rsidRPr="009D080F">
        <w:rPr>
          <w:rFonts w:ascii="Arial" w:eastAsia="Times New Roman" w:hAnsi="Arial" w:cs="Arial"/>
          <w:color w:val="2F2F2F"/>
          <w:sz w:val="16"/>
          <w:szCs w:val="16"/>
          <w:lang w:eastAsia="es-MX"/>
        </w:rPr>
        <w:t xml:space="preserve"> Vázquez, Jorge Antonio Cruz Ramos, Eva Verónica de </w:t>
      </w:r>
      <w:proofErr w:type="spellStart"/>
      <w:r w:rsidRPr="009D080F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Gyvés</w:t>
      </w:r>
      <w:proofErr w:type="spellEnd"/>
      <w:r w:rsidRPr="009D080F">
        <w:rPr>
          <w:rFonts w:ascii="Arial" w:eastAsia="Times New Roman" w:hAnsi="Arial" w:cs="Arial"/>
          <w:color w:val="2F2F2F"/>
          <w:sz w:val="16"/>
          <w:szCs w:val="16"/>
          <w:lang w:eastAsia="es-MX"/>
        </w:rPr>
        <w:t xml:space="preserve"> Zárate, Alejandro Sergio González Bernabé, Sergio Javier Molina Martínez y </w:t>
      </w:r>
      <w:proofErr w:type="spellStart"/>
      <w:r w:rsidRPr="009D080F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Loretta</w:t>
      </w:r>
      <w:proofErr w:type="spellEnd"/>
      <w:r w:rsidRPr="009D080F">
        <w:rPr>
          <w:rFonts w:ascii="Arial" w:eastAsia="Times New Roman" w:hAnsi="Arial" w:cs="Arial"/>
          <w:color w:val="2F2F2F"/>
          <w:sz w:val="16"/>
          <w:szCs w:val="16"/>
          <w:lang w:eastAsia="es-MX"/>
        </w:rPr>
        <w:t xml:space="preserve"> Ortiz </w:t>
      </w:r>
      <w:proofErr w:type="spellStart"/>
      <w:r w:rsidRPr="009D080F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Ahlf</w:t>
      </w:r>
      <w:proofErr w:type="spellEnd"/>
      <w:r w:rsidRPr="009D080F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.- Ciudad de México, a 14 de octubre de 2021.- Conste.- Rúbrica.</w:t>
      </w:r>
    </w:p>
    <w:sectPr w:rsidR="009D080F" w:rsidRPr="009D08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0F"/>
    <w:rsid w:val="00857D96"/>
    <w:rsid w:val="009D080F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8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8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1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01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2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461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779">
          <w:marLeft w:val="0"/>
          <w:marRight w:val="0"/>
          <w:marTop w:val="101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1349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277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51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2905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121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539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294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86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45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9135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841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050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618">
          <w:marLeft w:val="0"/>
          <w:marRight w:val="0"/>
          <w:marTop w:val="101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462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52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572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1361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87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1192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2021-10-25T13:28:00Z</dcterms:created>
  <dcterms:modified xsi:type="dcterms:W3CDTF">2021-10-25T13:29:00Z</dcterms:modified>
</cp:coreProperties>
</file>