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89" w:rsidRPr="00841D9A" w:rsidRDefault="00792A89" w:rsidP="00792A89">
      <w:pPr>
        <w:jc w:val="center"/>
        <w:rPr>
          <w:rFonts w:ascii="Verdana" w:eastAsia="Verdana" w:hAnsi="Verdana" w:cs="Verdana"/>
          <w:b/>
          <w:color w:val="0000FF"/>
          <w:sz w:val="24"/>
          <w:szCs w:val="24"/>
        </w:rPr>
      </w:pPr>
      <w:r w:rsidRPr="00792A89">
        <w:rPr>
          <w:rFonts w:ascii="Verdana" w:eastAsia="Verdana" w:hAnsi="Verdana" w:cs="Verdana"/>
          <w:b/>
          <w:color w:val="0000FF"/>
          <w:sz w:val="24"/>
          <w:szCs w:val="24"/>
        </w:rPr>
        <w:t>ACUERDO por el que se dan a conocer los días del año 2023 considerados como inhábiles para efectos de los actos y procedimientos administrativos que substancia la Secretaría del Trabajo y Previsión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marzo de 2023</w:t>
      </w:r>
      <w:r w:rsidRPr="0099730F">
        <w:rPr>
          <w:rFonts w:ascii="Verdana" w:eastAsia="Verdana" w:hAnsi="Verdana" w:cs="Verdana"/>
          <w:b/>
          <w:color w:val="0000FF"/>
          <w:sz w:val="24"/>
          <w:szCs w:val="24"/>
        </w:rPr>
        <w:t>)</w:t>
      </w:r>
      <w:bookmarkEnd w:id="0"/>
    </w:p>
    <w:p w:rsidR="00731C8F" w:rsidRDefault="00792A89" w:rsidP="00792A89">
      <w:pPr>
        <w:jc w:val="both"/>
        <w:rPr>
          <w:rFonts w:ascii="Arial" w:hAnsi="Arial" w:cs="Arial"/>
          <w:b/>
          <w:color w:val="2F2F2F"/>
          <w:sz w:val="18"/>
          <w:szCs w:val="18"/>
          <w:shd w:val="clear" w:color="auto" w:fill="FFFFFF"/>
        </w:rPr>
      </w:pPr>
      <w:r w:rsidRPr="00792A89">
        <w:rPr>
          <w:rFonts w:ascii="Arial" w:hAnsi="Arial" w:cs="Arial"/>
          <w:b/>
          <w:color w:val="2F2F2F"/>
          <w:sz w:val="18"/>
          <w:szCs w:val="18"/>
          <w:shd w:val="clear" w:color="auto" w:fill="FFFFFF"/>
        </w:rPr>
        <w:t>Al margen un sello con el Escudo Nacional, que dice: Estados Unidos Mexicanos.- Secretaría del Trabajo y Previsión Social.</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LUISA MARÍA ALCALDE LUJÁN, Secretaria del Trabajo y Previsión Social, con fundamento en lo dispuesto por los artículos 40 de la Ley Orgánica de la Administración Pública Federal; 15 de la Ley Federal del Trabajo y Segundo Transitorio del DECRETO por el que se reforman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1, 2, 17, fracciones XXVI, XXIX y XXXII, 28 fracción VII y 30 fracciones II y XXX del Reglamento Interior de la Secretaría del Trabajo y Previsión Social; 2, 4, 12, 13, 14 y 28 de la Ley Federal de Procedimiento Administrativo; 281 y 286 del Código Federal de Procedimientos Civiles de aplicación supletoria; 1, 2, 22, 27, 28, 51 al 64 del Reglamento General de Inspección del Trabajo y Aplicación de Sanciones; y</w:t>
      </w:r>
    </w:p>
    <w:p w:rsidR="00792A89" w:rsidRPr="00792A89" w:rsidRDefault="00792A89" w:rsidP="00792A89">
      <w:pPr>
        <w:shd w:val="clear" w:color="auto" w:fill="FFFFFF"/>
        <w:spacing w:after="30" w:line="240" w:lineRule="auto"/>
        <w:jc w:val="center"/>
        <w:rPr>
          <w:rFonts w:ascii="Times New Roman" w:eastAsia="Times New Roman" w:hAnsi="Times New Roman" w:cs="Times New Roman"/>
          <w:b/>
          <w:bCs/>
          <w:color w:val="2F2F2F"/>
          <w:sz w:val="18"/>
          <w:szCs w:val="18"/>
          <w:lang w:eastAsia="es-MX"/>
        </w:rPr>
      </w:pPr>
      <w:r w:rsidRPr="00792A89">
        <w:rPr>
          <w:rFonts w:ascii="Times" w:eastAsia="Times New Roman" w:hAnsi="Times" w:cs="Times New Roman"/>
          <w:b/>
          <w:bCs/>
          <w:color w:val="2F2F2F"/>
          <w:sz w:val="18"/>
          <w:szCs w:val="18"/>
          <w:lang w:eastAsia="es-MX"/>
        </w:rPr>
        <w:t>CONSIDERANDO</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Que a la Secretaría del Trabajo y Previsión Social le corresponde, entre otros asuntos, vigilar la observancia y aplicación de las disposiciones relativas contenidas en el artículo 123 y demás de la Constitución Federal, en la Ley Federal del Trabajo y en sus reglamentos;</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Que, para el desahogo de los asuntos de su competencia, se auxiliará, entre otras Unidades Administrativas, de la Dirección General de Asuntos Jurídicos, Dirección General de Inspección Federal del Trabajo, Direcciones de Coordinación Regional y de las Oficinas de Representación Federal del Trabajo en las entidades federativas;</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Que le corresponde instaurar y substanciar los procedimientos administrativos, de conformidad con el artículo 15 de la Ley Federal del Trabajo, así como, de inspección y vigilancia e imposición de sanciones;</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Que la Ley Federal de Procedimiento Administrativo establece los días inhábiles en los que no contarán términos legales, mismos que deben hacerse del conocimiento público mediante Acuerdo del titular de la Dependencia, que se publicará en el Diario Oficial de la Federación; por lo que he tenido a bien expedir el siguiente:</w:t>
      </w:r>
    </w:p>
    <w:p w:rsidR="00792A89" w:rsidRPr="00792A89" w:rsidRDefault="00792A89" w:rsidP="00792A89">
      <w:pPr>
        <w:shd w:val="clear" w:color="auto" w:fill="FFFFFF"/>
        <w:spacing w:after="30" w:line="240" w:lineRule="auto"/>
        <w:jc w:val="center"/>
        <w:rPr>
          <w:rFonts w:ascii="Times New Roman" w:eastAsia="Times New Roman" w:hAnsi="Times New Roman" w:cs="Times New Roman"/>
          <w:b/>
          <w:bCs/>
          <w:color w:val="2F2F2F"/>
          <w:sz w:val="18"/>
          <w:szCs w:val="18"/>
          <w:lang w:eastAsia="es-MX"/>
        </w:rPr>
      </w:pPr>
      <w:r w:rsidRPr="00792A89">
        <w:rPr>
          <w:rFonts w:ascii="Times" w:eastAsia="Times New Roman" w:hAnsi="Times" w:cs="Times New Roman"/>
          <w:b/>
          <w:bCs/>
          <w:color w:val="2F2F2F"/>
          <w:sz w:val="18"/>
          <w:szCs w:val="18"/>
          <w:lang w:eastAsia="es-MX"/>
        </w:rPr>
        <w:t>ACUERDO POR EL QUE SE DAN A CONOCER LOS DÍAS DEL AÑO 2023 CONSIDERADOS COMO</w:t>
      </w:r>
      <w:r w:rsidRPr="00792A89">
        <w:rPr>
          <w:rFonts w:ascii="Times New Roman" w:eastAsia="Times New Roman" w:hAnsi="Times New Roman" w:cs="Times New Roman"/>
          <w:b/>
          <w:bCs/>
          <w:color w:val="2F2F2F"/>
          <w:sz w:val="18"/>
          <w:szCs w:val="18"/>
          <w:lang w:eastAsia="es-MX"/>
        </w:rPr>
        <w:br/>
      </w:r>
      <w:r w:rsidRPr="00792A89">
        <w:rPr>
          <w:rFonts w:ascii="Times" w:eastAsia="Times New Roman" w:hAnsi="Times" w:cs="Times New Roman"/>
          <w:b/>
          <w:bCs/>
          <w:color w:val="2F2F2F"/>
          <w:sz w:val="18"/>
          <w:szCs w:val="18"/>
          <w:lang w:eastAsia="es-MX"/>
        </w:rPr>
        <w:t>INHÁBILES PARA EFECTOS DE LOS ACTOS Y PROCEDIMIENTOS ADMINISTRATIVOS QUE</w:t>
      </w:r>
      <w:r w:rsidRPr="00792A89">
        <w:rPr>
          <w:rFonts w:ascii="Times New Roman" w:eastAsia="Times New Roman" w:hAnsi="Times New Roman" w:cs="Times New Roman"/>
          <w:b/>
          <w:bCs/>
          <w:color w:val="2F2F2F"/>
          <w:sz w:val="18"/>
          <w:szCs w:val="18"/>
          <w:lang w:eastAsia="es-MX"/>
        </w:rPr>
        <w:br/>
      </w:r>
      <w:r w:rsidRPr="00792A89">
        <w:rPr>
          <w:rFonts w:ascii="Times" w:eastAsia="Times New Roman" w:hAnsi="Times" w:cs="Times New Roman"/>
          <w:b/>
          <w:bCs/>
          <w:color w:val="2F2F2F"/>
          <w:sz w:val="18"/>
          <w:szCs w:val="18"/>
          <w:lang w:eastAsia="es-MX"/>
        </w:rPr>
        <w:t>SUBSTANCIA LA SECRETARÍA DEL TRABAJO Y PREVISIÓN SOCIAL</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b/>
          <w:bCs/>
          <w:color w:val="2F2F2F"/>
          <w:sz w:val="18"/>
          <w:szCs w:val="18"/>
          <w:lang w:eastAsia="es-MX"/>
        </w:rPr>
        <w:t>PRIMERO. </w:t>
      </w:r>
      <w:r w:rsidRPr="00792A89">
        <w:rPr>
          <w:rFonts w:ascii="Arial" w:eastAsia="Times New Roman" w:hAnsi="Arial" w:cs="Arial"/>
          <w:color w:val="2F2F2F"/>
          <w:sz w:val="18"/>
          <w:szCs w:val="18"/>
          <w:lang w:eastAsia="es-MX"/>
        </w:rPr>
        <w:t>Para efectos de los actos y procedimientos administrativos establecidos en el artículo 15 de la Ley Federal del Trabajo, así como los procedimientos en materia de inspección y vigilancia e imposición de sanciones que, en ejercicio de sus atribuciones, realizan la Dirección General de Asuntos Jurídicos, la Dirección General de Inspección Federal del Trabajo, Direcciones de Coordinación Regional y de las Oficinas de Representación Federal del Trabajo en las entidades federativas, se considerarán como inhábiles, en términos de la Ley Federal de Procedimiento Administrativo, los siguientes días:</w:t>
      </w:r>
    </w:p>
    <w:p w:rsidR="00792A89" w:rsidRPr="00792A89" w:rsidRDefault="00792A89" w:rsidP="00792A89">
      <w:pPr>
        <w:shd w:val="clear" w:color="auto" w:fill="FFFFFF"/>
        <w:spacing w:after="30" w:line="240" w:lineRule="auto"/>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Del 17 al 28 de julio de 2023</w:t>
      </w:r>
    </w:p>
    <w:p w:rsidR="00792A89" w:rsidRPr="00792A89" w:rsidRDefault="00792A89" w:rsidP="00792A89">
      <w:pPr>
        <w:shd w:val="clear" w:color="auto" w:fill="FFFFFF"/>
        <w:spacing w:after="30" w:line="240" w:lineRule="auto"/>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Del 18 al 29 de diciembre de 2023</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b/>
          <w:bCs/>
          <w:color w:val="2F2F2F"/>
          <w:sz w:val="18"/>
          <w:szCs w:val="18"/>
          <w:lang w:eastAsia="es-MX"/>
        </w:rPr>
        <w:t>SEGUNDO. </w:t>
      </w:r>
      <w:r w:rsidRPr="00792A89">
        <w:rPr>
          <w:rFonts w:ascii="Arial" w:eastAsia="Times New Roman" w:hAnsi="Arial" w:cs="Arial"/>
          <w:color w:val="2F2F2F"/>
          <w:sz w:val="18"/>
          <w:szCs w:val="18"/>
          <w:lang w:eastAsia="es-MX"/>
        </w:rPr>
        <w:t>Durante los periodos y días señalados en el artículo anterior, no se computarán los plazos y términos correspondientes en la instauración y substanciación de los procedimientos administrativos, establecidos en el artículo 15 de la Ley Federal del Trabajo, así como, de los procedimientos en materia de inspección y vigilancia e imposición de sanciones que se realicen en la Dirección General de Asuntos Jurídicos, la Dirección General de Inspección Federal del Trabajo, Direcciones de Coordinación Regional y de las Oficinas de Representación Federal del Trabajo en las entidades federativas.</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b/>
          <w:bCs/>
          <w:color w:val="2F2F2F"/>
          <w:sz w:val="18"/>
          <w:szCs w:val="18"/>
          <w:lang w:eastAsia="es-MX"/>
        </w:rPr>
        <w:t>TERCERO.</w:t>
      </w:r>
      <w:r w:rsidRPr="00792A89">
        <w:rPr>
          <w:rFonts w:ascii="Arial" w:eastAsia="Times New Roman" w:hAnsi="Arial" w:cs="Arial"/>
          <w:color w:val="2F2F2F"/>
          <w:sz w:val="18"/>
          <w:szCs w:val="18"/>
          <w:lang w:eastAsia="es-MX"/>
        </w:rPr>
        <w:t> De conformidad con el artículo 28 del Reglamento General de Inspección del Trabajo y Aplicación de Sanciones, se podrán habilitar los días y horas que resulten necesarios durante los periodos referidos en el numeral anterior, a consideración del titular de la Unidad Administrativa competente de esta Secretaría, a fin de proveer los asuntos cuya urgencia y relevancia lo ameriten.</w:t>
      </w:r>
    </w:p>
    <w:p w:rsidR="00792A89" w:rsidRPr="00792A89" w:rsidRDefault="00792A89" w:rsidP="00792A89">
      <w:pPr>
        <w:shd w:val="clear" w:color="auto" w:fill="FFFFFF"/>
        <w:spacing w:after="30" w:line="240" w:lineRule="auto"/>
        <w:jc w:val="center"/>
        <w:rPr>
          <w:rFonts w:ascii="Times New Roman" w:eastAsia="Times New Roman" w:hAnsi="Times New Roman" w:cs="Times New Roman"/>
          <w:b/>
          <w:bCs/>
          <w:color w:val="2F2F2F"/>
          <w:sz w:val="18"/>
          <w:szCs w:val="18"/>
          <w:lang w:eastAsia="es-MX"/>
        </w:rPr>
      </w:pPr>
      <w:r w:rsidRPr="00792A89">
        <w:rPr>
          <w:rFonts w:ascii="Times" w:eastAsia="Times New Roman" w:hAnsi="Times" w:cs="Times New Roman"/>
          <w:b/>
          <w:bCs/>
          <w:color w:val="2F2F2F"/>
          <w:sz w:val="18"/>
          <w:szCs w:val="18"/>
          <w:lang w:eastAsia="es-MX"/>
        </w:rPr>
        <w:lastRenderedPageBreak/>
        <w:t>TRANSITORIO</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b/>
          <w:bCs/>
          <w:color w:val="2F2F2F"/>
          <w:sz w:val="18"/>
          <w:szCs w:val="18"/>
          <w:lang w:eastAsia="es-MX"/>
        </w:rPr>
        <w:t>ÚNICO. </w:t>
      </w:r>
      <w:r w:rsidRPr="00792A89">
        <w:rPr>
          <w:rFonts w:ascii="Arial" w:eastAsia="Times New Roman" w:hAnsi="Arial" w:cs="Arial"/>
          <w:color w:val="2F2F2F"/>
          <w:sz w:val="18"/>
          <w:szCs w:val="18"/>
          <w:lang w:eastAsia="es-MX"/>
        </w:rPr>
        <w:t>El presente Acuerdo entrará en vigor al día siguiente de su publicación en el Diario Oficial de la Federación.</w:t>
      </w:r>
    </w:p>
    <w:p w:rsidR="00792A89" w:rsidRPr="00792A89" w:rsidRDefault="00792A89" w:rsidP="00792A89">
      <w:pPr>
        <w:shd w:val="clear" w:color="auto" w:fill="FFFFFF"/>
        <w:spacing w:after="30" w:line="240" w:lineRule="auto"/>
        <w:ind w:firstLine="288"/>
        <w:jc w:val="both"/>
        <w:rPr>
          <w:rFonts w:ascii="Arial" w:eastAsia="Times New Roman" w:hAnsi="Arial" w:cs="Arial"/>
          <w:color w:val="2F2F2F"/>
          <w:sz w:val="18"/>
          <w:szCs w:val="18"/>
          <w:lang w:eastAsia="es-MX"/>
        </w:rPr>
      </w:pPr>
      <w:r w:rsidRPr="00792A89">
        <w:rPr>
          <w:rFonts w:ascii="Arial" w:eastAsia="Times New Roman" w:hAnsi="Arial" w:cs="Arial"/>
          <w:color w:val="2F2F2F"/>
          <w:sz w:val="18"/>
          <w:szCs w:val="18"/>
          <w:lang w:eastAsia="es-MX"/>
        </w:rPr>
        <w:t>Ciudad de México, a los veinticinco días del mes de enero de dos mil veintitrés.- La Secretaria del Trabajo</w:t>
      </w:r>
    </w:p>
    <w:p w:rsidR="00792A89" w:rsidRPr="00792A89" w:rsidRDefault="00792A89" w:rsidP="00792A89">
      <w:pPr>
        <w:shd w:val="clear" w:color="auto" w:fill="FFFFFF"/>
        <w:spacing w:after="30" w:line="240" w:lineRule="auto"/>
        <w:jc w:val="both"/>
        <w:rPr>
          <w:rFonts w:ascii="Arial" w:eastAsia="Times New Roman" w:hAnsi="Arial" w:cs="Arial"/>
          <w:color w:val="2F2F2F"/>
          <w:sz w:val="18"/>
          <w:szCs w:val="18"/>
          <w:lang w:eastAsia="es-MX"/>
        </w:rPr>
      </w:pPr>
      <w:proofErr w:type="gramStart"/>
      <w:r w:rsidRPr="00792A89">
        <w:rPr>
          <w:rFonts w:ascii="Arial" w:eastAsia="Times New Roman" w:hAnsi="Arial" w:cs="Arial"/>
          <w:color w:val="2F2F2F"/>
          <w:sz w:val="18"/>
          <w:szCs w:val="18"/>
          <w:lang w:eastAsia="es-MX"/>
        </w:rPr>
        <w:t>y</w:t>
      </w:r>
      <w:proofErr w:type="gramEnd"/>
      <w:r w:rsidRPr="00792A89">
        <w:rPr>
          <w:rFonts w:ascii="Arial" w:eastAsia="Times New Roman" w:hAnsi="Arial" w:cs="Arial"/>
          <w:color w:val="2F2F2F"/>
          <w:sz w:val="18"/>
          <w:szCs w:val="18"/>
          <w:lang w:eastAsia="es-MX"/>
        </w:rPr>
        <w:t xml:space="preserve"> Previsión Social, </w:t>
      </w:r>
      <w:r w:rsidRPr="00792A89">
        <w:rPr>
          <w:rFonts w:ascii="Arial" w:eastAsia="Times New Roman" w:hAnsi="Arial" w:cs="Arial"/>
          <w:b/>
          <w:bCs/>
          <w:color w:val="2F2F2F"/>
          <w:sz w:val="18"/>
          <w:szCs w:val="18"/>
          <w:lang w:eastAsia="es-MX"/>
        </w:rPr>
        <w:t>Luisa María Alcalde Luján</w:t>
      </w:r>
      <w:r w:rsidRPr="00792A89">
        <w:rPr>
          <w:rFonts w:ascii="Arial" w:eastAsia="Times New Roman" w:hAnsi="Arial" w:cs="Arial"/>
          <w:color w:val="2F2F2F"/>
          <w:sz w:val="18"/>
          <w:szCs w:val="18"/>
          <w:lang w:eastAsia="es-MX"/>
        </w:rPr>
        <w:t>.- Rúbrica.</w:t>
      </w:r>
    </w:p>
    <w:p w:rsidR="00792A89" w:rsidRDefault="00792A89" w:rsidP="00792A89">
      <w:pPr>
        <w:jc w:val="both"/>
      </w:pPr>
    </w:p>
    <w:sectPr w:rsidR="00792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89"/>
    <w:rsid w:val="00731C8F"/>
    <w:rsid w:val="00792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40143">
      <w:bodyDiv w:val="1"/>
      <w:marLeft w:val="0"/>
      <w:marRight w:val="0"/>
      <w:marTop w:val="0"/>
      <w:marBottom w:val="0"/>
      <w:divBdr>
        <w:top w:val="none" w:sz="0" w:space="0" w:color="auto"/>
        <w:left w:val="none" w:sz="0" w:space="0" w:color="auto"/>
        <w:bottom w:val="none" w:sz="0" w:space="0" w:color="auto"/>
        <w:right w:val="none" w:sz="0" w:space="0" w:color="auto"/>
      </w:divBdr>
      <w:divsChild>
        <w:div w:id="1061369358">
          <w:marLeft w:val="0"/>
          <w:marRight w:val="0"/>
          <w:marTop w:val="26"/>
          <w:marBottom w:val="30"/>
          <w:divBdr>
            <w:top w:val="none" w:sz="0" w:space="0" w:color="auto"/>
            <w:left w:val="none" w:sz="0" w:space="0" w:color="auto"/>
            <w:bottom w:val="none" w:sz="0" w:space="0" w:color="auto"/>
            <w:right w:val="none" w:sz="0" w:space="0" w:color="auto"/>
          </w:divBdr>
        </w:div>
        <w:div w:id="1465276258">
          <w:marLeft w:val="0"/>
          <w:marRight w:val="0"/>
          <w:marTop w:val="26"/>
          <w:marBottom w:val="30"/>
          <w:divBdr>
            <w:top w:val="none" w:sz="0" w:space="0" w:color="auto"/>
            <w:left w:val="none" w:sz="0" w:space="0" w:color="auto"/>
            <w:bottom w:val="none" w:sz="0" w:space="0" w:color="auto"/>
            <w:right w:val="none" w:sz="0" w:space="0" w:color="auto"/>
          </w:divBdr>
        </w:div>
        <w:div w:id="1557160002">
          <w:marLeft w:val="0"/>
          <w:marRight w:val="0"/>
          <w:marTop w:val="26"/>
          <w:marBottom w:val="30"/>
          <w:divBdr>
            <w:top w:val="none" w:sz="0" w:space="0" w:color="auto"/>
            <w:left w:val="none" w:sz="0" w:space="0" w:color="auto"/>
            <w:bottom w:val="none" w:sz="0" w:space="0" w:color="auto"/>
            <w:right w:val="none" w:sz="0" w:space="0" w:color="auto"/>
          </w:divBdr>
        </w:div>
        <w:div w:id="1907448368">
          <w:marLeft w:val="0"/>
          <w:marRight w:val="0"/>
          <w:marTop w:val="26"/>
          <w:marBottom w:val="30"/>
          <w:divBdr>
            <w:top w:val="none" w:sz="0" w:space="0" w:color="auto"/>
            <w:left w:val="none" w:sz="0" w:space="0" w:color="auto"/>
            <w:bottom w:val="none" w:sz="0" w:space="0" w:color="auto"/>
            <w:right w:val="none" w:sz="0" w:space="0" w:color="auto"/>
          </w:divBdr>
        </w:div>
        <w:div w:id="351077401">
          <w:marLeft w:val="0"/>
          <w:marRight w:val="0"/>
          <w:marTop w:val="26"/>
          <w:marBottom w:val="30"/>
          <w:divBdr>
            <w:top w:val="none" w:sz="0" w:space="0" w:color="auto"/>
            <w:left w:val="none" w:sz="0" w:space="0" w:color="auto"/>
            <w:bottom w:val="none" w:sz="0" w:space="0" w:color="auto"/>
            <w:right w:val="none" w:sz="0" w:space="0" w:color="auto"/>
          </w:divBdr>
        </w:div>
        <w:div w:id="997686847">
          <w:marLeft w:val="0"/>
          <w:marRight w:val="0"/>
          <w:marTop w:val="26"/>
          <w:marBottom w:val="30"/>
          <w:divBdr>
            <w:top w:val="none" w:sz="0" w:space="0" w:color="auto"/>
            <w:left w:val="none" w:sz="0" w:space="0" w:color="auto"/>
            <w:bottom w:val="none" w:sz="0" w:space="0" w:color="auto"/>
            <w:right w:val="none" w:sz="0" w:space="0" w:color="auto"/>
          </w:divBdr>
        </w:div>
        <w:div w:id="1375471088">
          <w:marLeft w:val="0"/>
          <w:marRight w:val="0"/>
          <w:marTop w:val="26"/>
          <w:marBottom w:val="30"/>
          <w:divBdr>
            <w:top w:val="none" w:sz="0" w:space="0" w:color="auto"/>
            <w:left w:val="none" w:sz="0" w:space="0" w:color="auto"/>
            <w:bottom w:val="none" w:sz="0" w:space="0" w:color="auto"/>
            <w:right w:val="none" w:sz="0" w:space="0" w:color="auto"/>
          </w:divBdr>
        </w:div>
        <w:div w:id="1199313648">
          <w:marLeft w:val="0"/>
          <w:marRight w:val="0"/>
          <w:marTop w:val="26"/>
          <w:marBottom w:val="30"/>
          <w:divBdr>
            <w:top w:val="none" w:sz="0" w:space="0" w:color="auto"/>
            <w:left w:val="none" w:sz="0" w:space="0" w:color="auto"/>
            <w:bottom w:val="none" w:sz="0" w:space="0" w:color="auto"/>
            <w:right w:val="none" w:sz="0" w:space="0" w:color="auto"/>
          </w:divBdr>
        </w:div>
        <w:div w:id="384985715">
          <w:marLeft w:val="576"/>
          <w:marRight w:val="0"/>
          <w:marTop w:val="26"/>
          <w:marBottom w:val="30"/>
          <w:divBdr>
            <w:top w:val="none" w:sz="0" w:space="0" w:color="auto"/>
            <w:left w:val="none" w:sz="0" w:space="0" w:color="auto"/>
            <w:bottom w:val="none" w:sz="0" w:space="0" w:color="auto"/>
            <w:right w:val="none" w:sz="0" w:space="0" w:color="auto"/>
          </w:divBdr>
        </w:div>
        <w:div w:id="1879468086">
          <w:marLeft w:val="576"/>
          <w:marRight w:val="0"/>
          <w:marTop w:val="26"/>
          <w:marBottom w:val="30"/>
          <w:divBdr>
            <w:top w:val="none" w:sz="0" w:space="0" w:color="auto"/>
            <w:left w:val="none" w:sz="0" w:space="0" w:color="auto"/>
            <w:bottom w:val="none" w:sz="0" w:space="0" w:color="auto"/>
            <w:right w:val="none" w:sz="0" w:space="0" w:color="auto"/>
          </w:divBdr>
        </w:div>
        <w:div w:id="427966968">
          <w:marLeft w:val="0"/>
          <w:marRight w:val="0"/>
          <w:marTop w:val="26"/>
          <w:marBottom w:val="30"/>
          <w:divBdr>
            <w:top w:val="none" w:sz="0" w:space="0" w:color="auto"/>
            <w:left w:val="none" w:sz="0" w:space="0" w:color="auto"/>
            <w:bottom w:val="none" w:sz="0" w:space="0" w:color="auto"/>
            <w:right w:val="none" w:sz="0" w:space="0" w:color="auto"/>
          </w:divBdr>
        </w:div>
        <w:div w:id="1716656368">
          <w:marLeft w:val="0"/>
          <w:marRight w:val="0"/>
          <w:marTop w:val="26"/>
          <w:marBottom w:val="30"/>
          <w:divBdr>
            <w:top w:val="none" w:sz="0" w:space="0" w:color="auto"/>
            <w:left w:val="none" w:sz="0" w:space="0" w:color="auto"/>
            <w:bottom w:val="none" w:sz="0" w:space="0" w:color="auto"/>
            <w:right w:val="none" w:sz="0" w:space="0" w:color="auto"/>
          </w:divBdr>
        </w:div>
        <w:div w:id="1123112556">
          <w:marLeft w:val="0"/>
          <w:marRight w:val="0"/>
          <w:marTop w:val="26"/>
          <w:marBottom w:val="30"/>
          <w:divBdr>
            <w:top w:val="none" w:sz="0" w:space="0" w:color="auto"/>
            <w:left w:val="none" w:sz="0" w:space="0" w:color="auto"/>
            <w:bottom w:val="none" w:sz="0" w:space="0" w:color="auto"/>
            <w:right w:val="none" w:sz="0" w:space="0" w:color="auto"/>
          </w:divBdr>
        </w:div>
        <w:div w:id="81418138">
          <w:marLeft w:val="0"/>
          <w:marRight w:val="0"/>
          <w:marTop w:val="26"/>
          <w:marBottom w:val="30"/>
          <w:divBdr>
            <w:top w:val="none" w:sz="0" w:space="0" w:color="auto"/>
            <w:left w:val="none" w:sz="0" w:space="0" w:color="auto"/>
            <w:bottom w:val="none" w:sz="0" w:space="0" w:color="auto"/>
            <w:right w:val="none" w:sz="0" w:space="0" w:color="auto"/>
          </w:divBdr>
        </w:div>
        <w:div w:id="1204097365">
          <w:marLeft w:val="0"/>
          <w:marRight w:val="0"/>
          <w:marTop w:val="26"/>
          <w:marBottom w:val="30"/>
          <w:divBdr>
            <w:top w:val="none" w:sz="0" w:space="0" w:color="auto"/>
            <w:left w:val="none" w:sz="0" w:space="0" w:color="auto"/>
            <w:bottom w:val="none" w:sz="0" w:space="0" w:color="auto"/>
            <w:right w:val="none" w:sz="0" w:space="0" w:color="auto"/>
          </w:divBdr>
        </w:div>
        <w:div w:id="71978372">
          <w:marLeft w:val="0"/>
          <w:marRight w:val="0"/>
          <w:marTop w:val="26"/>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2023-03-14T14:15:00Z</dcterms:created>
  <dcterms:modified xsi:type="dcterms:W3CDTF">2023-03-14T14:16:00Z</dcterms:modified>
</cp:coreProperties>
</file>