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D5B" w:rsidRPr="004450A0" w:rsidRDefault="00BA3D5B" w:rsidP="00BA3D5B">
      <w:pPr>
        <w:jc w:val="center"/>
        <w:rPr>
          <w:rFonts w:ascii="Verdana" w:eastAsia="Verdana" w:hAnsi="Verdana" w:cs="Verdana"/>
          <w:b/>
          <w:bCs/>
          <w:color w:val="0000FF"/>
          <w:sz w:val="24"/>
          <w:szCs w:val="24"/>
        </w:rPr>
      </w:pPr>
      <w:r w:rsidRPr="00BA3D5B">
        <w:rPr>
          <w:rFonts w:ascii="Verdana" w:eastAsia="Verdana" w:hAnsi="Verdana" w:cs="Verdana"/>
          <w:b/>
          <w:bCs/>
          <w:color w:val="0000FF"/>
          <w:sz w:val="24"/>
          <w:szCs w:val="24"/>
        </w:rPr>
        <w:t>ACUERDO por el que se adscriben orgánicamente a las unidades administrativas de la Secretaría de Economía.</w:t>
      </w:r>
      <w:r>
        <w:rPr>
          <w:rFonts w:ascii="Verdana" w:eastAsia="Verdana" w:hAnsi="Verdana" w:cs="Verdana"/>
          <w:b/>
          <w:bCs/>
          <w:color w:val="0000FF"/>
          <w:sz w:val="24"/>
          <w:szCs w:val="24"/>
        </w:rPr>
        <w:br/>
      </w:r>
      <w:r>
        <w:rPr>
          <w:rFonts w:ascii="Verdana" w:eastAsia="Verdana" w:hAnsi="Verdana" w:cs="Verdana"/>
          <w:b/>
          <w:color w:val="0000FF"/>
          <w:sz w:val="24"/>
          <w:szCs w:val="24"/>
        </w:rPr>
        <w:t xml:space="preserve">(DOF del 10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p>
    <w:p w:rsidR="008163F9" w:rsidRDefault="00BA3D5B" w:rsidP="00BA3D5B">
      <w:pPr>
        <w:jc w:val="both"/>
        <w:rPr>
          <w:rFonts w:ascii="Arial" w:eastAsia="Times New Roman" w:hAnsi="Arial" w:cs="Arial"/>
          <w:b/>
          <w:bCs/>
          <w:color w:val="2F2F2F"/>
          <w:sz w:val="20"/>
          <w:szCs w:val="16"/>
          <w:lang w:eastAsia="es-MX"/>
        </w:rPr>
      </w:pPr>
      <w:r w:rsidRPr="00BA3D5B">
        <w:rPr>
          <w:rFonts w:ascii="Arial" w:eastAsia="Times New Roman" w:hAnsi="Arial" w:cs="Arial"/>
          <w:b/>
          <w:bCs/>
          <w:color w:val="2F2F2F"/>
          <w:sz w:val="20"/>
          <w:szCs w:val="16"/>
          <w:lang w:eastAsia="es-MX"/>
        </w:rPr>
        <w:t>Al margen un sello con el Escudo Nacional, que dice: Estados Unidos Mexicanos.- ECONOMÍA.- Secretaría de Economía.</w:t>
      </w:r>
    </w:p>
    <w:p w:rsidR="00BA3D5B" w:rsidRPr="00BA3D5B" w:rsidRDefault="00BA3D5B" w:rsidP="00BA3D5B">
      <w:pPr>
        <w:shd w:val="clear" w:color="auto" w:fill="FFFFFF"/>
        <w:spacing w:after="80" w:line="240" w:lineRule="auto"/>
        <w:ind w:firstLine="288"/>
        <w:jc w:val="both"/>
        <w:rPr>
          <w:rFonts w:ascii="Arial" w:eastAsia="Times New Roman" w:hAnsi="Arial" w:cs="Arial"/>
          <w:color w:val="2F2F2F"/>
          <w:sz w:val="18"/>
          <w:szCs w:val="18"/>
          <w:lang w:eastAsia="es-MX"/>
        </w:rPr>
      </w:pPr>
      <w:r w:rsidRPr="00BA3D5B">
        <w:rPr>
          <w:rFonts w:ascii="Arial" w:eastAsia="Times New Roman" w:hAnsi="Arial" w:cs="Arial"/>
          <w:color w:val="2F2F2F"/>
          <w:sz w:val="18"/>
          <w:szCs w:val="18"/>
          <w:lang w:eastAsia="es-MX"/>
        </w:rPr>
        <w:t>RAQUEL BUENROSTRO SÁNCHEZ, Secretaria de Economía, con fundamento en los artículos 16 y 34 de la Ley Orgánica de la Administración Pública Federal, y 5, fracciones XV y XVII del Reglamento Interior de la Secretaría de Economía, y</w:t>
      </w:r>
    </w:p>
    <w:p w:rsidR="00BA3D5B" w:rsidRPr="00BA3D5B" w:rsidRDefault="00BA3D5B" w:rsidP="00BA3D5B">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A3D5B">
        <w:rPr>
          <w:rFonts w:ascii="Times" w:eastAsia="Times New Roman" w:hAnsi="Times" w:cs="Times"/>
          <w:b/>
          <w:bCs/>
          <w:color w:val="2F2F2F"/>
          <w:sz w:val="18"/>
          <w:szCs w:val="18"/>
          <w:lang w:eastAsia="es-MX"/>
        </w:rPr>
        <w:t>CONSIDERANDO</w:t>
      </w:r>
    </w:p>
    <w:p w:rsidR="00BA3D5B" w:rsidRPr="00BA3D5B" w:rsidRDefault="00BA3D5B" w:rsidP="00BA3D5B">
      <w:pPr>
        <w:shd w:val="clear" w:color="auto" w:fill="FFFFFF"/>
        <w:spacing w:after="80" w:line="240" w:lineRule="auto"/>
        <w:ind w:firstLine="288"/>
        <w:jc w:val="both"/>
        <w:rPr>
          <w:rFonts w:ascii="Arial" w:eastAsia="Times New Roman" w:hAnsi="Arial" w:cs="Arial"/>
          <w:color w:val="2F2F2F"/>
          <w:sz w:val="18"/>
          <w:szCs w:val="18"/>
          <w:lang w:eastAsia="es-MX"/>
        </w:rPr>
      </w:pPr>
      <w:r w:rsidRPr="00BA3D5B">
        <w:rPr>
          <w:rFonts w:ascii="Arial" w:eastAsia="Times New Roman" w:hAnsi="Arial" w:cs="Arial"/>
          <w:color w:val="2F2F2F"/>
          <w:sz w:val="18"/>
          <w:szCs w:val="18"/>
          <w:lang w:eastAsia="es-MX"/>
        </w:rPr>
        <w:t>Que el artículo 16 de la Ley Orgánica de la Administración Pública Federal establece que las personas titulares de las Secretarías de Estado podrán adscribir orgánicamente las unidades administrativas establecidas en el reglamento interior respectivo a las Subsecretarías y a las otras unidades de nivel administrativo equivalente que se precisen en el mismo reglamento interior, mediante acuerdos publicados en el Diario Oficial de la Federación;</w:t>
      </w:r>
    </w:p>
    <w:p w:rsidR="00BA3D5B" w:rsidRPr="00BA3D5B" w:rsidRDefault="00BA3D5B" w:rsidP="00BA3D5B">
      <w:pPr>
        <w:shd w:val="clear" w:color="auto" w:fill="FFFFFF"/>
        <w:spacing w:after="80" w:line="240" w:lineRule="auto"/>
        <w:ind w:firstLine="288"/>
        <w:jc w:val="both"/>
        <w:rPr>
          <w:rFonts w:ascii="Arial" w:eastAsia="Times New Roman" w:hAnsi="Arial" w:cs="Arial"/>
          <w:color w:val="2F2F2F"/>
          <w:sz w:val="18"/>
          <w:szCs w:val="18"/>
          <w:lang w:eastAsia="es-MX"/>
        </w:rPr>
      </w:pPr>
      <w:r w:rsidRPr="00BA3D5B">
        <w:rPr>
          <w:rFonts w:ascii="Arial" w:eastAsia="Times New Roman" w:hAnsi="Arial" w:cs="Arial"/>
          <w:color w:val="2F2F2F"/>
          <w:sz w:val="18"/>
          <w:szCs w:val="18"/>
          <w:lang w:eastAsia="es-MX"/>
        </w:rPr>
        <w:t>Que el 17 de octubre de 2019 se publicó en el Diario Oficial de la Federación el Reglamento Interior de la Secretaría de Economía, reformado mediante Decreto publicado en el mencionado órgano de difusión oficial el 12 de abril de 2021, el cual establece la estructura orgánica y las atribuciones de las unidades administrativas de la dependencia, y</w:t>
      </w:r>
    </w:p>
    <w:p w:rsidR="00BA3D5B" w:rsidRPr="00BA3D5B" w:rsidRDefault="00BA3D5B" w:rsidP="00BA3D5B">
      <w:pPr>
        <w:shd w:val="clear" w:color="auto" w:fill="FFFFFF"/>
        <w:spacing w:after="80" w:line="240" w:lineRule="auto"/>
        <w:ind w:firstLine="288"/>
        <w:jc w:val="both"/>
        <w:rPr>
          <w:rFonts w:ascii="Arial" w:eastAsia="Times New Roman" w:hAnsi="Arial" w:cs="Arial"/>
          <w:color w:val="2F2F2F"/>
          <w:sz w:val="18"/>
          <w:szCs w:val="18"/>
          <w:lang w:eastAsia="es-MX"/>
        </w:rPr>
      </w:pPr>
      <w:r w:rsidRPr="00BA3D5B">
        <w:rPr>
          <w:rFonts w:ascii="Arial" w:eastAsia="Times New Roman" w:hAnsi="Arial" w:cs="Arial"/>
          <w:color w:val="2F2F2F"/>
          <w:sz w:val="18"/>
          <w:szCs w:val="18"/>
          <w:lang w:eastAsia="es-MX"/>
        </w:rPr>
        <w:t>Que con el propósito de procurar una mejor organización y optimizar la operación de las unidades administrativas de la Secretaría de Economía, se expide el siguiente:</w:t>
      </w:r>
    </w:p>
    <w:p w:rsidR="00BA3D5B" w:rsidRPr="00BA3D5B" w:rsidRDefault="00BA3D5B" w:rsidP="00BA3D5B">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A3D5B">
        <w:rPr>
          <w:rFonts w:ascii="Times" w:eastAsia="Times New Roman" w:hAnsi="Times" w:cs="Times"/>
          <w:b/>
          <w:bCs/>
          <w:color w:val="2F2F2F"/>
          <w:sz w:val="18"/>
          <w:szCs w:val="18"/>
          <w:lang w:eastAsia="es-MX"/>
        </w:rPr>
        <w:t>ACUERDO POR EL QUE SE ADSCRIBEN ORGÁNICAMENTE A LAS</w:t>
      </w:r>
    </w:p>
    <w:p w:rsidR="00BA3D5B" w:rsidRPr="00BA3D5B" w:rsidRDefault="00BA3D5B" w:rsidP="00BA3D5B">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A3D5B">
        <w:rPr>
          <w:rFonts w:ascii="Times" w:eastAsia="Times New Roman" w:hAnsi="Times" w:cs="Times"/>
          <w:b/>
          <w:bCs/>
          <w:color w:val="2F2F2F"/>
          <w:sz w:val="18"/>
          <w:szCs w:val="18"/>
          <w:lang w:eastAsia="es-MX"/>
        </w:rPr>
        <w:t>UNIDADES ADMINISTRATIVAS DE LA SECRETARÍA DE ECONOMÍA</w:t>
      </w:r>
    </w:p>
    <w:p w:rsidR="00BA3D5B" w:rsidRPr="00BA3D5B" w:rsidRDefault="00BA3D5B" w:rsidP="00BA3D5B">
      <w:pPr>
        <w:shd w:val="clear" w:color="auto" w:fill="FFFFFF"/>
        <w:spacing w:after="80" w:line="240" w:lineRule="auto"/>
        <w:ind w:firstLine="288"/>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Primero.</w:t>
      </w:r>
      <w:r w:rsidRPr="00BA3D5B">
        <w:rPr>
          <w:rFonts w:ascii="Arial" w:eastAsia="Times New Roman" w:hAnsi="Arial" w:cs="Arial"/>
          <w:color w:val="2F2F2F"/>
          <w:sz w:val="18"/>
          <w:szCs w:val="18"/>
          <w:lang w:eastAsia="es-MX"/>
        </w:rPr>
        <w:t> Se adscriben las unidades administrativas de la Secretaría de Economía, en los términos siguientes:</w:t>
      </w:r>
    </w:p>
    <w:p w:rsidR="00BA3D5B" w:rsidRPr="00BA3D5B" w:rsidRDefault="00BA3D5B" w:rsidP="00BA3D5B">
      <w:pPr>
        <w:shd w:val="clear" w:color="auto" w:fill="FFFFFF"/>
        <w:spacing w:after="80" w:line="240" w:lineRule="auto"/>
        <w:ind w:hanging="432"/>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A</w:t>
      </w:r>
      <w:r w:rsidRPr="00BA3D5B">
        <w:rPr>
          <w:rFonts w:ascii="Arial" w:eastAsia="Times New Roman" w:hAnsi="Arial" w:cs="Arial"/>
          <w:b/>
          <w:bCs/>
          <w:color w:val="2F2F2F"/>
          <w:sz w:val="18"/>
          <w:szCs w:val="18"/>
          <w:lang w:eastAsia="es-MX"/>
        </w:rPr>
        <w:t> </w:t>
      </w:r>
      <w:r w:rsidRPr="00BA3D5B">
        <w:rPr>
          <w:rFonts w:ascii="Arial" w:eastAsia="Times New Roman" w:hAnsi="Arial" w:cs="Arial"/>
          <w:color w:val="2F2F2F"/>
          <w:sz w:val="18"/>
          <w:szCs w:val="18"/>
          <w:lang w:eastAsia="es-MX"/>
        </w:rPr>
        <w:t>la Oficina de la persona Titular de la Secretaría:</w:t>
      </w:r>
    </w:p>
    <w:p w:rsidR="00BA3D5B" w:rsidRPr="00BA3D5B" w:rsidRDefault="00BA3D5B" w:rsidP="00BA3D5B">
      <w:pPr>
        <w:shd w:val="clear" w:color="auto" w:fill="FFFFFF"/>
        <w:spacing w:after="80"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I.1.</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Subsecretaría de Industria y Comercio.</w:t>
      </w:r>
    </w:p>
    <w:p w:rsidR="00BA3D5B" w:rsidRPr="00BA3D5B" w:rsidRDefault="00BA3D5B" w:rsidP="00BA3D5B">
      <w:pPr>
        <w:shd w:val="clear" w:color="auto" w:fill="FFFFFF"/>
        <w:spacing w:after="80"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I.2.</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Subsecretaría de Comercio Exterior.</w:t>
      </w:r>
    </w:p>
    <w:p w:rsidR="00BA3D5B" w:rsidRPr="00BA3D5B" w:rsidRDefault="00BA3D5B" w:rsidP="00BA3D5B">
      <w:pPr>
        <w:shd w:val="clear" w:color="auto" w:fill="FFFFFF"/>
        <w:spacing w:after="80"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I.3.</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Unidad de Administración y Finanzas.</w:t>
      </w:r>
    </w:p>
    <w:p w:rsidR="00BA3D5B" w:rsidRPr="00BA3D5B" w:rsidRDefault="00BA3D5B" w:rsidP="00BA3D5B">
      <w:pPr>
        <w:shd w:val="clear" w:color="auto" w:fill="FFFFFF"/>
        <w:spacing w:after="80"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I.4.</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Unidad de Apoyo Jurídico.</w:t>
      </w:r>
    </w:p>
    <w:p w:rsidR="00BA3D5B" w:rsidRPr="00BA3D5B" w:rsidRDefault="00BA3D5B" w:rsidP="00BA3D5B">
      <w:pPr>
        <w:shd w:val="clear" w:color="auto" w:fill="FFFFFF"/>
        <w:spacing w:after="80"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I.5.</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Unidad de Normatividad, Competitividad y Competencia.</w:t>
      </w:r>
    </w:p>
    <w:p w:rsidR="00BA3D5B" w:rsidRPr="00BA3D5B" w:rsidRDefault="00BA3D5B" w:rsidP="00BA3D5B">
      <w:pPr>
        <w:shd w:val="clear" w:color="auto" w:fill="FFFFFF"/>
        <w:spacing w:after="80"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I.6.</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Unidad de Coordinación de Actividades Extractivas.</w:t>
      </w:r>
    </w:p>
    <w:p w:rsidR="00BA3D5B" w:rsidRPr="00BA3D5B" w:rsidRDefault="00BA3D5B" w:rsidP="00BA3D5B">
      <w:pPr>
        <w:shd w:val="clear" w:color="auto" w:fill="FFFFFF"/>
        <w:spacing w:after="80"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I.7.</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Vinculación con el Sector Coordinado.</w:t>
      </w:r>
    </w:p>
    <w:p w:rsidR="00BA3D5B" w:rsidRPr="00BA3D5B" w:rsidRDefault="00BA3D5B" w:rsidP="00BA3D5B">
      <w:pPr>
        <w:shd w:val="clear" w:color="auto" w:fill="FFFFFF"/>
        <w:spacing w:after="80"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I.8.</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Oficina de Comunicación Social.</w:t>
      </w:r>
    </w:p>
    <w:p w:rsidR="00BA3D5B" w:rsidRPr="00BA3D5B" w:rsidRDefault="00BA3D5B" w:rsidP="00BA3D5B">
      <w:pPr>
        <w:shd w:val="clear" w:color="auto" w:fill="FFFFFF"/>
        <w:spacing w:after="80"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I.9.</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Oficina de Enlace Legislativo.</w:t>
      </w:r>
    </w:p>
    <w:p w:rsidR="00BA3D5B" w:rsidRPr="00BA3D5B" w:rsidRDefault="00BA3D5B" w:rsidP="00BA3D5B">
      <w:pPr>
        <w:shd w:val="clear" w:color="auto" w:fill="FFFFFF"/>
        <w:spacing w:after="80" w:line="240" w:lineRule="auto"/>
        <w:ind w:hanging="432"/>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A la Subsecretaría de Industria y Comercio:</w:t>
      </w:r>
    </w:p>
    <w:p w:rsidR="00BA3D5B" w:rsidRPr="00BA3D5B" w:rsidRDefault="00BA3D5B" w:rsidP="00BA3D5B">
      <w:pPr>
        <w:shd w:val="clear" w:color="auto" w:fill="FFFFFF"/>
        <w:spacing w:after="80"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II.1.</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Unidad de Prospectiva, Planeación y Evaluación.</w:t>
      </w:r>
    </w:p>
    <w:p w:rsidR="00BA3D5B" w:rsidRPr="00BA3D5B" w:rsidRDefault="00BA3D5B" w:rsidP="00BA3D5B">
      <w:pPr>
        <w:shd w:val="clear" w:color="auto" w:fill="FFFFFF"/>
        <w:spacing w:after="80"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II.1.1.</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Innovación, Servicios y Comercio Interior.</w:t>
      </w:r>
    </w:p>
    <w:p w:rsidR="00BA3D5B" w:rsidRPr="00BA3D5B" w:rsidRDefault="00BA3D5B" w:rsidP="00BA3D5B">
      <w:pPr>
        <w:shd w:val="clear" w:color="auto" w:fill="FFFFFF"/>
        <w:spacing w:after="80"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II.1.2.</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Contenido Nacional y Fomento en el Sector Energético.</w:t>
      </w:r>
    </w:p>
    <w:p w:rsidR="00BA3D5B" w:rsidRPr="00BA3D5B" w:rsidRDefault="00BA3D5B" w:rsidP="00BA3D5B">
      <w:pPr>
        <w:shd w:val="clear" w:color="auto" w:fill="FFFFFF"/>
        <w:spacing w:after="80"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II.1.3.</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Competitividad y Competencia.</w:t>
      </w:r>
    </w:p>
    <w:p w:rsidR="00BA3D5B" w:rsidRPr="00BA3D5B" w:rsidRDefault="00BA3D5B" w:rsidP="00BA3D5B">
      <w:pPr>
        <w:shd w:val="clear" w:color="auto" w:fill="FFFFFF"/>
        <w:spacing w:after="80"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II.2.</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Unidad de Desarrollo Productivo.</w:t>
      </w:r>
    </w:p>
    <w:p w:rsidR="00BA3D5B" w:rsidRPr="00BA3D5B" w:rsidRDefault="00BA3D5B" w:rsidP="00BA3D5B">
      <w:pPr>
        <w:shd w:val="clear" w:color="auto" w:fill="FFFFFF"/>
        <w:spacing w:after="80"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II.2.1.</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Desarrollo Productivo.</w:t>
      </w:r>
    </w:p>
    <w:p w:rsidR="00BA3D5B" w:rsidRPr="00BA3D5B" w:rsidRDefault="00BA3D5B" w:rsidP="00BA3D5B">
      <w:pPr>
        <w:shd w:val="clear" w:color="auto" w:fill="FFFFFF"/>
        <w:spacing w:after="80"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II.2.2.</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Facilitación Comercial y de Comercio Exterior.</w:t>
      </w:r>
    </w:p>
    <w:p w:rsidR="00BA3D5B" w:rsidRPr="00BA3D5B" w:rsidRDefault="00BA3D5B" w:rsidP="00BA3D5B">
      <w:pPr>
        <w:shd w:val="clear" w:color="auto" w:fill="FFFFFF"/>
        <w:spacing w:after="80"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II.2.3.</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Industrias Ligeras.</w:t>
      </w:r>
    </w:p>
    <w:p w:rsidR="00BA3D5B" w:rsidRPr="00BA3D5B" w:rsidRDefault="00BA3D5B" w:rsidP="00BA3D5B">
      <w:pPr>
        <w:shd w:val="clear" w:color="auto" w:fill="FFFFFF"/>
        <w:spacing w:after="80"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II.2.4.</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Industrias Pesadas y de Alta Tecnología.</w:t>
      </w:r>
    </w:p>
    <w:p w:rsidR="00BA3D5B" w:rsidRPr="00BA3D5B" w:rsidRDefault="00BA3D5B" w:rsidP="00BA3D5B">
      <w:pPr>
        <w:shd w:val="clear" w:color="auto" w:fill="FFFFFF"/>
        <w:spacing w:after="80"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II.2.5</w:t>
      </w:r>
      <w:r w:rsidRPr="00BA3D5B">
        <w:rPr>
          <w:rFonts w:ascii="Arial" w:eastAsia="Times New Roman" w:hAnsi="Arial" w:cs="Arial"/>
          <w:color w:val="2F2F2F"/>
          <w:sz w:val="18"/>
          <w:szCs w:val="18"/>
          <w:lang w:eastAsia="es-MX"/>
        </w:rPr>
        <w:t>.</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Operación.</w:t>
      </w:r>
    </w:p>
    <w:p w:rsidR="00BA3D5B" w:rsidRPr="00BA3D5B" w:rsidRDefault="00BA3D5B" w:rsidP="00BA3D5B">
      <w:pPr>
        <w:shd w:val="clear" w:color="auto" w:fill="FFFFFF"/>
        <w:spacing w:after="80"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lastRenderedPageBreak/>
        <w:t>II.3.</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Unidad de Prácticas Comerciales Internacionales.</w:t>
      </w:r>
    </w:p>
    <w:p w:rsidR="00BA3D5B" w:rsidRPr="00BA3D5B" w:rsidRDefault="00BA3D5B" w:rsidP="00BA3D5B">
      <w:pPr>
        <w:shd w:val="clear" w:color="auto" w:fill="FFFFFF"/>
        <w:spacing w:after="80"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II.3.1.</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Innovación de Trámites.</w:t>
      </w:r>
    </w:p>
    <w:p w:rsidR="00BA3D5B" w:rsidRPr="00BA3D5B" w:rsidRDefault="00BA3D5B" w:rsidP="00BA3D5B">
      <w:pPr>
        <w:shd w:val="clear" w:color="auto" w:fill="FFFFFF"/>
        <w:spacing w:after="80"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II.3.1.1.</w:t>
      </w:r>
      <w:r w:rsidRPr="00BA3D5B">
        <w:rPr>
          <w:rFonts w:ascii="Arial" w:eastAsia="Times New Roman" w:hAnsi="Arial" w:cs="Arial"/>
          <w:color w:val="2F2F2F"/>
          <w:sz w:val="18"/>
          <w:szCs w:val="18"/>
          <w:lang w:eastAsia="es-MX"/>
        </w:rPr>
        <w:t> La Coordinación de Dumping y Subvenciones.</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II.3.2.</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Apoyo Técnico.</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II.3.2.1.</w:t>
      </w:r>
      <w:r w:rsidRPr="00BA3D5B">
        <w:rPr>
          <w:rFonts w:ascii="Arial" w:eastAsia="Times New Roman" w:hAnsi="Arial" w:cs="Arial"/>
          <w:color w:val="2F2F2F"/>
          <w:sz w:val="18"/>
          <w:szCs w:val="18"/>
          <w:lang w:eastAsia="es-MX"/>
        </w:rPr>
        <w:t> La Coordinación de Análisis Financiero y Contable.</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II.3.2.2.</w:t>
      </w:r>
      <w:r w:rsidRPr="00BA3D5B">
        <w:rPr>
          <w:rFonts w:ascii="Arial" w:eastAsia="Times New Roman" w:hAnsi="Arial" w:cs="Arial"/>
          <w:color w:val="2F2F2F"/>
          <w:sz w:val="18"/>
          <w:szCs w:val="18"/>
          <w:lang w:eastAsia="es-MX"/>
        </w:rPr>
        <w:t> La Coordinación de Daño y Salvaguardas.</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II.3.3.</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Defensa Comercial Internacional.</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II.3.3.1.</w:t>
      </w:r>
      <w:r w:rsidRPr="00BA3D5B">
        <w:rPr>
          <w:rFonts w:ascii="Arial" w:eastAsia="Times New Roman" w:hAnsi="Arial" w:cs="Arial"/>
          <w:color w:val="2F2F2F"/>
          <w:sz w:val="18"/>
          <w:szCs w:val="18"/>
          <w:lang w:eastAsia="es-MX"/>
        </w:rPr>
        <w:t> La Coordinación Jurídica.</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II.3.3.2.</w:t>
      </w:r>
      <w:r w:rsidRPr="00BA3D5B">
        <w:rPr>
          <w:rFonts w:ascii="Arial" w:eastAsia="Times New Roman" w:hAnsi="Arial" w:cs="Arial"/>
          <w:color w:val="2F2F2F"/>
          <w:sz w:val="18"/>
          <w:szCs w:val="18"/>
          <w:lang w:eastAsia="es-MX"/>
        </w:rPr>
        <w:t> La Coordinación Jurídica Internacional.</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II.4.</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Planeación y Evaluación.</w:t>
      </w:r>
    </w:p>
    <w:p w:rsidR="00BA3D5B" w:rsidRPr="00BA3D5B" w:rsidRDefault="00BA3D5B" w:rsidP="00BA3D5B">
      <w:pPr>
        <w:shd w:val="clear" w:color="auto" w:fill="FFFFFF"/>
        <w:spacing w:after="74" w:line="240" w:lineRule="auto"/>
        <w:ind w:hanging="432"/>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A la Subsecretaría de Comercio Exterior:</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III.1.</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Unidad de Fomento y Crecimiento Económico.</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III.1.1.</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Coordinación Territorial de Trámites y Servicios de Economía.</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III.1.1.1.</w:t>
      </w:r>
      <w:r w:rsidRPr="00BA3D5B">
        <w:rPr>
          <w:rFonts w:ascii="Arial" w:eastAsia="Times New Roman" w:hAnsi="Arial" w:cs="Arial"/>
          <w:color w:val="2F2F2F"/>
          <w:sz w:val="18"/>
          <w:szCs w:val="18"/>
          <w:lang w:eastAsia="es-MX"/>
        </w:rPr>
        <w:t> Las Oficinas de Representación en las entidades federativas.</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III.1.2.</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Acceso a Mercados de Bienes.</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III.1.3.</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Planeación y Estrategias de Negociación.</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III.1.4.</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Sistemas de Información Estadística de Comercio Internacional.</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III.2.</w:t>
      </w:r>
      <w:r w:rsidRPr="00BA3D5B">
        <w:rPr>
          <w:rFonts w:ascii="Arial" w:eastAsia="Times New Roman" w:hAnsi="Arial" w:cs="Arial"/>
          <w:color w:val="2F2F2F"/>
          <w:sz w:val="18"/>
          <w:szCs w:val="18"/>
          <w:lang w:eastAsia="es-MX"/>
        </w:rPr>
        <w:t> La Unidad de Inteligencia Económica Global.</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III.2.1.</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Inversión Extranjera.</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III.2.1.1. </w:t>
      </w:r>
      <w:r w:rsidRPr="00BA3D5B">
        <w:rPr>
          <w:rFonts w:ascii="Arial" w:eastAsia="Times New Roman" w:hAnsi="Arial" w:cs="Arial"/>
          <w:color w:val="2F2F2F"/>
          <w:sz w:val="18"/>
          <w:szCs w:val="18"/>
          <w:lang w:eastAsia="es-MX"/>
        </w:rPr>
        <w:t>La Coordinación del Registro Nacional de Inversiones Extranjeras.</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III.2.2.</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Política de Promoción de Inversiones y Exportación.</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III.3.</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Unidad de Negociaciones Comerciales Internacionales.</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III.3.1.</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Seguimiento, Administración y Supervisión del Cumplimiento de Tratados Comerciales.</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III.3.2.</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Comercio Internacional de Servicios e Inversión.</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III.3.3.</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Disciplinas de Comercio Internacional.</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III.4.</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Financiamiento y Apoyo.</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III.5.</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Consultoría Jurídica de Comercio Internacional.</w:t>
      </w:r>
    </w:p>
    <w:p w:rsidR="00BA3D5B" w:rsidRPr="00BA3D5B" w:rsidRDefault="00BA3D5B" w:rsidP="00BA3D5B">
      <w:pPr>
        <w:shd w:val="clear" w:color="auto" w:fill="FFFFFF"/>
        <w:spacing w:after="74" w:line="240" w:lineRule="auto"/>
        <w:ind w:hanging="432"/>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IV.</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A la Unidad de Administración y Finanzas:</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IV.1.</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Programación, Presupuesto y Contabilidad.</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IV.2.</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Recursos Materiales y Archivo.</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IV.3.</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Recursos Humanos.</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IV.4.</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Tecnologías de la Información.</w:t>
      </w:r>
    </w:p>
    <w:p w:rsidR="00BA3D5B" w:rsidRPr="00BA3D5B" w:rsidRDefault="00BA3D5B" w:rsidP="00BA3D5B">
      <w:pPr>
        <w:shd w:val="clear" w:color="auto" w:fill="FFFFFF"/>
        <w:spacing w:after="74" w:line="240" w:lineRule="auto"/>
        <w:ind w:hanging="432"/>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V.</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A</w:t>
      </w:r>
      <w:r w:rsidRPr="00BA3D5B">
        <w:rPr>
          <w:rFonts w:ascii="Arial" w:eastAsia="Times New Roman" w:hAnsi="Arial" w:cs="Arial"/>
          <w:b/>
          <w:bCs/>
          <w:color w:val="2F2F2F"/>
          <w:sz w:val="18"/>
          <w:szCs w:val="18"/>
          <w:lang w:eastAsia="es-MX"/>
        </w:rPr>
        <w:t> </w:t>
      </w:r>
      <w:r w:rsidRPr="00BA3D5B">
        <w:rPr>
          <w:rFonts w:ascii="Arial" w:eastAsia="Times New Roman" w:hAnsi="Arial" w:cs="Arial"/>
          <w:color w:val="2F2F2F"/>
          <w:sz w:val="18"/>
          <w:szCs w:val="18"/>
          <w:lang w:eastAsia="es-MX"/>
        </w:rPr>
        <w:t>la Unidad de Apoyo Jurídico:</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V.1.</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Legislación y Consulta.</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V.2.</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Procedimientos Constitucionales y Legales.</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V.2.1.</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Coordinación de lo Contencioso.</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V.3.</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Control y Procedimientos.</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V.3.1.</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Coordinación de Convenios y Contratos.</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V.4.</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Seguimiento a Compromisos Institucionales.</w:t>
      </w:r>
    </w:p>
    <w:p w:rsidR="00BA3D5B" w:rsidRPr="00BA3D5B" w:rsidRDefault="00BA3D5B" w:rsidP="00BA3D5B">
      <w:pPr>
        <w:shd w:val="clear" w:color="auto" w:fill="FFFFFF"/>
        <w:spacing w:after="74" w:line="240" w:lineRule="auto"/>
        <w:ind w:hanging="432"/>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VI.</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A la Unidad de Normatividad, Competitividad y Competencia:</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VI.1.</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Normas.</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VI.1.1.</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Coordinación de la Infraestructura de la Calidad.</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lastRenderedPageBreak/>
        <w:t>VI.2.</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Dirección General de Normatividad Mercantil.</w:t>
      </w:r>
    </w:p>
    <w:p w:rsidR="00BA3D5B" w:rsidRPr="00BA3D5B" w:rsidRDefault="00BA3D5B" w:rsidP="00BA3D5B">
      <w:pPr>
        <w:shd w:val="clear" w:color="auto" w:fill="FFFFFF"/>
        <w:spacing w:after="74" w:line="240" w:lineRule="auto"/>
        <w:ind w:hanging="720"/>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VI.2.1.</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La Coordinación de Política Mercantil.</w:t>
      </w:r>
    </w:p>
    <w:p w:rsidR="00BA3D5B" w:rsidRPr="00BA3D5B" w:rsidRDefault="00BA3D5B" w:rsidP="00BA3D5B">
      <w:pPr>
        <w:shd w:val="clear" w:color="auto" w:fill="FFFFFF"/>
        <w:spacing w:after="74" w:line="240" w:lineRule="auto"/>
        <w:ind w:hanging="432"/>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VII.</w:t>
      </w:r>
      <w:r w:rsidRPr="00BA3D5B">
        <w:rPr>
          <w:rFonts w:ascii="Arial" w:eastAsia="Times New Roman" w:hAnsi="Arial" w:cs="Arial"/>
          <w:color w:val="2F2F2F"/>
          <w:sz w:val="20"/>
          <w:szCs w:val="20"/>
          <w:lang w:eastAsia="es-MX"/>
        </w:rPr>
        <w:t>   </w:t>
      </w:r>
      <w:r w:rsidRPr="00BA3D5B">
        <w:rPr>
          <w:rFonts w:ascii="Arial" w:eastAsia="Times New Roman" w:hAnsi="Arial" w:cs="Arial"/>
          <w:color w:val="2F2F2F"/>
          <w:sz w:val="18"/>
          <w:szCs w:val="18"/>
          <w:lang w:eastAsia="es-MX"/>
        </w:rPr>
        <w:t>A la Unidad de Coordinación de Actividades Extractivas:</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VII.1.</w:t>
      </w:r>
      <w:r w:rsidRPr="00BA3D5B">
        <w:rPr>
          <w:rFonts w:ascii="Arial" w:eastAsia="Times New Roman" w:hAnsi="Arial" w:cs="Arial"/>
          <w:color w:val="2F2F2F"/>
          <w:sz w:val="18"/>
          <w:szCs w:val="18"/>
          <w:lang w:eastAsia="es-MX"/>
        </w:rPr>
        <w:t> La Dirección General de Desarrollo Minero.</w:t>
      </w:r>
    </w:p>
    <w:p w:rsidR="00BA3D5B" w:rsidRPr="00BA3D5B" w:rsidRDefault="00BA3D5B" w:rsidP="00BA3D5B">
      <w:pPr>
        <w:shd w:val="clear" w:color="auto" w:fill="FFFFFF"/>
        <w:spacing w:after="74" w:line="240" w:lineRule="auto"/>
        <w:ind w:hanging="504"/>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VII.2. </w:t>
      </w:r>
      <w:r w:rsidRPr="00BA3D5B">
        <w:rPr>
          <w:rFonts w:ascii="Arial" w:eastAsia="Times New Roman" w:hAnsi="Arial" w:cs="Arial"/>
          <w:color w:val="2F2F2F"/>
          <w:sz w:val="18"/>
          <w:szCs w:val="18"/>
          <w:lang w:eastAsia="es-MX"/>
        </w:rPr>
        <w:t>La Dirección General de Minas.</w:t>
      </w:r>
    </w:p>
    <w:p w:rsidR="00BA3D5B" w:rsidRPr="00BA3D5B" w:rsidRDefault="00BA3D5B" w:rsidP="00BA3D5B">
      <w:pPr>
        <w:shd w:val="clear" w:color="auto" w:fill="FFFFFF"/>
        <w:spacing w:after="100" w:line="240" w:lineRule="auto"/>
        <w:ind w:firstLine="288"/>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Segundo. </w:t>
      </w:r>
      <w:r w:rsidRPr="00BA3D5B">
        <w:rPr>
          <w:rFonts w:ascii="Arial" w:eastAsia="Times New Roman" w:hAnsi="Arial" w:cs="Arial"/>
          <w:color w:val="2F2F2F"/>
          <w:sz w:val="18"/>
          <w:szCs w:val="18"/>
          <w:lang w:eastAsia="es-MX"/>
        </w:rPr>
        <w:t>Las personas titulares de las Subsecretarías, Unidades y Direcciones Generales podrán acordar, resolver y firmar los asuntos relacionados con las materias que son competencia de las unidades administrativas que se les adscriben por virtud del presente Acuerdo.</w:t>
      </w:r>
    </w:p>
    <w:p w:rsidR="00BA3D5B" w:rsidRPr="00BA3D5B" w:rsidRDefault="00BA3D5B" w:rsidP="00BA3D5B">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BA3D5B">
        <w:rPr>
          <w:rFonts w:ascii="Times" w:eastAsia="Times New Roman" w:hAnsi="Times" w:cs="Times"/>
          <w:b/>
          <w:bCs/>
          <w:color w:val="2F2F2F"/>
          <w:sz w:val="18"/>
          <w:szCs w:val="18"/>
          <w:lang w:eastAsia="es-MX"/>
        </w:rPr>
        <w:t>TRANSITORIOS</w:t>
      </w:r>
    </w:p>
    <w:p w:rsidR="00BA3D5B" w:rsidRPr="00BA3D5B" w:rsidRDefault="00BA3D5B" w:rsidP="00BA3D5B">
      <w:pPr>
        <w:shd w:val="clear" w:color="auto" w:fill="FFFFFF"/>
        <w:spacing w:after="100" w:line="240" w:lineRule="auto"/>
        <w:ind w:firstLine="288"/>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Primero. </w:t>
      </w:r>
      <w:r w:rsidRPr="00BA3D5B">
        <w:rPr>
          <w:rFonts w:ascii="Arial" w:eastAsia="Times New Roman" w:hAnsi="Arial" w:cs="Arial"/>
          <w:color w:val="2F2F2F"/>
          <w:sz w:val="18"/>
          <w:szCs w:val="18"/>
          <w:lang w:eastAsia="es-MX"/>
        </w:rPr>
        <w:t>El presente Acuerdo entrará en vigor al día siguiente de su publicación en el Diario Oficial de la Federación.</w:t>
      </w:r>
    </w:p>
    <w:p w:rsidR="00BA3D5B" w:rsidRPr="00BA3D5B" w:rsidRDefault="00BA3D5B" w:rsidP="00BA3D5B">
      <w:pPr>
        <w:shd w:val="clear" w:color="auto" w:fill="FFFFFF"/>
        <w:spacing w:after="100" w:line="240" w:lineRule="auto"/>
        <w:ind w:firstLine="288"/>
        <w:jc w:val="both"/>
        <w:rPr>
          <w:rFonts w:ascii="Arial" w:eastAsia="Times New Roman" w:hAnsi="Arial" w:cs="Arial"/>
          <w:color w:val="2F2F2F"/>
          <w:sz w:val="18"/>
          <w:szCs w:val="18"/>
          <w:lang w:eastAsia="es-MX"/>
        </w:rPr>
      </w:pPr>
      <w:r w:rsidRPr="00BA3D5B">
        <w:rPr>
          <w:rFonts w:ascii="Arial" w:eastAsia="Times New Roman" w:hAnsi="Arial" w:cs="Arial"/>
          <w:b/>
          <w:bCs/>
          <w:color w:val="2F2F2F"/>
          <w:sz w:val="18"/>
          <w:szCs w:val="18"/>
          <w:lang w:eastAsia="es-MX"/>
        </w:rPr>
        <w:t>Segundo.</w:t>
      </w:r>
      <w:r w:rsidRPr="00BA3D5B">
        <w:rPr>
          <w:rFonts w:ascii="Arial" w:eastAsia="Times New Roman" w:hAnsi="Arial" w:cs="Arial"/>
          <w:color w:val="2F2F2F"/>
          <w:sz w:val="18"/>
          <w:szCs w:val="18"/>
          <w:lang w:eastAsia="es-MX"/>
        </w:rPr>
        <w:t> Se abroga el Acuerdo por el que se adscriben orgánicamente las unidades administrativas de la Secretaría de Economía, publicado en el Diario Oficial de la Federación el 21 de febrero de 2023.</w:t>
      </w:r>
    </w:p>
    <w:p w:rsidR="00BA3D5B" w:rsidRPr="00BA3D5B" w:rsidRDefault="00BA3D5B" w:rsidP="00BA3D5B">
      <w:pPr>
        <w:shd w:val="clear" w:color="auto" w:fill="FFFFFF"/>
        <w:spacing w:after="100" w:line="240" w:lineRule="auto"/>
        <w:ind w:firstLine="288"/>
        <w:jc w:val="both"/>
        <w:rPr>
          <w:rFonts w:ascii="Arial" w:eastAsia="Times New Roman" w:hAnsi="Arial" w:cs="Arial"/>
          <w:color w:val="2F2F2F"/>
          <w:sz w:val="18"/>
          <w:szCs w:val="18"/>
          <w:lang w:eastAsia="es-MX"/>
        </w:rPr>
      </w:pPr>
      <w:r w:rsidRPr="00BA3D5B">
        <w:rPr>
          <w:rFonts w:ascii="Arial" w:eastAsia="Times New Roman" w:hAnsi="Arial" w:cs="Arial"/>
          <w:color w:val="2F2F2F"/>
          <w:sz w:val="18"/>
          <w:szCs w:val="18"/>
          <w:lang w:eastAsia="es-MX"/>
        </w:rPr>
        <w:t>Ciudad de México, a 3 de abril de 2024.- La Secretaria de Economía, </w:t>
      </w:r>
      <w:r w:rsidRPr="00BA3D5B">
        <w:rPr>
          <w:rFonts w:ascii="Arial" w:eastAsia="Times New Roman" w:hAnsi="Arial" w:cs="Arial"/>
          <w:b/>
          <w:bCs/>
          <w:color w:val="2F2F2F"/>
          <w:sz w:val="18"/>
          <w:szCs w:val="18"/>
          <w:lang w:eastAsia="es-MX"/>
        </w:rPr>
        <w:t>Raquel Buenrostro Sánchez</w:t>
      </w:r>
      <w:r w:rsidRPr="00BA3D5B">
        <w:rPr>
          <w:rFonts w:ascii="Arial" w:eastAsia="Times New Roman" w:hAnsi="Arial" w:cs="Arial"/>
          <w:color w:val="2F2F2F"/>
          <w:sz w:val="18"/>
          <w:szCs w:val="18"/>
          <w:lang w:eastAsia="es-MX"/>
        </w:rPr>
        <w:t>.- Rúbrica.</w:t>
      </w:r>
    </w:p>
    <w:p w:rsidR="00BA3D5B" w:rsidRDefault="00BA3D5B" w:rsidP="00BA3D5B">
      <w:pPr>
        <w:jc w:val="both"/>
      </w:pPr>
      <w:bookmarkStart w:id="0" w:name="_GoBack"/>
      <w:bookmarkEnd w:id="0"/>
    </w:p>
    <w:sectPr w:rsidR="00BA3D5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5B"/>
    <w:rsid w:val="008163F9"/>
    <w:rsid w:val="00BA3D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796249">
      <w:bodyDiv w:val="1"/>
      <w:marLeft w:val="0"/>
      <w:marRight w:val="0"/>
      <w:marTop w:val="0"/>
      <w:marBottom w:val="0"/>
      <w:divBdr>
        <w:top w:val="none" w:sz="0" w:space="0" w:color="auto"/>
        <w:left w:val="none" w:sz="0" w:space="0" w:color="auto"/>
        <w:bottom w:val="none" w:sz="0" w:space="0" w:color="auto"/>
        <w:right w:val="none" w:sz="0" w:space="0" w:color="auto"/>
      </w:divBdr>
    </w:div>
    <w:div w:id="1947957515">
      <w:bodyDiv w:val="1"/>
      <w:marLeft w:val="0"/>
      <w:marRight w:val="0"/>
      <w:marTop w:val="0"/>
      <w:marBottom w:val="0"/>
      <w:divBdr>
        <w:top w:val="none" w:sz="0" w:space="0" w:color="auto"/>
        <w:left w:val="none" w:sz="0" w:space="0" w:color="auto"/>
        <w:bottom w:val="none" w:sz="0" w:space="0" w:color="auto"/>
        <w:right w:val="none" w:sz="0" w:space="0" w:color="auto"/>
      </w:divBdr>
      <w:divsChild>
        <w:div w:id="698942203">
          <w:marLeft w:val="0"/>
          <w:marRight w:val="0"/>
          <w:marTop w:val="0"/>
          <w:marBottom w:val="80"/>
          <w:divBdr>
            <w:top w:val="none" w:sz="0" w:space="0" w:color="auto"/>
            <w:left w:val="none" w:sz="0" w:space="0" w:color="auto"/>
            <w:bottom w:val="none" w:sz="0" w:space="0" w:color="auto"/>
            <w:right w:val="none" w:sz="0" w:space="0" w:color="auto"/>
          </w:divBdr>
        </w:div>
        <w:div w:id="1346055643">
          <w:marLeft w:val="0"/>
          <w:marRight w:val="0"/>
          <w:marTop w:val="0"/>
          <w:marBottom w:val="80"/>
          <w:divBdr>
            <w:top w:val="none" w:sz="0" w:space="0" w:color="auto"/>
            <w:left w:val="none" w:sz="0" w:space="0" w:color="auto"/>
            <w:bottom w:val="none" w:sz="0" w:space="0" w:color="auto"/>
            <w:right w:val="none" w:sz="0" w:space="0" w:color="auto"/>
          </w:divBdr>
        </w:div>
        <w:div w:id="1297027408">
          <w:marLeft w:val="0"/>
          <w:marRight w:val="0"/>
          <w:marTop w:val="0"/>
          <w:marBottom w:val="80"/>
          <w:divBdr>
            <w:top w:val="none" w:sz="0" w:space="0" w:color="auto"/>
            <w:left w:val="none" w:sz="0" w:space="0" w:color="auto"/>
            <w:bottom w:val="none" w:sz="0" w:space="0" w:color="auto"/>
            <w:right w:val="none" w:sz="0" w:space="0" w:color="auto"/>
          </w:divBdr>
        </w:div>
        <w:div w:id="1202086423">
          <w:marLeft w:val="0"/>
          <w:marRight w:val="0"/>
          <w:marTop w:val="0"/>
          <w:marBottom w:val="80"/>
          <w:divBdr>
            <w:top w:val="none" w:sz="0" w:space="0" w:color="auto"/>
            <w:left w:val="none" w:sz="0" w:space="0" w:color="auto"/>
            <w:bottom w:val="none" w:sz="0" w:space="0" w:color="auto"/>
            <w:right w:val="none" w:sz="0" w:space="0" w:color="auto"/>
          </w:divBdr>
        </w:div>
        <w:div w:id="705567154">
          <w:marLeft w:val="0"/>
          <w:marRight w:val="0"/>
          <w:marTop w:val="0"/>
          <w:marBottom w:val="80"/>
          <w:divBdr>
            <w:top w:val="none" w:sz="0" w:space="0" w:color="auto"/>
            <w:left w:val="none" w:sz="0" w:space="0" w:color="auto"/>
            <w:bottom w:val="none" w:sz="0" w:space="0" w:color="auto"/>
            <w:right w:val="none" w:sz="0" w:space="0" w:color="auto"/>
          </w:divBdr>
        </w:div>
        <w:div w:id="1177883356">
          <w:marLeft w:val="0"/>
          <w:marRight w:val="0"/>
          <w:marTop w:val="101"/>
          <w:marBottom w:val="80"/>
          <w:divBdr>
            <w:top w:val="none" w:sz="0" w:space="0" w:color="auto"/>
            <w:left w:val="none" w:sz="0" w:space="0" w:color="auto"/>
            <w:bottom w:val="none" w:sz="0" w:space="0" w:color="auto"/>
            <w:right w:val="none" w:sz="0" w:space="0" w:color="auto"/>
          </w:divBdr>
        </w:div>
        <w:div w:id="529950580">
          <w:marLeft w:val="0"/>
          <w:marRight w:val="0"/>
          <w:marTop w:val="0"/>
          <w:marBottom w:val="80"/>
          <w:divBdr>
            <w:top w:val="none" w:sz="0" w:space="0" w:color="auto"/>
            <w:left w:val="none" w:sz="0" w:space="0" w:color="auto"/>
            <w:bottom w:val="none" w:sz="0" w:space="0" w:color="auto"/>
            <w:right w:val="none" w:sz="0" w:space="0" w:color="auto"/>
          </w:divBdr>
        </w:div>
        <w:div w:id="1990086719">
          <w:marLeft w:val="0"/>
          <w:marRight w:val="0"/>
          <w:marTop w:val="0"/>
          <w:marBottom w:val="80"/>
          <w:divBdr>
            <w:top w:val="none" w:sz="0" w:space="0" w:color="auto"/>
            <w:left w:val="none" w:sz="0" w:space="0" w:color="auto"/>
            <w:bottom w:val="none" w:sz="0" w:space="0" w:color="auto"/>
            <w:right w:val="none" w:sz="0" w:space="0" w:color="auto"/>
          </w:divBdr>
        </w:div>
        <w:div w:id="794755368">
          <w:marLeft w:val="720"/>
          <w:marRight w:val="0"/>
          <w:marTop w:val="0"/>
          <w:marBottom w:val="80"/>
          <w:divBdr>
            <w:top w:val="none" w:sz="0" w:space="0" w:color="auto"/>
            <w:left w:val="none" w:sz="0" w:space="0" w:color="auto"/>
            <w:bottom w:val="none" w:sz="0" w:space="0" w:color="auto"/>
            <w:right w:val="none" w:sz="0" w:space="0" w:color="auto"/>
          </w:divBdr>
        </w:div>
        <w:div w:id="1519462400">
          <w:marLeft w:val="1224"/>
          <w:marRight w:val="0"/>
          <w:marTop w:val="0"/>
          <w:marBottom w:val="80"/>
          <w:divBdr>
            <w:top w:val="none" w:sz="0" w:space="0" w:color="auto"/>
            <w:left w:val="none" w:sz="0" w:space="0" w:color="auto"/>
            <w:bottom w:val="none" w:sz="0" w:space="0" w:color="auto"/>
            <w:right w:val="none" w:sz="0" w:space="0" w:color="auto"/>
          </w:divBdr>
        </w:div>
        <w:div w:id="748428127">
          <w:marLeft w:val="1224"/>
          <w:marRight w:val="0"/>
          <w:marTop w:val="0"/>
          <w:marBottom w:val="80"/>
          <w:divBdr>
            <w:top w:val="none" w:sz="0" w:space="0" w:color="auto"/>
            <w:left w:val="none" w:sz="0" w:space="0" w:color="auto"/>
            <w:bottom w:val="none" w:sz="0" w:space="0" w:color="auto"/>
            <w:right w:val="none" w:sz="0" w:space="0" w:color="auto"/>
          </w:divBdr>
        </w:div>
        <w:div w:id="243801206">
          <w:marLeft w:val="1224"/>
          <w:marRight w:val="0"/>
          <w:marTop w:val="0"/>
          <w:marBottom w:val="80"/>
          <w:divBdr>
            <w:top w:val="none" w:sz="0" w:space="0" w:color="auto"/>
            <w:left w:val="none" w:sz="0" w:space="0" w:color="auto"/>
            <w:bottom w:val="none" w:sz="0" w:space="0" w:color="auto"/>
            <w:right w:val="none" w:sz="0" w:space="0" w:color="auto"/>
          </w:divBdr>
        </w:div>
        <w:div w:id="2049648502">
          <w:marLeft w:val="1224"/>
          <w:marRight w:val="0"/>
          <w:marTop w:val="0"/>
          <w:marBottom w:val="80"/>
          <w:divBdr>
            <w:top w:val="none" w:sz="0" w:space="0" w:color="auto"/>
            <w:left w:val="none" w:sz="0" w:space="0" w:color="auto"/>
            <w:bottom w:val="none" w:sz="0" w:space="0" w:color="auto"/>
            <w:right w:val="none" w:sz="0" w:space="0" w:color="auto"/>
          </w:divBdr>
        </w:div>
        <w:div w:id="1852180611">
          <w:marLeft w:val="1224"/>
          <w:marRight w:val="0"/>
          <w:marTop w:val="0"/>
          <w:marBottom w:val="80"/>
          <w:divBdr>
            <w:top w:val="none" w:sz="0" w:space="0" w:color="auto"/>
            <w:left w:val="none" w:sz="0" w:space="0" w:color="auto"/>
            <w:bottom w:val="none" w:sz="0" w:space="0" w:color="auto"/>
            <w:right w:val="none" w:sz="0" w:space="0" w:color="auto"/>
          </w:divBdr>
        </w:div>
        <w:div w:id="107091558">
          <w:marLeft w:val="1224"/>
          <w:marRight w:val="0"/>
          <w:marTop w:val="0"/>
          <w:marBottom w:val="80"/>
          <w:divBdr>
            <w:top w:val="none" w:sz="0" w:space="0" w:color="auto"/>
            <w:left w:val="none" w:sz="0" w:space="0" w:color="auto"/>
            <w:bottom w:val="none" w:sz="0" w:space="0" w:color="auto"/>
            <w:right w:val="none" w:sz="0" w:space="0" w:color="auto"/>
          </w:divBdr>
        </w:div>
        <w:div w:id="1217475757">
          <w:marLeft w:val="1224"/>
          <w:marRight w:val="0"/>
          <w:marTop w:val="0"/>
          <w:marBottom w:val="80"/>
          <w:divBdr>
            <w:top w:val="none" w:sz="0" w:space="0" w:color="auto"/>
            <w:left w:val="none" w:sz="0" w:space="0" w:color="auto"/>
            <w:bottom w:val="none" w:sz="0" w:space="0" w:color="auto"/>
            <w:right w:val="none" w:sz="0" w:space="0" w:color="auto"/>
          </w:divBdr>
        </w:div>
        <w:div w:id="1776747619">
          <w:marLeft w:val="1224"/>
          <w:marRight w:val="0"/>
          <w:marTop w:val="0"/>
          <w:marBottom w:val="80"/>
          <w:divBdr>
            <w:top w:val="none" w:sz="0" w:space="0" w:color="auto"/>
            <w:left w:val="none" w:sz="0" w:space="0" w:color="auto"/>
            <w:bottom w:val="none" w:sz="0" w:space="0" w:color="auto"/>
            <w:right w:val="none" w:sz="0" w:space="0" w:color="auto"/>
          </w:divBdr>
        </w:div>
        <w:div w:id="1609775684">
          <w:marLeft w:val="1224"/>
          <w:marRight w:val="0"/>
          <w:marTop w:val="0"/>
          <w:marBottom w:val="80"/>
          <w:divBdr>
            <w:top w:val="none" w:sz="0" w:space="0" w:color="auto"/>
            <w:left w:val="none" w:sz="0" w:space="0" w:color="auto"/>
            <w:bottom w:val="none" w:sz="0" w:space="0" w:color="auto"/>
            <w:right w:val="none" w:sz="0" w:space="0" w:color="auto"/>
          </w:divBdr>
        </w:div>
        <w:div w:id="1400444642">
          <w:marLeft w:val="720"/>
          <w:marRight w:val="0"/>
          <w:marTop w:val="0"/>
          <w:marBottom w:val="80"/>
          <w:divBdr>
            <w:top w:val="none" w:sz="0" w:space="0" w:color="auto"/>
            <w:left w:val="none" w:sz="0" w:space="0" w:color="auto"/>
            <w:bottom w:val="none" w:sz="0" w:space="0" w:color="auto"/>
            <w:right w:val="none" w:sz="0" w:space="0" w:color="auto"/>
          </w:divBdr>
        </w:div>
        <w:div w:id="1769690293">
          <w:marLeft w:val="1224"/>
          <w:marRight w:val="0"/>
          <w:marTop w:val="0"/>
          <w:marBottom w:val="80"/>
          <w:divBdr>
            <w:top w:val="none" w:sz="0" w:space="0" w:color="auto"/>
            <w:left w:val="none" w:sz="0" w:space="0" w:color="auto"/>
            <w:bottom w:val="none" w:sz="0" w:space="0" w:color="auto"/>
            <w:right w:val="none" w:sz="0" w:space="0" w:color="auto"/>
          </w:divBdr>
        </w:div>
        <w:div w:id="1142501046">
          <w:marLeft w:val="1944"/>
          <w:marRight w:val="0"/>
          <w:marTop w:val="0"/>
          <w:marBottom w:val="80"/>
          <w:divBdr>
            <w:top w:val="none" w:sz="0" w:space="0" w:color="auto"/>
            <w:left w:val="none" w:sz="0" w:space="0" w:color="auto"/>
            <w:bottom w:val="none" w:sz="0" w:space="0" w:color="auto"/>
            <w:right w:val="none" w:sz="0" w:space="0" w:color="auto"/>
          </w:divBdr>
        </w:div>
        <w:div w:id="17703348">
          <w:marLeft w:val="1944"/>
          <w:marRight w:val="0"/>
          <w:marTop w:val="0"/>
          <w:marBottom w:val="80"/>
          <w:divBdr>
            <w:top w:val="none" w:sz="0" w:space="0" w:color="auto"/>
            <w:left w:val="none" w:sz="0" w:space="0" w:color="auto"/>
            <w:bottom w:val="none" w:sz="0" w:space="0" w:color="auto"/>
            <w:right w:val="none" w:sz="0" w:space="0" w:color="auto"/>
          </w:divBdr>
        </w:div>
        <w:div w:id="2103456131">
          <w:marLeft w:val="1944"/>
          <w:marRight w:val="0"/>
          <w:marTop w:val="0"/>
          <w:marBottom w:val="80"/>
          <w:divBdr>
            <w:top w:val="none" w:sz="0" w:space="0" w:color="auto"/>
            <w:left w:val="none" w:sz="0" w:space="0" w:color="auto"/>
            <w:bottom w:val="none" w:sz="0" w:space="0" w:color="auto"/>
            <w:right w:val="none" w:sz="0" w:space="0" w:color="auto"/>
          </w:divBdr>
        </w:div>
        <w:div w:id="316226652">
          <w:marLeft w:val="1224"/>
          <w:marRight w:val="0"/>
          <w:marTop w:val="0"/>
          <w:marBottom w:val="80"/>
          <w:divBdr>
            <w:top w:val="none" w:sz="0" w:space="0" w:color="auto"/>
            <w:left w:val="none" w:sz="0" w:space="0" w:color="auto"/>
            <w:bottom w:val="none" w:sz="0" w:space="0" w:color="auto"/>
            <w:right w:val="none" w:sz="0" w:space="0" w:color="auto"/>
          </w:divBdr>
        </w:div>
        <w:div w:id="1045258502">
          <w:marLeft w:val="1944"/>
          <w:marRight w:val="0"/>
          <w:marTop w:val="0"/>
          <w:marBottom w:val="80"/>
          <w:divBdr>
            <w:top w:val="none" w:sz="0" w:space="0" w:color="auto"/>
            <w:left w:val="none" w:sz="0" w:space="0" w:color="auto"/>
            <w:bottom w:val="none" w:sz="0" w:space="0" w:color="auto"/>
            <w:right w:val="none" w:sz="0" w:space="0" w:color="auto"/>
          </w:divBdr>
        </w:div>
        <w:div w:id="1468668779">
          <w:marLeft w:val="1944"/>
          <w:marRight w:val="0"/>
          <w:marTop w:val="0"/>
          <w:marBottom w:val="80"/>
          <w:divBdr>
            <w:top w:val="none" w:sz="0" w:space="0" w:color="auto"/>
            <w:left w:val="none" w:sz="0" w:space="0" w:color="auto"/>
            <w:bottom w:val="none" w:sz="0" w:space="0" w:color="auto"/>
            <w:right w:val="none" w:sz="0" w:space="0" w:color="auto"/>
          </w:divBdr>
        </w:div>
        <w:div w:id="1705446575">
          <w:marLeft w:val="1944"/>
          <w:marRight w:val="0"/>
          <w:marTop w:val="0"/>
          <w:marBottom w:val="80"/>
          <w:divBdr>
            <w:top w:val="none" w:sz="0" w:space="0" w:color="auto"/>
            <w:left w:val="none" w:sz="0" w:space="0" w:color="auto"/>
            <w:bottom w:val="none" w:sz="0" w:space="0" w:color="auto"/>
            <w:right w:val="none" w:sz="0" w:space="0" w:color="auto"/>
          </w:divBdr>
        </w:div>
        <w:div w:id="308095519">
          <w:marLeft w:val="1944"/>
          <w:marRight w:val="0"/>
          <w:marTop w:val="0"/>
          <w:marBottom w:val="80"/>
          <w:divBdr>
            <w:top w:val="none" w:sz="0" w:space="0" w:color="auto"/>
            <w:left w:val="none" w:sz="0" w:space="0" w:color="auto"/>
            <w:bottom w:val="none" w:sz="0" w:space="0" w:color="auto"/>
            <w:right w:val="none" w:sz="0" w:space="0" w:color="auto"/>
          </w:divBdr>
        </w:div>
        <w:div w:id="1987319687">
          <w:marLeft w:val="1944"/>
          <w:marRight w:val="0"/>
          <w:marTop w:val="0"/>
          <w:marBottom w:val="80"/>
          <w:divBdr>
            <w:top w:val="none" w:sz="0" w:space="0" w:color="auto"/>
            <w:left w:val="none" w:sz="0" w:space="0" w:color="auto"/>
            <w:bottom w:val="none" w:sz="0" w:space="0" w:color="auto"/>
            <w:right w:val="none" w:sz="0" w:space="0" w:color="auto"/>
          </w:divBdr>
        </w:div>
        <w:div w:id="514808567">
          <w:marLeft w:val="1224"/>
          <w:marRight w:val="0"/>
          <w:marTop w:val="0"/>
          <w:marBottom w:val="80"/>
          <w:divBdr>
            <w:top w:val="none" w:sz="0" w:space="0" w:color="auto"/>
            <w:left w:val="none" w:sz="0" w:space="0" w:color="auto"/>
            <w:bottom w:val="none" w:sz="0" w:space="0" w:color="auto"/>
            <w:right w:val="none" w:sz="0" w:space="0" w:color="auto"/>
          </w:divBdr>
        </w:div>
        <w:div w:id="1209684785">
          <w:marLeft w:val="1944"/>
          <w:marRight w:val="0"/>
          <w:marTop w:val="0"/>
          <w:marBottom w:val="80"/>
          <w:divBdr>
            <w:top w:val="none" w:sz="0" w:space="0" w:color="auto"/>
            <w:left w:val="none" w:sz="0" w:space="0" w:color="auto"/>
            <w:bottom w:val="none" w:sz="0" w:space="0" w:color="auto"/>
            <w:right w:val="none" w:sz="0" w:space="0" w:color="auto"/>
          </w:divBdr>
        </w:div>
        <w:div w:id="822085482">
          <w:marLeft w:val="2664"/>
          <w:marRight w:val="0"/>
          <w:marTop w:val="0"/>
          <w:marBottom w:val="80"/>
          <w:divBdr>
            <w:top w:val="none" w:sz="0" w:space="0" w:color="auto"/>
            <w:left w:val="none" w:sz="0" w:space="0" w:color="auto"/>
            <w:bottom w:val="none" w:sz="0" w:space="0" w:color="auto"/>
            <w:right w:val="none" w:sz="0" w:space="0" w:color="auto"/>
          </w:divBdr>
        </w:div>
        <w:div w:id="1939368223">
          <w:marLeft w:val="1944"/>
          <w:marRight w:val="0"/>
          <w:marTop w:val="0"/>
          <w:marBottom w:val="74"/>
          <w:divBdr>
            <w:top w:val="none" w:sz="0" w:space="0" w:color="auto"/>
            <w:left w:val="none" w:sz="0" w:space="0" w:color="auto"/>
            <w:bottom w:val="none" w:sz="0" w:space="0" w:color="auto"/>
            <w:right w:val="none" w:sz="0" w:space="0" w:color="auto"/>
          </w:divBdr>
        </w:div>
        <w:div w:id="1961571926">
          <w:marLeft w:val="2664"/>
          <w:marRight w:val="0"/>
          <w:marTop w:val="0"/>
          <w:marBottom w:val="74"/>
          <w:divBdr>
            <w:top w:val="none" w:sz="0" w:space="0" w:color="auto"/>
            <w:left w:val="none" w:sz="0" w:space="0" w:color="auto"/>
            <w:bottom w:val="none" w:sz="0" w:space="0" w:color="auto"/>
            <w:right w:val="none" w:sz="0" w:space="0" w:color="auto"/>
          </w:divBdr>
        </w:div>
        <w:div w:id="723065149">
          <w:marLeft w:val="2664"/>
          <w:marRight w:val="0"/>
          <w:marTop w:val="0"/>
          <w:marBottom w:val="74"/>
          <w:divBdr>
            <w:top w:val="none" w:sz="0" w:space="0" w:color="auto"/>
            <w:left w:val="none" w:sz="0" w:space="0" w:color="auto"/>
            <w:bottom w:val="none" w:sz="0" w:space="0" w:color="auto"/>
            <w:right w:val="none" w:sz="0" w:space="0" w:color="auto"/>
          </w:divBdr>
        </w:div>
        <w:div w:id="1506825808">
          <w:marLeft w:val="1944"/>
          <w:marRight w:val="0"/>
          <w:marTop w:val="0"/>
          <w:marBottom w:val="74"/>
          <w:divBdr>
            <w:top w:val="none" w:sz="0" w:space="0" w:color="auto"/>
            <w:left w:val="none" w:sz="0" w:space="0" w:color="auto"/>
            <w:bottom w:val="none" w:sz="0" w:space="0" w:color="auto"/>
            <w:right w:val="none" w:sz="0" w:space="0" w:color="auto"/>
          </w:divBdr>
        </w:div>
        <w:div w:id="1537742990">
          <w:marLeft w:val="2664"/>
          <w:marRight w:val="0"/>
          <w:marTop w:val="0"/>
          <w:marBottom w:val="74"/>
          <w:divBdr>
            <w:top w:val="none" w:sz="0" w:space="0" w:color="auto"/>
            <w:left w:val="none" w:sz="0" w:space="0" w:color="auto"/>
            <w:bottom w:val="none" w:sz="0" w:space="0" w:color="auto"/>
            <w:right w:val="none" w:sz="0" w:space="0" w:color="auto"/>
          </w:divBdr>
        </w:div>
        <w:div w:id="112139918">
          <w:marLeft w:val="2664"/>
          <w:marRight w:val="0"/>
          <w:marTop w:val="0"/>
          <w:marBottom w:val="74"/>
          <w:divBdr>
            <w:top w:val="none" w:sz="0" w:space="0" w:color="auto"/>
            <w:left w:val="none" w:sz="0" w:space="0" w:color="auto"/>
            <w:bottom w:val="none" w:sz="0" w:space="0" w:color="auto"/>
            <w:right w:val="none" w:sz="0" w:space="0" w:color="auto"/>
          </w:divBdr>
        </w:div>
        <w:div w:id="890654320">
          <w:marLeft w:val="1224"/>
          <w:marRight w:val="0"/>
          <w:marTop w:val="0"/>
          <w:marBottom w:val="74"/>
          <w:divBdr>
            <w:top w:val="none" w:sz="0" w:space="0" w:color="auto"/>
            <w:left w:val="none" w:sz="0" w:space="0" w:color="auto"/>
            <w:bottom w:val="none" w:sz="0" w:space="0" w:color="auto"/>
            <w:right w:val="none" w:sz="0" w:space="0" w:color="auto"/>
          </w:divBdr>
        </w:div>
        <w:div w:id="963538998">
          <w:marLeft w:val="720"/>
          <w:marRight w:val="0"/>
          <w:marTop w:val="0"/>
          <w:marBottom w:val="74"/>
          <w:divBdr>
            <w:top w:val="none" w:sz="0" w:space="0" w:color="auto"/>
            <w:left w:val="none" w:sz="0" w:space="0" w:color="auto"/>
            <w:bottom w:val="none" w:sz="0" w:space="0" w:color="auto"/>
            <w:right w:val="none" w:sz="0" w:space="0" w:color="auto"/>
          </w:divBdr>
        </w:div>
        <w:div w:id="2033608683">
          <w:marLeft w:val="1224"/>
          <w:marRight w:val="0"/>
          <w:marTop w:val="0"/>
          <w:marBottom w:val="74"/>
          <w:divBdr>
            <w:top w:val="none" w:sz="0" w:space="0" w:color="auto"/>
            <w:left w:val="none" w:sz="0" w:space="0" w:color="auto"/>
            <w:bottom w:val="none" w:sz="0" w:space="0" w:color="auto"/>
            <w:right w:val="none" w:sz="0" w:space="0" w:color="auto"/>
          </w:divBdr>
        </w:div>
        <w:div w:id="1032728460">
          <w:marLeft w:val="1944"/>
          <w:marRight w:val="0"/>
          <w:marTop w:val="0"/>
          <w:marBottom w:val="74"/>
          <w:divBdr>
            <w:top w:val="none" w:sz="0" w:space="0" w:color="auto"/>
            <w:left w:val="none" w:sz="0" w:space="0" w:color="auto"/>
            <w:bottom w:val="none" w:sz="0" w:space="0" w:color="auto"/>
            <w:right w:val="none" w:sz="0" w:space="0" w:color="auto"/>
          </w:divBdr>
        </w:div>
        <w:div w:id="888029536">
          <w:marLeft w:val="2664"/>
          <w:marRight w:val="0"/>
          <w:marTop w:val="0"/>
          <w:marBottom w:val="74"/>
          <w:divBdr>
            <w:top w:val="none" w:sz="0" w:space="0" w:color="auto"/>
            <w:left w:val="none" w:sz="0" w:space="0" w:color="auto"/>
            <w:bottom w:val="none" w:sz="0" w:space="0" w:color="auto"/>
            <w:right w:val="none" w:sz="0" w:space="0" w:color="auto"/>
          </w:divBdr>
        </w:div>
        <w:div w:id="710156594">
          <w:marLeft w:val="1944"/>
          <w:marRight w:val="0"/>
          <w:marTop w:val="0"/>
          <w:marBottom w:val="74"/>
          <w:divBdr>
            <w:top w:val="none" w:sz="0" w:space="0" w:color="auto"/>
            <w:left w:val="none" w:sz="0" w:space="0" w:color="auto"/>
            <w:bottom w:val="none" w:sz="0" w:space="0" w:color="auto"/>
            <w:right w:val="none" w:sz="0" w:space="0" w:color="auto"/>
          </w:divBdr>
        </w:div>
        <w:div w:id="25522829">
          <w:marLeft w:val="1944"/>
          <w:marRight w:val="0"/>
          <w:marTop w:val="0"/>
          <w:marBottom w:val="74"/>
          <w:divBdr>
            <w:top w:val="none" w:sz="0" w:space="0" w:color="auto"/>
            <w:left w:val="none" w:sz="0" w:space="0" w:color="auto"/>
            <w:bottom w:val="none" w:sz="0" w:space="0" w:color="auto"/>
            <w:right w:val="none" w:sz="0" w:space="0" w:color="auto"/>
          </w:divBdr>
        </w:div>
        <w:div w:id="1052580446">
          <w:marLeft w:val="1944"/>
          <w:marRight w:val="0"/>
          <w:marTop w:val="0"/>
          <w:marBottom w:val="74"/>
          <w:divBdr>
            <w:top w:val="none" w:sz="0" w:space="0" w:color="auto"/>
            <w:left w:val="none" w:sz="0" w:space="0" w:color="auto"/>
            <w:bottom w:val="none" w:sz="0" w:space="0" w:color="auto"/>
            <w:right w:val="none" w:sz="0" w:space="0" w:color="auto"/>
          </w:divBdr>
        </w:div>
        <w:div w:id="597249740">
          <w:marLeft w:val="1224"/>
          <w:marRight w:val="0"/>
          <w:marTop w:val="0"/>
          <w:marBottom w:val="74"/>
          <w:divBdr>
            <w:top w:val="none" w:sz="0" w:space="0" w:color="auto"/>
            <w:left w:val="none" w:sz="0" w:space="0" w:color="auto"/>
            <w:bottom w:val="none" w:sz="0" w:space="0" w:color="auto"/>
            <w:right w:val="none" w:sz="0" w:space="0" w:color="auto"/>
          </w:divBdr>
        </w:div>
        <w:div w:id="2042170208">
          <w:marLeft w:val="1944"/>
          <w:marRight w:val="0"/>
          <w:marTop w:val="0"/>
          <w:marBottom w:val="74"/>
          <w:divBdr>
            <w:top w:val="none" w:sz="0" w:space="0" w:color="auto"/>
            <w:left w:val="none" w:sz="0" w:space="0" w:color="auto"/>
            <w:bottom w:val="none" w:sz="0" w:space="0" w:color="auto"/>
            <w:right w:val="none" w:sz="0" w:space="0" w:color="auto"/>
          </w:divBdr>
        </w:div>
        <w:div w:id="1624730114">
          <w:marLeft w:val="2664"/>
          <w:marRight w:val="0"/>
          <w:marTop w:val="0"/>
          <w:marBottom w:val="74"/>
          <w:divBdr>
            <w:top w:val="none" w:sz="0" w:space="0" w:color="auto"/>
            <w:left w:val="none" w:sz="0" w:space="0" w:color="auto"/>
            <w:bottom w:val="none" w:sz="0" w:space="0" w:color="auto"/>
            <w:right w:val="none" w:sz="0" w:space="0" w:color="auto"/>
          </w:divBdr>
        </w:div>
        <w:div w:id="1968509970">
          <w:marLeft w:val="1944"/>
          <w:marRight w:val="0"/>
          <w:marTop w:val="0"/>
          <w:marBottom w:val="74"/>
          <w:divBdr>
            <w:top w:val="none" w:sz="0" w:space="0" w:color="auto"/>
            <w:left w:val="none" w:sz="0" w:space="0" w:color="auto"/>
            <w:bottom w:val="none" w:sz="0" w:space="0" w:color="auto"/>
            <w:right w:val="none" w:sz="0" w:space="0" w:color="auto"/>
          </w:divBdr>
        </w:div>
        <w:div w:id="2093699164">
          <w:marLeft w:val="1224"/>
          <w:marRight w:val="0"/>
          <w:marTop w:val="0"/>
          <w:marBottom w:val="74"/>
          <w:divBdr>
            <w:top w:val="none" w:sz="0" w:space="0" w:color="auto"/>
            <w:left w:val="none" w:sz="0" w:space="0" w:color="auto"/>
            <w:bottom w:val="none" w:sz="0" w:space="0" w:color="auto"/>
            <w:right w:val="none" w:sz="0" w:space="0" w:color="auto"/>
          </w:divBdr>
        </w:div>
        <w:div w:id="155532183">
          <w:marLeft w:val="1944"/>
          <w:marRight w:val="0"/>
          <w:marTop w:val="0"/>
          <w:marBottom w:val="74"/>
          <w:divBdr>
            <w:top w:val="none" w:sz="0" w:space="0" w:color="auto"/>
            <w:left w:val="none" w:sz="0" w:space="0" w:color="auto"/>
            <w:bottom w:val="none" w:sz="0" w:space="0" w:color="auto"/>
            <w:right w:val="none" w:sz="0" w:space="0" w:color="auto"/>
          </w:divBdr>
        </w:div>
        <w:div w:id="856651971">
          <w:marLeft w:val="1944"/>
          <w:marRight w:val="0"/>
          <w:marTop w:val="0"/>
          <w:marBottom w:val="74"/>
          <w:divBdr>
            <w:top w:val="none" w:sz="0" w:space="0" w:color="auto"/>
            <w:left w:val="none" w:sz="0" w:space="0" w:color="auto"/>
            <w:bottom w:val="none" w:sz="0" w:space="0" w:color="auto"/>
            <w:right w:val="none" w:sz="0" w:space="0" w:color="auto"/>
          </w:divBdr>
        </w:div>
        <w:div w:id="1915625362">
          <w:marLeft w:val="1944"/>
          <w:marRight w:val="0"/>
          <w:marTop w:val="0"/>
          <w:marBottom w:val="74"/>
          <w:divBdr>
            <w:top w:val="none" w:sz="0" w:space="0" w:color="auto"/>
            <w:left w:val="none" w:sz="0" w:space="0" w:color="auto"/>
            <w:bottom w:val="none" w:sz="0" w:space="0" w:color="auto"/>
            <w:right w:val="none" w:sz="0" w:space="0" w:color="auto"/>
          </w:divBdr>
        </w:div>
        <w:div w:id="955335330">
          <w:marLeft w:val="1224"/>
          <w:marRight w:val="0"/>
          <w:marTop w:val="0"/>
          <w:marBottom w:val="74"/>
          <w:divBdr>
            <w:top w:val="none" w:sz="0" w:space="0" w:color="auto"/>
            <w:left w:val="none" w:sz="0" w:space="0" w:color="auto"/>
            <w:bottom w:val="none" w:sz="0" w:space="0" w:color="auto"/>
            <w:right w:val="none" w:sz="0" w:space="0" w:color="auto"/>
          </w:divBdr>
        </w:div>
        <w:div w:id="1270622600">
          <w:marLeft w:val="1224"/>
          <w:marRight w:val="0"/>
          <w:marTop w:val="0"/>
          <w:marBottom w:val="74"/>
          <w:divBdr>
            <w:top w:val="none" w:sz="0" w:space="0" w:color="auto"/>
            <w:left w:val="none" w:sz="0" w:space="0" w:color="auto"/>
            <w:bottom w:val="none" w:sz="0" w:space="0" w:color="auto"/>
            <w:right w:val="none" w:sz="0" w:space="0" w:color="auto"/>
          </w:divBdr>
        </w:div>
        <w:div w:id="1747337434">
          <w:marLeft w:val="720"/>
          <w:marRight w:val="0"/>
          <w:marTop w:val="0"/>
          <w:marBottom w:val="74"/>
          <w:divBdr>
            <w:top w:val="none" w:sz="0" w:space="0" w:color="auto"/>
            <w:left w:val="none" w:sz="0" w:space="0" w:color="auto"/>
            <w:bottom w:val="none" w:sz="0" w:space="0" w:color="auto"/>
            <w:right w:val="none" w:sz="0" w:space="0" w:color="auto"/>
          </w:divBdr>
        </w:div>
        <w:div w:id="107044758">
          <w:marLeft w:val="1224"/>
          <w:marRight w:val="0"/>
          <w:marTop w:val="0"/>
          <w:marBottom w:val="74"/>
          <w:divBdr>
            <w:top w:val="none" w:sz="0" w:space="0" w:color="auto"/>
            <w:left w:val="none" w:sz="0" w:space="0" w:color="auto"/>
            <w:bottom w:val="none" w:sz="0" w:space="0" w:color="auto"/>
            <w:right w:val="none" w:sz="0" w:space="0" w:color="auto"/>
          </w:divBdr>
        </w:div>
        <w:div w:id="463737633">
          <w:marLeft w:val="1224"/>
          <w:marRight w:val="0"/>
          <w:marTop w:val="0"/>
          <w:marBottom w:val="74"/>
          <w:divBdr>
            <w:top w:val="none" w:sz="0" w:space="0" w:color="auto"/>
            <w:left w:val="none" w:sz="0" w:space="0" w:color="auto"/>
            <w:bottom w:val="none" w:sz="0" w:space="0" w:color="auto"/>
            <w:right w:val="none" w:sz="0" w:space="0" w:color="auto"/>
          </w:divBdr>
        </w:div>
        <w:div w:id="1580821510">
          <w:marLeft w:val="1224"/>
          <w:marRight w:val="0"/>
          <w:marTop w:val="0"/>
          <w:marBottom w:val="74"/>
          <w:divBdr>
            <w:top w:val="none" w:sz="0" w:space="0" w:color="auto"/>
            <w:left w:val="none" w:sz="0" w:space="0" w:color="auto"/>
            <w:bottom w:val="none" w:sz="0" w:space="0" w:color="auto"/>
            <w:right w:val="none" w:sz="0" w:space="0" w:color="auto"/>
          </w:divBdr>
        </w:div>
        <w:div w:id="1088422795">
          <w:marLeft w:val="1224"/>
          <w:marRight w:val="0"/>
          <w:marTop w:val="0"/>
          <w:marBottom w:val="74"/>
          <w:divBdr>
            <w:top w:val="none" w:sz="0" w:space="0" w:color="auto"/>
            <w:left w:val="none" w:sz="0" w:space="0" w:color="auto"/>
            <w:bottom w:val="none" w:sz="0" w:space="0" w:color="auto"/>
            <w:right w:val="none" w:sz="0" w:space="0" w:color="auto"/>
          </w:divBdr>
        </w:div>
        <w:div w:id="1755006073">
          <w:marLeft w:val="720"/>
          <w:marRight w:val="0"/>
          <w:marTop w:val="0"/>
          <w:marBottom w:val="74"/>
          <w:divBdr>
            <w:top w:val="none" w:sz="0" w:space="0" w:color="auto"/>
            <w:left w:val="none" w:sz="0" w:space="0" w:color="auto"/>
            <w:bottom w:val="none" w:sz="0" w:space="0" w:color="auto"/>
            <w:right w:val="none" w:sz="0" w:space="0" w:color="auto"/>
          </w:divBdr>
        </w:div>
        <w:div w:id="1723627820">
          <w:marLeft w:val="1224"/>
          <w:marRight w:val="0"/>
          <w:marTop w:val="0"/>
          <w:marBottom w:val="74"/>
          <w:divBdr>
            <w:top w:val="none" w:sz="0" w:space="0" w:color="auto"/>
            <w:left w:val="none" w:sz="0" w:space="0" w:color="auto"/>
            <w:bottom w:val="none" w:sz="0" w:space="0" w:color="auto"/>
            <w:right w:val="none" w:sz="0" w:space="0" w:color="auto"/>
          </w:divBdr>
        </w:div>
        <w:div w:id="828522863">
          <w:marLeft w:val="1224"/>
          <w:marRight w:val="0"/>
          <w:marTop w:val="0"/>
          <w:marBottom w:val="74"/>
          <w:divBdr>
            <w:top w:val="none" w:sz="0" w:space="0" w:color="auto"/>
            <w:left w:val="none" w:sz="0" w:space="0" w:color="auto"/>
            <w:bottom w:val="none" w:sz="0" w:space="0" w:color="auto"/>
            <w:right w:val="none" w:sz="0" w:space="0" w:color="auto"/>
          </w:divBdr>
        </w:div>
        <w:div w:id="1549604009">
          <w:marLeft w:val="1944"/>
          <w:marRight w:val="0"/>
          <w:marTop w:val="0"/>
          <w:marBottom w:val="74"/>
          <w:divBdr>
            <w:top w:val="none" w:sz="0" w:space="0" w:color="auto"/>
            <w:left w:val="none" w:sz="0" w:space="0" w:color="auto"/>
            <w:bottom w:val="none" w:sz="0" w:space="0" w:color="auto"/>
            <w:right w:val="none" w:sz="0" w:space="0" w:color="auto"/>
          </w:divBdr>
        </w:div>
        <w:div w:id="759064995">
          <w:marLeft w:val="1224"/>
          <w:marRight w:val="0"/>
          <w:marTop w:val="0"/>
          <w:marBottom w:val="74"/>
          <w:divBdr>
            <w:top w:val="none" w:sz="0" w:space="0" w:color="auto"/>
            <w:left w:val="none" w:sz="0" w:space="0" w:color="auto"/>
            <w:bottom w:val="none" w:sz="0" w:space="0" w:color="auto"/>
            <w:right w:val="none" w:sz="0" w:space="0" w:color="auto"/>
          </w:divBdr>
        </w:div>
        <w:div w:id="1130172836">
          <w:marLeft w:val="1944"/>
          <w:marRight w:val="0"/>
          <w:marTop w:val="0"/>
          <w:marBottom w:val="74"/>
          <w:divBdr>
            <w:top w:val="none" w:sz="0" w:space="0" w:color="auto"/>
            <w:left w:val="none" w:sz="0" w:space="0" w:color="auto"/>
            <w:bottom w:val="none" w:sz="0" w:space="0" w:color="auto"/>
            <w:right w:val="none" w:sz="0" w:space="0" w:color="auto"/>
          </w:divBdr>
        </w:div>
        <w:div w:id="1621915504">
          <w:marLeft w:val="1224"/>
          <w:marRight w:val="0"/>
          <w:marTop w:val="0"/>
          <w:marBottom w:val="74"/>
          <w:divBdr>
            <w:top w:val="none" w:sz="0" w:space="0" w:color="auto"/>
            <w:left w:val="none" w:sz="0" w:space="0" w:color="auto"/>
            <w:bottom w:val="none" w:sz="0" w:space="0" w:color="auto"/>
            <w:right w:val="none" w:sz="0" w:space="0" w:color="auto"/>
          </w:divBdr>
        </w:div>
        <w:div w:id="710569992">
          <w:marLeft w:val="720"/>
          <w:marRight w:val="0"/>
          <w:marTop w:val="0"/>
          <w:marBottom w:val="74"/>
          <w:divBdr>
            <w:top w:val="none" w:sz="0" w:space="0" w:color="auto"/>
            <w:left w:val="none" w:sz="0" w:space="0" w:color="auto"/>
            <w:bottom w:val="none" w:sz="0" w:space="0" w:color="auto"/>
            <w:right w:val="none" w:sz="0" w:space="0" w:color="auto"/>
          </w:divBdr>
        </w:div>
        <w:div w:id="192109977">
          <w:marLeft w:val="1224"/>
          <w:marRight w:val="0"/>
          <w:marTop w:val="0"/>
          <w:marBottom w:val="74"/>
          <w:divBdr>
            <w:top w:val="none" w:sz="0" w:space="0" w:color="auto"/>
            <w:left w:val="none" w:sz="0" w:space="0" w:color="auto"/>
            <w:bottom w:val="none" w:sz="0" w:space="0" w:color="auto"/>
            <w:right w:val="none" w:sz="0" w:space="0" w:color="auto"/>
          </w:divBdr>
        </w:div>
        <w:div w:id="1563254615">
          <w:marLeft w:val="1944"/>
          <w:marRight w:val="0"/>
          <w:marTop w:val="0"/>
          <w:marBottom w:val="74"/>
          <w:divBdr>
            <w:top w:val="none" w:sz="0" w:space="0" w:color="auto"/>
            <w:left w:val="none" w:sz="0" w:space="0" w:color="auto"/>
            <w:bottom w:val="none" w:sz="0" w:space="0" w:color="auto"/>
            <w:right w:val="none" w:sz="0" w:space="0" w:color="auto"/>
          </w:divBdr>
        </w:div>
        <w:div w:id="1102804249">
          <w:marLeft w:val="1224"/>
          <w:marRight w:val="0"/>
          <w:marTop w:val="0"/>
          <w:marBottom w:val="74"/>
          <w:divBdr>
            <w:top w:val="none" w:sz="0" w:space="0" w:color="auto"/>
            <w:left w:val="none" w:sz="0" w:space="0" w:color="auto"/>
            <w:bottom w:val="none" w:sz="0" w:space="0" w:color="auto"/>
            <w:right w:val="none" w:sz="0" w:space="0" w:color="auto"/>
          </w:divBdr>
        </w:div>
        <w:div w:id="1522165909">
          <w:marLeft w:val="1944"/>
          <w:marRight w:val="0"/>
          <w:marTop w:val="0"/>
          <w:marBottom w:val="74"/>
          <w:divBdr>
            <w:top w:val="none" w:sz="0" w:space="0" w:color="auto"/>
            <w:left w:val="none" w:sz="0" w:space="0" w:color="auto"/>
            <w:bottom w:val="none" w:sz="0" w:space="0" w:color="auto"/>
            <w:right w:val="none" w:sz="0" w:space="0" w:color="auto"/>
          </w:divBdr>
        </w:div>
        <w:div w:id="954215196">
          <w:marLeft w:val="720"/>
          <w:marRight w:val="0"/>
          <w:marTop w:val="0"/>
          <w:marBottom w:val="74"/>
          <w:divBdr>
            <w:top w:val="none" w:sz="0" w:space="0" w:color="auto"/>
            <w:left w:val="none" w:sz="0" w:space="0" w:color="auto"/>
            <w:bottom w:val="none" w:sz="0" w:space="0" w:color="auto"/>
            <w:right w:val="none" w:sz="0" w:space="0" w:color="auto"/>
          </w:divBdr>
        </w:div>
        <w:div w:id="1761219210">
          <w:marLeft w:val="1224"/>
          <w:marRight w:val="0"/>
          <w:marTop w:val="0"/>
          <w:marBottom w:val="74"/>
          <w:divBdr>
            <w:top w:val="none" w:sz="0" w:space="0" w:color="auto"/>
            <w:left w:val="none" w:sz="0" w:space="0" w:color="auto"/>
            <w:bottom w:val="none" w:sz="0" w:space="0" w:color="auto"/>
            <w:right w:val="none" w:sz="0" w:space="0" w:color="auto"/>
          </w:divBdr>
        </w:div>
        <w:div w:id="906766414">
          <w:marLeft w:val="1224"/>
          <w:marRight w:val="0"/>
          <w:marTop w:val="0"/>
          <w:marBottom w:val="74"/>
          <w:divBdr>
            <w:top w:val="none" w:sz="0" w:space="0" w:color="auto"/>
            <w:left w:val="none" w:sz="0" w:space="0" w:color="auto"/>
            <w:bottom w:val="none" w:sz="0" w:space="0" w:color="auto"/>
            <w:right w:val="none" w:sz="0" w:space="0" w:color="auto"/>
          </w:divBdr>
        </w:div>
        <w:div w:id="1313369130">
          <w:marLeft w:val="0"/>
          <w:marRight w:val="0"/>
          <w:marTop w:val="0"/>
          <w:marBottom w:val="100"/>
          <w:divBdr>
            <w:top w:val="none" w:sz="0" w:space="0" w:color="auto"/>
            <w:left w:val="none" w:sz="0" w:space="0" w:color="auto"/>
            <w:bottom w:val="none" w:sz="0" w:space="0" w:color="auto"/>
            <w:right w:val="none" w:sz="0" w:space="0" w:color="auto"/>
          </w:divBdr>
        </w:div>
        <w:div w:id="1001008374">
          <w:marLeft w:val="0"/>
          <w:marRight w:val="0"/>
          <w:marTop w:val="101"/>
          <w:marBottom w:val="100"/>
          <w:divBdr>
            <w:top w:val="none" w:sz="0" w:space="0" w:color="auto"/>
            <w:left w:val="none" w:sz="0" w:space="0" w:color="auto"/>
            <w:bottom w:val="none" w:sz="0" w:space="0" w:color="auto"/>
            <w:right w:val="none" w:sz="0" w:space="0" w:color="auto"/>
          </w:divBdr>
        </w:div>
        <w:div w:id="1600063631">
          <w:marLeft w:val="0"/>
          <w:marRight w:val="0"/>
          <w:marTop w:val="0"/>
          <w:marBottom w:val="100"/>
          <w:divBdr>
            <w:top w:val="none" w:sz="0" w:space="0" w:color="auto"/>
            <w:left w:val="none" w:sz="0" w:space="0" w:color="auto"/>
            <w:bottom w:val="none" w:sz="0" w:space="0" w:color="auto"/>
            <w:right w:val="none" w:sz="0" w:space="0" w:color="auto"/>
          </w:divBdr>
        </w:div>
        <w:div w:id="1787189854">
          <w:marLeft w:val="0"/>
          <w:marRight w:val="0"/>
          <w:marTop w:val="0"/>
          <w:marBottom w:val="100"/>
          <w:divBdr>
            <w:top w:val="none" w:sz="0" w:space="0" w:color="auto"/>
            <w:left w:val="none" w:sz="0" w:space="0" w:color="auto"/>
            <w:bottom w:val="none" w:sz="0" w:space="0" w:color="auto"/>
            <w:right w:val="none" w:sz="0" w:space="0" w:color="auto"/>
          </w:divBdr>
        </w:div>
        <w:div w:id="1574075394">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1005</Words>
  <Characters>5529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2024-04-10T21:16:00Z</dcterms:created>
  <dcterms:modified xsi:type="dcterms:W3CDTF">2024-04-10T21:18:00Z</dcterms:modified>
</cp:coreProperties>
</file>