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BCA" w:rsidRDefault="00990BCA" w:rsidP="00990BCA">
      <w:pPr>
        <w:jc w:val="center"/>
        <w:rPr>
          <w:rFonts w:ascii="Verdana" w:eastAsia="Verdana" w:hAnsi="Verdana" w:cs="Verdana"/>
          <w:b/>
          <w:color w:val="0000FF"/>
          <w:sz w:val="24"/>
          <w:szCs w:val="24"/>
        </w:rPr>
      </w:pPr>
      <w:r w:rsidRPr="00990BCA">
        <w:rPr>
          <w:rFonts w:ascii="Verdana" w:eastAsia="Verdana" w:hAnsi="Verdana" w:cs="Verdana"/>
          <w:b/>
          <w:color w:val="0000FF"/>
          <w:sz w:val="24"/>
          <w:szCs w:val="24"/>
        </w:rPr>
        <w:t>INFORMACIÓN relativa a los saldos y productos financieros del Fondo de Apoyo a la Administración de Justicia, que se proporciona en cumplimiento de la obligación establecida en el artículo 911 del Acuerdo General del Pleno del Consejo de la Judicatura Federal, que establece las disposiciones en materia de actividad administrativa del propio Consejo.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abril de 2022</w:t>
      </w:r>
      <w:r w:rsidRPr="00575D6A">
        <w:rPr>
          <w:rFonts w:ascii="Verdana" w:eastAsia="Verdana" w:hAnsi="Verdana" w:cs="Verdana"/>
          <w:b/>
          <w:color w:val="0000FF"/>
          <w:sz w:val="24"/>
          <w:szCs w:val="24"/>
        </w:rPr>
        <w:t>)</w:t>
      </w:r>
      <w:bookmarkEnd w:id="0"/>
    </w:p>
    <w:p w:rsidR="00976270" w:rsidRDefault="00990BCA" w:rsidP="00990BCA">
      <w:pPr>
        <w:jc w:val="both"/>
        <w:rPr>
          <w:rFonts w:ascii="Arial" w:hAnsi="Arial" w:cs="Arial"/>
          <w:b/>
          <w:color w:val="262626" w:themeColor="text1" w:themeTint="D9"/>
          <w:sz w:val="18"/>
        </w:rPr>
      </w:pPr>
      <w:r w:rsidRPr="00990BCA">
        <w:rPr>
          <w:rFonts w:ascii="Arial" w:hAnsi="Arial" w:cs="Arial"/>
          <w:b/>
          <w:color w:val="262626" w:themeColor="text1" w:themeTint="D9"/>
          <w:sz w:val="18"/>
        </w:rPr>
        <w:t>Al margen un sello con el Escudo Nacional, que dice: Estados Unidos Mexicanos.- Consejo de la Judicatura Federal.- Secretaría Técnica del Fondo de Apoyo a la Administración de Justicia.</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sz w:val="18"/>
          <w:szCs w:val="18"/>
          <w:lang w:eastAsia="es-MX"/>
        </w:rPr>
        <w:t>INFORMACIÓN RELATIVA A LOS SALDOS Y PRODUCTOS FINANCIEROS DEL FONDO DE APOYO A LA ADMINISTRACIÓN DE JUSTICIA, QUE SE PROPORCIONA EN CUMPLIMIENTO DE LA OBLIGACIÓN ESTABLECIDA EN EL ARTÍCULO 911 DEL ACUERDO GENERAL DEL PLENO DEL CONSEJO DE LA JUDICATURA FEDERAL, QUE ESTABLECE LAS DISPOSICIONES EN MATERIA DE ACTIVIDAD ADMINISTRATIVA DEL PROPIO CONSEJO.</w:t>
      </w:r>
    </w:p>
    <w:p w:rsidR="00990BCA" w:rsidRPr="00990BCA" w:rsidRDefault="00990BCA" w:rsidP="00990BCA">
      <w:pPr>
        <w:spacing w:after="101" w:line="240" w:lineRule="auto"/>
        <w:jc w:val="center"/>
        <w:rPr>
          <w:rFonts w:ascii="Arial" w:eastAsia="Times New Roman" w:hAnsi="Arial" w:cs="Arial"/>
          <w:b/>
          <w:sz w:val="18"/>
          <w:szCs w:val="18"/>
          <w:lang w:eastAsia="es-MX"/>
        </w:rPr>
      </w:pPr>
      <w:r w:rsidRPr="00990BCA">
        <w:rPr>
          <w:rFonts w:ascii="Arial" w:eastAsia="Times New Roman" w:hAnsi="Arial" w:cs="Arial"/>
          <w:b/>
          <w:sz w:val="18"/>
          <w:szCs w:val="18"/>
          <w:lang w:eastAsia="es-MX"/>
        </w:rPr>
        <w:t>CONSIDERANDO</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b/>
          <w:bCs/>
          <w:sz w:val="18"/>
          <w:szCs w:val="18"/>
          <w:lang w:eastAsia="es-MX"/>
        </w:rPr>
        <w:t xml:space="preserve">PRIMERO.- </w:t>
      </w:r>
      <w:r w:rsidRPr="00990BCA">
        <w:rPr>
          <w:rFonts w:ascii="Arial" w:eastAsia="Times New Roman" w:hAnsi="Arial" w:cs="Arial"/>
          <w:sz w:val="18"/>
          <w:szCs w:val="18"/>
          <w:lang w:eastAsia="es-MX"/>
        </w:rPr>
        <w:t>El 2 de enero de 2015, se publicó en el Diario Oficial de la Federación el Acuerdo General del Pleno del Consejo de la Judicatura Federal, que establece las disposiciones en materia de actividad administrativa del propio Consejo, mismo que entró en vigor al día siguiente de su publicación.</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sz w:val="18"/>
          <w:szCs w:val="18"/>
          <w:lang w:eastAsia="es-MX"/>
        </w:rPr>
        <w:t>El artículo 911 del Acuerdo General en cita, textualmente prescribe:</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sz w:val="18"/>
          <w:szCs w:val="18"/>
          <w:lang w:eastAsia="es-MX"/>
        </w:rPr>
        <w:t>"</w:t>
      </w:r>
      <w:r w:rsidRPr="00990BCA">
        <w:rPr>
          <w:rFonts w:ascii="Arial" w:eastAsia="Times New Roman" w:hAnsi="Arial" w:cs="Arial"/>
          <w:b/>
          <w:bCs/>
          <w:sz w:val="18"/>
          <w:szCs w:val="18"/>
          <w:lang w:eastAsia="es-MX"/>
        </w:rPr>
        <w:t>Artículo 911</w:t>
      </w:r>
      <w:r w:rsidRPr="00990BCA">
        <w:rPr>
          <w:rFonts w:ascii="Arial" w:eastAsia="Times New Roman" w:hAnsi="Arial" w:cs="Arial"/>
          <w:sz w:val="18"/>
          <w:szCs w:val="18"/>
          <w:lang w:eastAsia="es-MX"/>
        </w:rPr>
        <w:t>.- TRANSPARENCIA Y RENDICIÓN DE CUENTAS DEL FONDO. La Secretaría Técnica enviará en forma trimestral a la entidad de fiscalización superior de la Federación, el informe correspondiente al ejercicio de los recursos que integran el patrimonio del Fondo de Apoyo. Al mismo tiempo, se publicarán en el Diario Oficial de la Federación, previa revisión de la Dirección General de Auditoría, los ingresos del periodo, incluyendo los rendimientos financieros, egresos, destino y saldo patrimonial del Fondo y se difundirá a través de la página de Internet del Fondo de Apoyo".</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b/>
          <w:bCs/>
          <w:sz w:val="18"/>
          <w:szCs w:val="18"/>
          <w:lang w:eastAsia="es-MX"/>
        </w:rPr>
        <w:t>SEGUNDO.-</w:t>
      </w:r>
      <w:r w:rsidRPr="00990BCA">
        <w:rPr>
          <w:rFonts w:ascii="Arial" w:eastAsia="Times New Roman" w:hAnsi="Arial" w:cs="Arial"/>
          <w:sz w:val="18"/>
          <w:szCs w:val="18"/>
          <w:lang w:eastAsia="es-MX"/>
        </w:rPr>
        <w:t xml:space="preserve"> De acuerdo con el precepto invocado en el último párrafo del punto anterior, el Consejo de la Judicatura Federal, fungiendo como Comité Técnico del Fondo, presenta la siguiente información:</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sz w:val="18"/>
          <w:szCs w:val="18"/>
          <w:lang w:eastAsia="es-MX"/>
        </w:rPr>
        <w:t>INFORME CORRESPONDIENTE AL EJERCICIO DE LOS RECURSOS QUE INTEGRAN EL PATRIMONIO DEL FONDO DE APOYO A LA ADMINISTRACIÓN DE JUSTICIA DEL PERIODO ENERO A MARZO DE 2022.</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843"/>
        <w:gridCol w:w="1843"/>
        <w:gridCol w:w="1701"/>
        <w:gridCol w:w="1701"/>
        <w:gridCol w:w="1701"/>
      </w:tblGrid>
      <w:tr w:rsidR="00990BCA" w:rsidRPr="00990BCA" w:rsidTr="00990BCA">
        <w:trPr>
          <w:trHeight w:val="616"/>
        </w:trPr>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Saldo patrimonial al 31</w:t>
            </w:r>
            <w:r w:rsidRPr="00990BCA">
              <w:rPr>
                <w:rFonts w:ascii="Arial" w:eastAsia="Times New Roman" w:hAnsi="Arial" w:cs="Arial"/>
                <w:color w:val="000000"/>
                <w:sz w:val="18"/>
                <w:szCs w:val="18"/>
                <w:lang w:eastAsia="es-MX"/>
              </w:rPr>
              <w:br/>
              <w:t>de diciembre de 2021</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1) Ingresos</w:t>
            </w:r>
          </w:p>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enero-marzo 2022</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Intereses</w:t>
            </w:r>
          </w:p>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enero-marzo 2022</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2) Egresos</w:t>
            </w:r>
          </w:p>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enero-marzo 2022</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Saldo patrimonial al</w:t>
            </w:r>
            <w:r w:rsidRPr="00990BCA">
              <w:rPr>
                <w:rFonts w:ascii="Arial" w:eastAsia="Times New Roman" w:hAnsi="Arial" w:cs="Arial"/>
                <w:color w:val="000000"/>
                <w:sz w:val="18"/>
                <w:szCs w:val="18"/>
                <w:lang w:eastAsia="es-MX"/>
              </w:rPr>
              <w:br/>
              <w:t>31 de marzo de 2022</w:t>
            </w:r>
          </w:p>
        </w:tc>
      </w:tr>
      <w:tr w:rsidR="00990BCA" w:rsidRPr="00990BCA" w:rsidTr="00990BCA">
        <w:trPr>
          <w:trHeight w:val="352"/>
        </w:trPr>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b/>
                <w:bCs/>
                <w:color w:val="000000"/>
                <w:sz w:val="18"/>
                <w:szCs w:val="18"/>
                <w:lang w:eastAsia="es-MX"/>
              </w:rPr>
              <w:t>$4'825,184,241.85</w:t>
            </w:r>
          </w:p>
        </w:tc>
        <w:tc>
          <w:tcPr>
            <w:tcW w:w="184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b/>
                <w:bCs/>
                <w:color w:val="000000"/>
                <w:sz w:val="18"/>
                <w:szCs w:val="18"/>
                <w:lang w:eastAsia="es-MX"/>
              </w:rPr>
              <w:t>$69'743,187.64</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b/>
                <w:bCs/>
                <w:color w:val="000000"/>
                <w:sz w:val="18"/>
                <w:szCs w:val="18"/>
                <w:lang w:eastAsia="es-MX"/>
              </w:rPr>
              <w:t>$46'497,139.44</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b/>
                <w:bCs/>
                <w:color w:val="000000"/>
                <w:sz w:val="18"/>
                <w:szCs w:val="18"/>
                <w:lang w:eastAsia="es-MX"/>
              </w:rPr>
              <w:t>$4'557,150.88</w:t>
            </w:r>
          </w:p>
        </w:tc>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b/>
                <w:bCs/>
                <w:color w:val="000000"/>
                <w:sz w:val="18"/>
                <w:szCs w:val="18"/>
                <w:lang w:eastAsia="es-MX"/>
              </w:rPr>
              <w:t>$4'936,867,418.05</w:t>
            </w:r>
          </w:p>
        </w:tc>
      </w:tr>
      <w:tr w:rsidR="00990BCA" w:rsidRPr="00990BCA" w:rsidTr="00990BCA">
        <w:trPr>
          <w:trHeight w:val="3094"/>
        </w:trPr>
        <w:tc>
          <w:tcPr>
            <w:tcW w:w="8789" w:type="dxa"/>
            <w:gridSpan w:val="5"/>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vAlign w:val="center"/>
            <w:hideMark/>
          </w:tcPr>
          <w:p w:rsidR="00990BCA" w:rsidRPr="00990BCA" w:rsidRDefault="00990BCA" w:rsidP="00990BCA">
            <w:pPr>
              <w:spacing w:after="40" w:line="240" w:lineRule="auto"/>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 </w:t>
            </w:r>
          </w:p>
          <w:p w:rsidR="00990BCA" w:rsidRPr="00990BCA" w:rsidRDefault="00990BCA" w:rsidP="00990BCA">
            <w:pPr>
              <w:spacing w:after="40" w:line="240" w:lineRule="auto"/>
              <w:ind w:hanging="396"/>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 xml:space="preserve">1)    "Los recursos a que se refiere la tabla anterior son los generados en el período del 1 de enero al 31 de marzo de 2022, de conformidad con los artículos 225 y 226 de la Ley Orgánica del Poder Judicial de la Federación. No incluyen los recursos fiscales autorizados al Consejo de la Judicatura Federal en el Presupuesto de Egresos de la Federación, tal y como lo señala el artículo 226 en el citado ordenamiento que a la letra dice: </w:t>
            </w:r>
            <w:r w:rsidRPr="00990BCA">
              <w:rPr>
                <w:rFonts w:ascii="Arial" w:eastAsia="Times New Roman" w:hAnsi="Arial" w:cs="Arial"/>
                <w:i/>
                <w:iCs/>
                <w:color w:val="000000"/>
                <w:sz w:val="18"/>
                <w:szCs w:val="18"/>
                <w:lang w:eastAsia="es-MX"/>
              </w:rPr>
              <w:t>"Los recursos con los que se integre y opere el Fondo serán diferentes de aquellos que comprenda el presupuesto anual aprobado a favor del Poder Judicial de la Federación, y no afectarán las partidas que sean autorizadas mediante dicho presupuesto"".</w:t>
            </w:r>
          </w:p>
          <w:p w:rsidR="00990BCA" w:rsidRPr="00990BCA" w:rsidRDefault="00990BCA" w:rsidP="00990BCA">
            <w:pPr>
              <w:spacing w:after="40" w:line="240" w:lineRule="auto"/>
              <w:ind w:hanging="396"/>
              <w:jc w:val="both"/>
              <w:rPr>
                <w:rFonts w:ascii="Arial" w:eastAsia="Times New Roman" w:hAnsi="Arial" w:cs="Arial"/>
                <w:color w:val="000000"/>
                <w:sz w:val="18"/>
                <w:szCs w:val="18"/>
                <w:lang w:eastAsia="es-MX"/>
              </w:rPr>
            </w:pPr>
            <w:r w:rsidRPr="00990BCA">
              <w:rPr>
                <w:rFonts w:ascii="Arial" w:eastAsia="Times New Roman" w:hAnsi="Arial" w:cs="Arial"/>
                <w:color w:val="000000"/>
                <w:sz w:val="18"/>
                <w:szCs w:val="18"/>
                <w:lang w:eastAsia="es-MX"/>
              </w:rPr>
              <w:t>2)    "El importe de los egresos incluyen los gastos de administración del Fondo, así como los apoyos otorgados en cumplimiento a los fines para los cuales se constituyó el propio Fondo durante el período del 1 de enero al 31 de marzo de 2022".</w:t>
            </w:r>
          </w:p>
        </w:tc>
      </w:tr>
    </w:tbl>
    <w:p w:rsidR="00990BCA" w:rsidRPr="00990BCA" w:rsidRDefault="00990BCA" w:rsidP="00990BCA">
      <w:pPr>
        <w:spacing w:after="101" w:line="240" w:lineRule="auto"/>
        <w:jc w:val="center"/>
        <w:rPr>
          <w:rFonts w:ascii="Arial" w:eastAsia="Times New Roman" w:hAnsi="Arial" w:cs="Arial"/>
          <w:b/>
          <w:sz w:val="18"/>
          <w:szCs w:val="18"/>
          <w:lang w:eastAsia="es-MX"/>
        </w:rPr>
      </w:pPr>
      <w:r w:rsidRPr="00990BCA">
        <w:rPr>
          <w:rFonts w:ascii="Arial" w:eastAsia="Times New Roman" w:hAnsi="Arial" w:cs="Arial"/>
          <w:b/>
          <w:sz w:val="18"/>
          <w:szCs w:val="18"/>
          <w:lang w:eastAsia="es-MX"/>
        </w:rPr>
        <w:t>TRANSITORIO</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b/>
          <w:bCs/>
          <w:sz w:val="18"/>
          <w:szCs w:val="18"/>
          <w:lang w:eastAsia="es-MX"/>
        </w:rPr>
        <w:lastRenderedPageBreak/>
        <w:t xml:space="preserve">ÚNICO.- </w:t>
      </w:r>
      <w:r w:rsidRPr="00990BCA">
        <w:rPr>
          <w:rFonts w:ascii="Arial" w:eastAsia="Times New Roman" w:hAnsi="Arial" w:cs="Arial"/>
          <w:sz w:val="18"/>
          <w:szCs w:val="18"/>
          <w:lang w:eastAsia="es-MX"/>
        </w:rPr>
        <w:t xml:space="preserve">Infórmese a la Entidad de Fiscalización Superior de la Federación y publíquese este documento en el </w:t>
      </w:r>
      <w:r w:rsidRPr="00990BCA">
        <w:rPr>
          <w:rFonts w:ascii="Arial" w:eastAsia="Times New Roman" w:hAnsi="Arial" w:cs="Arial"/>
          <w:b/>
          <w:bCs/>
          <w:sz w:val="18"/>
          <w:szCs w:val="18"/>
          <w:lang w:eastAsia="es-MX"/>
        </w:rPr>
        <w:t>Diario Oficial de la Federación</w:t>
      </w:r>
      <w:r w:rsidRPr="00990BCA">
        <w:rPr>
          <w:rFonts w:ascii="Arial" w:eastAsia="Times New Roman" w:hAnsi="Arial" w:cs="Arial"/>
          <w:sz w:val="18"/>
          <w:szCs w:val="18"/>
          <w:lang w:eastAsia="es-MX"/>
        </w:rPr>
        <w:t>.</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sz w:val="18"/>
          <w:szCs w:val="18"/>
          <w:lang w:eastAsia="es-MX"/>
        </w:rPr>
        <w:t>Atentamente</w:t>
      </w:r>
    </w:p>
    <w:p w:rsidR="00990BCA" w:rsidRPr="00990BCA" w:rsidRDefault="00990BCA" w:rsidP="00990BCA">
      <w:pPr>
        <w:spacing w:after="101" w:line="240" w:lineRule="auto"/>
        <w:ind w:firstLine="288"/>
        <w:jc w:val="both"/>
        <w:rPr>
          <w:rFonts w:ascii="Arial" w:eastAsia="Times New Roman" w:hAnsi="Arial" w:cs="Arial"/>
          <w:sz w:val="18"/>
          <w:szCs w:val="18"/>
          <w:lang w:eastAsia="es-MX"/>
        </w:rPr>
      </w:pPr>
      <w:r w:rsidRPr="00990BCA">
        <w:rPr>
          <w:rFonts w:ascii="Arial" w:eastAsia="Times New Roman" w:hAnsi="Arial" w:cs="Arial"/>
          <w:sz w:val="18"/>
          <w:szCs w:val="18"/>
          <w:lang w:eastAsia="es-MX"/>
        </w:rPr>
        <w:t xml:space="preserve">Ciudad de México, a 20 de abril de 2022.- La Secretaria Técnica del Fondo de Apoyo a la Administración de Justicia, </w:t>
      </w:r>
      <w:r w:rsidRPr="00990BCA">
        <w:rPr>
          <w:rFonts w:ascii="Arial" w:eastAsia="Times New Roman" w:hAnsi="Arial" w:cs="Arial"/>
          <w:b/>
          <w:bCs/>
          <w:sz w:val="18"/>
          <w:szCs w:val="18"/>
          <w:lang w:eastAsia="es-MX"/>
        </w:rPr>
        <w:t>María Teresa Adriana Hermoso y Núñez</w:t>
      </w:r>
      <w:r w:rsidRPr="00990BCA">
        <w:rPr>
          <w:rFonts w:ascii="Arial" w:eastAsia="Times New Roman" w:hAnsi="Arial" w:cs="Arial"/>
          <w:sz w:val="18"/>
          <w:szCs w:val="18"/>
          <w:lang w:eastAsia="es-MX"/>
        </w:rPr>
        <w:t>.- Rúbrica.</w:t>
      </w:r>
    </w:p>
    <w:p w:rsidR="00990BCA" w:rsidRDefault="00990BCA" w:rsidP="00990BCA">
      <w:pPr>
        <w:jc w:val="both"/>
      </w:pPr>
    </w:p>
    <w:sectPr w:rsidR="00990B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BCA"/>
    <w:rsid w:val="005152B3"/>
    <w:rsid w:val="00990BCA"/>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BC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88027">
      <w:bodyDiv w:val="1"/>
      <w:marLeft w:val="0"/>
      <w:marRight w:val="0"/>
      <w:marTop w:val="0"/>
      <w:marBottom w:val="0"/>
      <w:divBdr>
        <w:top w:val="none" w:sz="0" w:space="0" w:color="auto"/>
        <w:left w:val="none" w:sz="0" w:space="0" w:color="auto"/>
        <w:bottom w:val="none" w:sz="0" w:space="0" w:color="auto"/>
        <w:right w:val="none" w:sz="0" w:space="0" w:color="auto"/>
      </w:divBdr>
      <w:divsChild>
        <w:div w:id="129592401">
          <w:marLeft w:val="0"/>
          <w:marRight w:val="0"/>
          <w:marTop w:val="0"/>
          <w:marBottom w:val="101"/>
          <w:divBdr>
            <w:top w:val="none" w:sz="0" w:space="0" w:color="auto"/>
            <w:left w:val="none" w:sz="0" w:space="0" w:color="auto"/>
            <w:bottom w:val="none" w:sz="0" w:space="0" w:color="auto"/>
            <w:right w:val="none" w:sz="0" w:space="0" w:color="auto"/>
          </w:divBdr>
        </w:div>
        <w:div w:id="2101902119">
          <w:marLeft w:val="0"/>
          <w:marRight w:val="0"/>
          <w:marTop w:val="101"/>
          <w:marBottom w:val="101"/>
          <w:divBdr>
            <w:top w:val="none" w:sz="0" w:space="0" w:color="auto"/>
            <w:left w:val="none" w:sz="0" w:space="0" w:color="auto"/>
            <w:bottom w:val="none" w:sz="0" w:space="0" w:color="auto"/>
            <w:right w:val="none" w:sz="0" w:space="0" w:color="auto"/>
          </w:divBdr>
        </w:div>
        <w:div w:id="1146165727">
          <w:marLeft w:val="0"/>
          <w:marRight w:val="0"/>
          <w:marTop w:val="0"/>
          <w:marBottom w:val="101"/>
          <w:divBdr>
            <w:top w:val="none" w:sz="0" w:space="0" w:color="auto"/>
            <w:left w:val="none" w:sz="0" w:space="0" w:color="auto"/>
            <w:bottom w:val="none" w:sz="0" w:space="0" w:color="auto"/>
            <w:right w:val="none" w:sz="0" w:space="0" w:color="auto"/>
          </w:divBdr>
        </w:div>
        <w:div w:id="53548126">
          <w:marLeft w:val="0"/>
          <w:marRight w:val="0"/>
          <w:marTop w:val="0"/>
          <w:marBottom w:val="101"/>
          <w:divBdr>
            <w:top w:val="none" w:sz="0" w:space="0" w:color="auto"/>
            <w:left w:val="none" w:sz="0" w:space="0" w:color="auto"/>
            <w:bottom w:val="none" w:sz="0" w:space="0" w:color="auto"/>
            <w:right w:val="none" w:sz="0" w:space="0" w:color="auto"/>
          </w:divBdr>
        </w:div>
        <w:div w:id="1690907482">
          <w:marLeft w:val="0"/>
          <w:marRight w:val="0"/>
          <w:marTop w:val="0"/>
          <w:marBottom w:val="101"/>
          <w:divBdr>
            <w:top w:val="none" w:sz="0" w:space="0" w:color="auto"/>
            <w:left w:val="none" w:sz="0" w:space="0" w:color="auto"/>
            <w:bottom w:val="none" w:sz="0" w:space="0" w:color="auto"/>
            <w:right w:val="none" w:sz="0" w:space="0" w:color="auto"/>
          </w:divBdr>
        </w:div>
        <w:div w:id="697776115">
          <w:marLeft w:val="0"/>
          <w:marRight w:val="0"/>
          <w:marTop w:val="0"/>
          <w:marBottom w:val="101"/>
          <w:divBdr>
            <w:top w:val="none" w:sz="0" w:space="0" w:color="auto"/>
            <w:left w:val="none" w:sz="0" w:space="0" w:color="auto"/>
            <w:bottom w:val="none" w:sz="0" w:space="0" w:color="auto"/>
            <w:right w:val="none" w:sz="0" w:space="0" w:color="auto"/>
          </w:divBdr>
        </w:div>
        <w:div w:id="1968317108">
          <w:marLeft w:val="0"/>
          <w:marRight w:val="0"/>
          <w:marTop w:val="0"/>
          <w:marBottom w:val="101"/>
          <w:divBdr>
            <w:top w:val="none" w:sz="0" w:space="0" w:color="auto"/>
            <w:left w:val="none" w:sz="0" w:space="0" w:color="auto"/>
            <w:bottom w:val="none" w:sz="0" w:space="0" w:color="auto"/>
            <w:right w:val="none" w:sz="0" w:space="0" w:color="auto"/>
          </w:divBdr>
        </w:div>
        <w:div w:id="1839542958">
          <w:marLeft w:val="0"/>
          <w:marRight w:val="0"/>
          <w:marTop w:val="40"/>
          <w:marBottom w:val="40"/>
          <w:divBdr>
            <w:top w:val="none" w:sz="0" w:space="0" w:color="auto"/>
            <w:left w:val="none" w:sz="0" w:space="0" w:color="auto"/>
            <w:bottom w:val="none" w:sz="0" w:space="0" w:color="auto"/>
            <w:right w:val="none" w:sz="0" w:space="0" w:color="auto"/>
          </w:divBdr>
        </w:div>
        <w:div w:id="1239825744">
          <w:marLeft w:val="0"/>
          <w:marRight w:val="0"/>
          <w:marTop w:val="40"/>
          <w:marBottom w:val="0"/>
          <w:divBdr>
            <w:top w:val="none" w:sz="0" w:space="0" w:color="auto"/>
            <w:left w:val="none" w:sz="0" w:space="0" w:color="auto"/>
            <w:bottom w:val="none" w:sz="0" w:space="0" w:color="auto"/>
            <w:right w:val="none" w:sz="0" w:space="0" w:color="auto"/>
          </w:divBdr>
        </w:div>
        <w:div w:id="1028796270">
          <w:marLeft w:val="0"/>
          <w:marRight w:val="0"/>
          <w:marTop w:val="0"/>
          <w:marBottom w:val="40"/>
          <w:divBdr>
            <w:top w:val="none" w:sz="0" w:space="0" w:color="auto"/>
            <w:left w:val="none" w:sz="0" w:space="0" w:color="auto"/>
            <w:bottom w:val="none" w:sz="0" w:space="0" w:color="auto"/>
            <w:right w:val="none" w:sz="0" w:space="0" w:color="auto"/>
          </w:divBdr>
        </w:div>
        <w:div w:id="893394779">
          <w:marLeft w:val="0"/>
          <w:marRight w:val="0"/>
          <w:marTop w:val="40"/>
          <w:marBottom w:val="0"/>
          <w:divBdr>
            <w:top w:val="none" w:sz="0" w:space="0" w:color="auto"/>
            <w:left w:val="none" w:sz="0" w:space="0" w:color="auto"/>
            <w:bottom w:val="none" w:sz="0" w:space="0" w:color="auto"/>
            <w:right w:val="none" w:sz="0" w:space="0" w:color="auto"/>
          </w:divBdr>
        </w:div>
        <w:div w:id="2128889808">
          <w:marLeft w:val="0"/>
          <w:marRight w:val="0"/>
          <w:marTop w:val="0"/>
          <w:marBottom w:val="40"/>
          <w:divBdr>
            <w:top w:val="none" w:sz="0" w:space="0" w:color="auto"/>
            <w:left w:val="none" w:sz="0" w:space="0" w:color="auto"/>
            <w:bottom w:val="none" w:sz="0" w:space="0" w:color="auto"/>
            <w:right w:val="none" w:sz="0" w:space="0" w:color="auto"/>
          </w:divBdr>
        </w:div>
        <w:div w:id="315887598">
          <w:marLeft w:val="0"/>
          <w:marRight w:val="0"/>
          <w:marTop w:val="40"/>
          <w:marBottom w:val="0"/>
          <w:divBdr>
            <w:top w:val="none" w:sz="0" w:space="0" w:color="auto"/>
            <w:left w:val="none" w:sz="0" w:space="0" w:color="auto"/>
            <w:bottom w:val="none" w:sz="0" w:space="0" w:color="auto"/>
            <w:right w:val="none" w:sz="0" w:space="0" w:color="auto"/>
          </w:divBdr>
        </w:div>
        <w:div w:id="706612815">
          <w:marLeft w:val="0"/>
          <w:marRight w:val="0"/>
          <w:marTop w:val="0"/>
          <w:marBottom w:val="40"/>
          <w:divBdr>
            <w:top w:val="none" w:sz="0" w:space="0" w:color="auto"/>
            <w:left w:val="none" w:sz="0" w:space="0" w:color="auto"/>
            <w:bottom w:val="none" w:sz="0" w:space="0" w:color="auto"/>
            <w:right w:val="none" w:sz="0" w:space="0" w:color="auto"/>
          </w:divBdr>
        </w:div>
        <w:div w:id="59208372">
          <w:marLeft w:val="0"/>
          <w:marRight w:val="0"/>
          <w:marTop w:val="40"/>
          <w:marBottom w:val="40"/>
          <w:divBdr>
            <w:top w:val="none" w:sz="0" w:space="0" w:color="auto"/>
            <w:left w:val="none" w:sz="0" w:space="0" w:color="auto"/>
            <w:bottom w:val="none" w:sz="0" w:space="0" w:color="auto"/>
            <w:right w:val="none" w:sz="0" w:space="0" w:color="auto"/>
          </w:divBdr>
        </w:div>
        <w:div w:id="77751910">
          <w:marLeft w:val="0"/>
          <w:marRight w:val="0"/>
          <w:marTop w:val="40"/>
          <w:marBottom w:val="40"/>
          <w:divBdr>
            <w:top w:val="none" w:sz="0" w:space="0" w:color="auto"/>
            <w:left w:val="none" w:sz="0" w:space="0" w:color="auto"/>
            <w:bottom w:val="none" w:sz="0" w:space="0" w:color="auto"/>
            <w:right w:val="none" w:sz="0" w:space="0" w:color="auto"/>
          </w:divBdr>
        </w:div>
        <w:div w:id="1861815471">
          <w:marLeft w:val="0"/>
          <w:marRight w:val="0"/>
          <w:marTop w:val="40"/>
          <w:marBottom w:val="40"/>
          <w:divBdr>
            <w:top w:val="none" w:sz="0" w:space="0" w:color="auto"/>
            <w:left w:val="none" w:sz="0" w:space="0" w:color="auto"/>
            <w:bottom w:val="none" w:sz="0" w:space="0" w:color="auto"/>
            <w:right w:val="none" w:sz="0" w:space="0" w:color="auto"/>
          </w:divBdr>
        </w:div>
        <w:div w:id="682973092">
          <w:marLeft w:val="0"/>
          <w:marRight w:val="0"/>
          <w:marTop w:val="40"/>
          <w:marBottom w:val="40"/>
          <w:divBdr>
            <w:top w:val="none" w:sz="0" w:space="0" w:color="auto"/>
            <w:left w:val="none" w:sz="0" w:space="0" w:color="auto"/>
            <w:bottom w:val="none" w:sz="0" w:space="0" w:color="auto"/>
            <w:right w:val="none" w:sz="0" w:space="0" w:color="auto"/>
          </w:divBdr>
        </w:div>
        <w:div w:id="1085953198">
          <w:marLeft w:val="0"/>
          <w:marRight w:val="0"/>
          <w:marTop w:val="40"/>
          <w:marBottom w:val="40"/>
          <w:divBdr>
            <w:top w:val="none" w:sz="0" w:space="0" w:color="auto"/>
            <w:left w:val="none" w:sz="0" w:space="0" w:color="auto"/>
            <w:bottom w:val="none" w:sz="0" w:space="0" w:color="auto"/>
            <w:right w:val="none" w:sz="0" w:space="0" w:color="auto"/>
          </w:divBdr>
        </w:div>
        <w:div w:id="993681490">
          <w:marLeft w:val="0"/>
          <w:marRight w:val="0"/>
          <w:marTop w:val="40"/>
          <w:marBottom w:val="40"/>
          <w:divBdr>
            <w:top w:val="none" w:sz="0" w:space="0" w:color="auto"/>
            <w:left w:val="none" w:sz="0" w:space="0" w:color="auto"/>
            <w:bottom w:val="none" w:sz="0" w:space="0" w:color="auto"/>
            <w:right w:val="none" w:sz="0" w:space="0" w:color="auto"/>
          </w:divBdr>
        </w:div>
        <w:div w:id="1013339415">
          <w:marLeft w:val="0"/>
          <w:marRight w:val="0"/>
          <w:marTop w:val="40"/>
          <w:marBottom w:val="40"/>
          <w:divBdr>
            <w:top w:val="none" w:sz="0" w:space="0" w:color="auto"/>
            <w:left w:val="none" w:sz="0" w:space="0" w:color="auto"/>
            <w:bottom w:val="none" w:sz="0" w:space="0" w:color="auto"/>
            <w:right w:val="none" w:sz="0" w:space="0" w:color="auto"/>
          </w:divBdr>
        </w:div>
        <w:div w:id="74742691">
          <w:marLeft w:val="396"/>
          <w:marRight w:val="0"/>
          <w:marTop w:val="40"/>
          <w:marBottom w:val="40"/>
          <w:divBdr>
            <w:top w:val="none" w:sz="0" w:space="0" w:color="auto"/>
            <w:left w:val="none" w:sz="0" w:space="0" w:color="auto"/>
            <w:bottom w:val="none" w:sz="0" w:space="0" w:color="auto"/>
            <w:right w:val="none" w:sz="0" w:space="0" w:color="auto"/>
          </w:divBdr>
        </w:div>
        <w:div w:id="1007831043">
          <w:marLeft w:val="396"/>
          <w:marRight w:val="0"/>
          <w:marTop w:val="40"/>
          <w:marBottom w:val="40"/>
          <w:divBdr>
            <w:top w:val="none" w:sz="0" w:space="0" w:color="auto"/>
            <w:left w:val="none" w:sz="0" w:space="0" w:color="auto"/>
            <w:bottom w:val="none" w:sz="0" w:space="0" w:color="auto"/>
            <w:right w:val="none" w:sz="0" w:space="0" w:color="auto"/>
          </w:divBdr>
        </w:div>
        <w:div w:id="1636639383">
          <w:marLeft w:val="0"/>
          <w:marRight w:val="0"/>
          <w:marTop w:val="101"/>
          <w:marBottom w:val="101"/>
          <w:divBdr>
            <w:top w:val="none" w:sz="0" w:space="0" w:color="auto"/>
            <w:left w:val="none" w:sz="0" w:space="0" w:color="auto"/>
            <w:bottom w:val="none" w:sz="0" w:space="0" w:color="auto"/>
            <w:right w:val="none" w:sz="0" w:space="0" w:color="auto"/>
          </w:divBdr>
        </w:div>
        <w:div w:id="403067582">
          <w:marLeft w:val="0"/>
          <w:marRight w:val="0"/>
          <w:marTop w:val="0"/>
          <w:marBottom w:val="101"/>
          <w:divBdr>
            <w:top w:val="none" w:sz="0" w:space="0" w:color="auto"/>
            <w:left w:val="none" w:sz="0" w:space="0" w:color="auto"/>
            <w:bottom w:val="none" w:sz="0" w:space="0" w:color="auto"/>
            <w:right w:val="none" w:sz="0" w:space="0" w:color="auto"/>
          </w:divBdr>
        </w:div>
        <w:div w:id="1964732126">
          <w:marLeft w:val="0"/>
          <w:marRight w:val="0"/>
          <w:marTop w:val="0"/>
          <w:marBottom w:val="101"/>
          <w:divBdr>
            <w:top w:val="none" w:sz="0" w:space="0" w:color="auto"/>
            <w:left w:val="none" w:sz="0" w:space="0" w:color="auto"/>
            <w:bottom w:val="none" w:sz="0" w:space="0" w:color="auto"/>
            <w:right w:val="none" w:sz="0" w:space="0" w:color="auto"/>
          </w:divBdr>
        </w:div>
        <w:div w:id="16467403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2022-04-20T13:39:00Z</dcterms:created>
  <dcterms:modified xsi:type="dcterms:W3CDTF">2022-04-20T13:41:00Z</dcterms:modified>
</cp:coreProperties>
</file>