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C5" w:rsidRPr="00FE2EC5" w:rsidRDefault="00FE2EC5" w:rsidP="00FE2EC5">
      <w:pPr>
        <w:jc w:val="center"/>
        <w:rPr>
          <w:rFonts w:ascii="Verdana" w:hAnsi="Verdana"/>
          <w:b/>
          <w:bCs/>
          <w:color w:val="0070C0"/>
          <w:sz w:val="24"/>
        </w:rPr>
      </w:pPr>
      <w:r w:rsidRPr="00FE2EC5">
        <w:rPr>
          <w:rFonts w:ascii="Verdana" w:hAnsi="Verdana"/>
          <w:b/>
          <w:bCs/>
          <w:color w:val="0070C0"/>
          <w:sz w:val="24"/>
        </w:rPr>
        <w:t>Acuerdo G/11/2019 por el que se determina criterio para el ejercicio de la facultad de atracción del juicio de resolución exclusiva de fondo.</w:t>
      </w:r>
    </w:p>
    <w:p w:rsidR="00FE2EC5" w:rsidRDefault="00FE2EC5" w:rsidP="00FE2EC5">
      <w:pPr>
        <w:jc w:val="center"/>
        <w:rPr>
          <w:rFonts w:ascii="Verdana" w:hAnsi="Verdana"/>
          <w:b/>
          <w:bCs/>
          <w:color w:val="0070C0"/>
          <w:sz w:val="24"/>
        </w:rPr>
      </w:pPr>
      <w:r w:rsidRPr="00FE2EC5">
        <w:rPr>
          <w:rFonts w:ascii="Verdana" w:hAnsi="Verdana"/>
          <w:b/>
          <w:bCs/>
          <w:color w:val="0070C0"/>
          <w:sz w:val="24"/>
        </w:rPr>
        <w:t xml:space="preserve"> </w:t>
      </w:r>
      <w:r>
        <w:rPr>
          <w:rFonts w:ascii="Verdana" w:hAnsi="Verdana"/>
          <w:b/>
          <w:bCs/>
          <w:color w:val="0070C0"/>
          <w:sz w:val="24"/>
        </w:rPr>
        <w:t>(DOF del 21 de marzo de 2019)</w:t>
      </w:r>
    </w:p>
    <w:p w:rsidR="00FE2EC5" w:rsidRPr="00FE2EC5" w:rsidRDefault="00FE2EC5" w:rsidP="00FE2EC5">
      <w:pPr>
        <w:jc w:val="both"/>
        <w:rPr>
          <w:rFonts w:ascii="Verdana" w:hAnsi="Verdana"/>
          <w:b/>
          <w:bCs/>
          <w:sz w:val="20"/>
        </w:rPr>
      </w:pPr>
      <w:r w:rsidRPr="00FE2EC5">
        <w:rPr>
          <w:rFonts w:ascii="Verdana" w:hAnsi="Verdana"/>
          <w:b/>
          <w:bCs/>
          <w:sz w:val="20"/>
        </w:rPr>
        <w:t>Al margen un sello con el Escudo Nacional, que dice: Estados Unidos Mexicanos.- Tribunal Federal de Justicia Administrativa.- Secretaría General de Acuerdos.- Pleno Jurisdiccional de la Sala Superior.</w:t>
      </w:r>
    </w:p>
    <w:p w:rsidR="00FE2EC5" w:rsidRPr="00FE2EC5" w:rsidRDefault="00FE2EC5" w:rsidP="00FE2EC5">
      <w:pPr>
        <w:jc w:val="both"/>
        <w:rPr>
          <w:rFonts w:ascii="Verdana" w:hAnsi="Verdana"/>
          <w:b/>
          <w:bCs/>
          <w:sz w:val="20"/>
        </w:rPr>
      </w:pPr>
      <w:r w:rsidRPr="00FE2EC5">
        <w:rPr>
          <w:rFonts w:ascii="Verdana" w:hAnsi="Verdana"/>
          <w:b/>
          <w:bCs/>
          <w:sz w:val="20"/>
        </w:rPr>
        <w:t>ACUERDO G/11/2019</w:t>
      </w:r>
    </w:p>
    <w:p w:rsidR="00FE2EC5" w:rsidRPr="00FE2EC5" w:rsidRDefault="00FE2EC5" w:rsidP="00FE2EC5">
      <w:pPr>
        <w:jc w:val="both"/>
        <w:rPr>
          <w:rFonts w:ascii="Verdana" w:hAnsi="Verdana"/>
          <w:bCs/>
          <w:sz w:val="20"/>
        </w:rPr>
      </w:pPr>
      <w:r w:rsidRPr="00FE2EC5">
        <w:rPr>
          <w:rFonts w:ascii="Verdana" w:hAnsi="Verdana"/>
          <w:bCs/>
          <w:sz w:val="20"/>
        </w:rPr>
        <w:t>SE DETERMINA CRITERIO PARA EL EJERCICIO DE LA FACULTAD DE ATRACCIÓN DEL JUICIO DE RESOLUCIÓN EXCLUSIVA DE FONDO.</w:t>
      </w:r>
    </w:p>
    <w:p w:rsidR="00FE2EC5" w:rsidRPr="00FE2EC5" w:rsidRDefault="00FE2EC5" w:rsidP="00FE2EC5">
      <w:pPr>
        <w:jc w:val="both"/>
        <w:rPr>
          <w:rFonts w:ascii="Verdana" w:hAnsi="Verdana"/>
          <w:bCs/>
          <w:sz w:val="20"/>
        </w:rPr>
      </w:pPr>
      <w:r w:rsidRPr="00FE2EC5">
        <w:rPr>
          <w:rFonts w:ascii="Verdana" w:hAnsi="Verdana"/>
          <w:bCs/>
          <w:sz w:val="20"/>
        </w:rPr>
        <w:t>Con fundamento en lo dispuesto por el artículo 17, fracción XIII, de la Ley Orgánica del Tribunal Federal de Justicia Administrativa, en relación con el artículo 48, fracción I, inciso a), de la Ley Federal de Procedimiento Contencioso Administrativo.</w:t>
      </w:r>
    </w:p>
    <w:p w:rsidR="00FE2EC5" w:rsidRPr="00FE2EC5" w:rsidRDefault="00FE2EC5" w:rsidP="00FE2EC5">
      <w:pPr>
        <w:jc w:val="both"/>
        <w:rPr>
          <w:rFonts w:ascii="Verdana" w:hAnsi="Verdana"/>
          <w:b/>
          <w:bCs/>
          <w:sz w:val="20"/>
        </w:rPr>
      </w:pPr>
      <w:r w:rsidRPr="00FE2EC5">
        <w:rPr>
          <w:rFonts w:ascii="Verdana" w:hAnsi="Verdana"/>
          <w:b/>
          <w:bCs/>
          <w:sz w:val="20"/>
        </w:rPr>
        <w:t>CONSIDERANDO</w:t>
      </w:r>
    </w:p>
    <w:p w:rsidR="00FE2EC5" w:rsidRPr="00FE2EC5" w:rsidRDefault="00FE2EC5" w:rsidP="00FE2EC5">
      <w:pPr>
        <w:jc w:val="both"/>
        <w:rPr>
          <w:rFonts w:ascii="Verdana" w:hAnsi="Verdana"/>
          <w:bCs/>
          <w:sz w:val="20"/>
        </w:rPr>
      </w:pPr>
      <w:r w:rsidRPr="00FE2EC5">
        <w:rPr>
          <w:rFonts w:ascii="Verdana" w:hAnsi="Verdana"/>
          <w:b/>
          <w:bCs/>
          <w:sz w:val="20"/>
        </w:rPr>
        <w:t>PRIMERO.- </w:t>
      </w:r>
      <w:r w:rsidRPr="00FE2EC5">
        <w:rPr>
          <w:rFonts w:ascii="Verdana" w:hAnsi="Verdana"/>
          <w:bCs/>
          <w:sz w:val="20"/>
        </w:rPr>
        <w:t>Que mediante Decreto publicado el 27 de enero de 2017, en el Diario Oficial de la Federación, se reformó la Ley Federal de Procedimiento Contencioso Administrativo, adicionándose los artículos del 58-16 al 58-29, relativos al juicio de resolución exclusiva de fondo, y modificando para el debido trámite del referido juicio, el artículo 48, fracción II, inciso a), segundo párrafo, en el cual se estableció que únicamente las partes en el juicio y los Magistrados de las Secciones de la Sala Superior pueden solicitar el ejercicio de la facultad de atracción de los juicios de resolución exclusiva de fondo.</w:t>
      </w:r>
    </w:p>
    <w:p w:rsidR="00FE2EC5" w:rsidRPr="00FE2EC5" w:rsidRDefault="00FE2EC5" w:rsidP="00FE2EC5">
      <w:pPr>
        <w:jc w:val="both"/>
        <w:rPr>
          <w:rFonts w:ascii="Verdana" w:hAnsi="Verdana"/>
          <w:bCs/>
          <w:sz w:val="20"/>
        </w:rPr>
      </w:pPr>
      <w:r w:rsidRPr="00FE2EC5">
        <w:rPr>
          <w:rFonts w:ascii="Verdana" w:hAnsi="Verdana"/>
          <w:bCs/>
          <w:sz w:val="20"/>
        </w:rPr>
        <w:t xml:space="preserve">En dicha reforma también se consideró en el artículo 58-17, que el Tribunal determinará las Salas Regionales Especializadas en materia del juicio de resolución exclusiva de fondo, el cual versará únicamente sobre la impugnación de resoluciones definitivas que deriven del ejercicio de las facultades de comprobación a que se refiere el artículo 42, fracciones II, III o IX del Código Fiscal de la Federación y la cuantía del asunto sea mayor a doscientas veces la Unidad de Medida y Actualización, elevada al año, vigente al momento de la emisión de la resolución combatida. Asimismo, en las reformas mencionadas se determinó que tanto el actor como la autoridad demandada sólo puedan alegar, justamente, cuestiones relativas al fondo, respecto de la existencia misma de la obligación fiscal y dentro de un procedimiento que se sustente en los principios </w:t>
      </w:r>
      <w:proofErr w:type="spellStart"/>
      <w:r w:rsidRPr="00FE2EC5">
        <w:rPr>
          <w:rFonts w:ascii="Verdana" w:hAnsi="Verdana"/>
          <w:bCs/>
          <w:sz w:val="20"/>
        </w:rPr>
        <w:t>deceleridad</w:t>
      </w:r>
      <w:proofErr w:type="spellEnd"/>
      <w:r w:rsidRPr="00FE2EC5">
        <w:rPr>
          <w:rFonts w:ascii="Verdana" w:hAnsi="Verdana"/>
          <w:bCs/>
          <w:sz w:val="20"/>
        </w:rPr>
        <w:t>, oralidad, resolución sustantiva y proporcionalidad, excluyendo, en todo momento, cualquier argumento formal o de procedimiento.</w:t>
      </w:r>
    </w:p>
    <w:p w:rsidR="00FE2EC5" w:rsidRPr="00FE2EC5" w:rsidRDefault="00FE2EC5" w:rsidP="00FE2EC5">
      <w:pPr>
        <w:jc w:val="both"/>
        <w:rPr>
          <w:rFonts w:ascii="Verdana" w:hAnsi="Verdana"/>
          <w:bCs/>
          <w:sz w:val="20"/>
        </w:rPr>
      </w:pPr>
      <w:r w:rsidRPr="00FE2EC5">
        <w:rPr>
          <w:rFonts w:ascii="Verdana" w:hAnsi="Verdana"/>
          <w:b/>
          <w:bCs/>
          <w:sz w:val="20"/>
        </w:rPr>
        <w:t>SEGUNDO.- </w:t>
      </w:r>
      <w:r w:rsidRPr="00FE2EC5">
        <w:rPr>
          <w:rFonts w:ascii="Verdana" w:hAnsi="Verdana"/>
          <w:bCs/>
          <w:sz w:val="20"/>
        </w:rPr>
        <w:t xml:space="preserve">Que de la interpretación sistemática de los artículos 48, de la Ley Federal de Procedimiento Contencioso Administrativo, 54, fracción VII y 55, fracción IX, de la Ley Orgánica del Tribunal Federal de Justicia Administrativa, se colige que la facultad de atracción del Pleno Jurisdiccional y de las Secciones de la Sala Superior, es de </w:t>
      </w:r>
      <w:r w:rsidRPr="00FE2EC5">
        <w:rPr>
          <w:rFonts w:ascii="Verdana" w:hAnsi="Verdana"/>
          <w:bCs/>
          <w:sz w:val="20"/>
        </w:rPr>
        <w:lastRenderedPageBreak/>
        <w:t>naturaleza discrecional y se ejercerá caso por caso, cuando se trate de un juicio con características especiales.</w:t>
      </w:r>
    </w:p>
    <w:p w:rsidR="00FE2EC5" w:rsidRPr="00FE2EC5" w:rsidRDefault="00FE2EC5" w:rsidP="00FE2EC5">
      <w:pPr>
        <w:jc w:val="both"/>
        <w:rPr>
          <w:rFonts w:ascii="Verdana" w:hAnsi="Verdana"/>
          <w:bCs/>
          <w:sz w:val="20"/>
        </w:rPr>
      </w:pPr>
      <w:r w:rsidRPr="00FE2EC5">
        <w:rPr>
          <w:rFonts w:ascii="Verdana" w:hAnsi="Verdana"/>
          <w:b/>
          <w:bCs/>
          <w:sz w:val="20"/>
        </w:rPr>
        <w:t>TERCERO</w:t>
      </w:r>
      <w:r w:rsidRPr="00FE2EC5">
        <w:rPr>
          <w:rFonts w:ascii="Verdana" w:hAnsi="Verdana"/>
          <w:bCs/>
          <w:sz w:val="20"/>
        </w:rPr>
        <w:t>. Que</w:t>
      </w:r>
      <w:r w:rsidRPr="00FE2EC5">
        <w:rPr>
          <w:rFonts w:ascii="Verdana" w:hAnsi="Verdana"/>
          <w:b/>
          <w:bCs/>
          <w:sz w:val="20"/>
        </w:rPr>
        <w:t> </w:t>
      </w:r>
      <w:r w:rsidRPr="00FE2EC5">
        <w:rPr>
          <w:rFonts w:ascii="Verdana" w:hAnsi="Verdana"/>
          <w:bCs/>
          <w:sz w:val="20"/>
        </w:rPr>
        <w:t>mediante Decreto publicado el 13 de junio de 2016, en el Diario Oficial de la Federación, se realizaron reformas a la Ley Federal de Procedimiento Contencioso Administrativo, y se estableció en su artículo 48, fracción I, inciso a), que el Pleno Jurisdiccional de la Sala Superior de este Tribunal, determinará la cuantía de los juicios para efectos de la facultad de atracción.</w:t>
      </w:r>
    </w:p>
    <w:p w:rsidR="00FE2EC5" w:rsidRPr="00FE2EC5" w:rsidRDefault="00FE2EC5" w:rsidP="00FE2EC5">
      <w:pPr>
        <w:jc w:val="both"/>
        <w:rPr>
          <w:rFonts w:ascii="Verdana" w:hAnsi="Verdana"/>
          <w:bCs/>
          <w:sz w:val="20"/>
        </w:rPr>
      </w:pPr>
      <w:r w:rsidRPr="00FE2EC5">
        <w:rPr>
          <w:rFonts w:ascii="Verdana" w:hAnsi="Verdana"/>
          <w:b/>
          <w:bCs/>
          <w:sz w:val="20"/>
        </w:rPr>
        <w:t>CUARTO. </w:t>
      </w:r>
      <w:r w:rsidRPr="00FE2EC5">
        <w:rPr>
          <w:rFonts w:ascii="Verdana" w:hAnsi="Verdana"/>
          <w:bCs/>
          <w:sz w:val="20"/>
        </w:rPr>
        <w:t>En razón de que en la Ley se encuentra determinada la cuantía para la procedencia del juicio de resolución exclusiva de fondo; además de que por el tiempo que lleva en funcionamiento la Sala Especializada en la materia, aún no se cuenta con un número considerable de juicios que permita establecer una cuantía adecuada y razonable para el ejercicio de la facultad de atracción en este tipo de asuntos; el Pleno Jurisdiccional del Tribunal Federal de Justicia Administrativa expide el siguiente:</w:t>
      </w:r>
    </w:p>
    <w:p w:rsidR="00FE2EC5" w:rsidRPr="00FE2EC5" w:rsidRDefault="00FE2EC5" w:rsidP="00FE2EC5">
      <w:pPr>
        <w:jc w:val="both"/>
        <w:rPr>
          <w:rFonts w:ascii="Verdana" w:hAnsi="Verdana"/>
          <w:b/>
          <w:bCs/>
          <w:sz w:val="20"/>
        </w:rPr>
      </w:pPr>
      <w:r w:rsidRPr="00FE2EC5">
        <w:rPr>
          <w:rFonts w:ascii="Verdana" w:hAnsi="Verdana"/>
          <w:b/>
          <w:bCs/>
          <w:sz w:val="20"/>
        </w:rPr>
        <w:t>ACUERDO</w:t>
      </w:r>
    </w:p>
    <w:p w:rsidR="00FE2EC5" w:rsidRPr="00FE2EC5" w:rsidRDefault="00FE2EC5" w:rsidP="00FE2EC5">
      <w:pPr>
        <w:jc w:val="both"/>
        <w:rPr>
          <w:rFonts w:ascii="Verdana" w:hAnsi="Verdana"/>
          <w:bCs/>
          <w:sz w:val="20"/>
        </w:rPr>
      </w:pPr>
      <w:r w:rsidRPr="00FE2EC5">
        <w:rPr>
          <w:rFonts w:ascii="Verdana" w:hAnsi="Verdana"/>
          <w:b/>
          <w:bCs/>
          <w:sz w:val="20"/>
        </w:rPr>
        <w:t>ÚNICO.- </w:t>
      </w:r>
      <w:r w:rsidRPr="00FE2EC5">
        <w:rPr>
          <w:rFonts w:ascii="Verdana" w:hAnsi="Verdana"/>
          <w:bCs/>
          <w:sz w:val="20"/>
        </w:rPr>
        <w:t>Se determina que tratándose de los juicios de resolución exclusiva de fondo, la Sala Superior ejercerá su facultad de atracción, únicamente en aquellos asuntos que revistan características especiales de interés y trascendencia por su materia o conceptos de impugnación; hasta en tanto se cuente con los elementos y juicios suficientes que permitan establecer una cuantía adecuada y razonable para tales efectos.</w:t>
      </w:r>
    </w:p>
    <w:p w:rsidR="00FE2EC5" w:rsidRPr="00FE2EC5" w:rsidRDefault="00FE2EC5" w:rsidP="00FE2EC5">
      <w:pPr>
        <w:jc w:val="both"/>
        <w:rPr>
          <w:rFonts w:ascii="Verdana" w:hAnsi="Verdana"/>
          <w:b/>
          <w:bCs/>
          <w:sz w:val="20"/>
        </w:rPr>
      </w:pPr>
      <w:r w:rsidRPr="00FE2EC5">
        <w:rPr>
          <w:rFonts w:ascii="Verdana" w:hAnsi="Verdana"/>
          <w:b/>
          <w:bCs/>
          <w:sz w:val="20"/>
        </w:rPr>
        <w:t>TRANSITORIOS</w:t>
      </w:r>
    </w:p>
    <w:p w:rsidR="00FE2EC5" w:rsidRPr="00FE2EC5" w:rsidRDefault="00FE2EC5" w:rsidP="00FE2EC5">
      <w:pPr>
        <w:jc w:val="both"/>
        <w:rPr>
          <w:rFonts w:ascii="Verdana" w:hAnsi="Verdana"/>
          <w:bCs/>
          <w:sz w:val="20"/>
        </w:rPr>
      </w:pPr>
      <w:r w:rsidRPr="00FE2EC5">
        <w:rPr>
          <w:rFonts w:ascii="Verdana" w:hAnsi="Verdana"/>
          <w:b/>
          <w:bCs/>
          <w:sz w:val="20"/>
        </w:rPr>
        <w:t>PRIMERO.- </w:t>
      </w:r>
      <w:r w:rsidRPr="00FE2EC5">
        <w:rPr>
          <w:rFonts w:ascii="Verdana" w:hAnsi="Verdana"/>
          <w:bCs/>
          <w:sz w:val="20"/>
        </w:rPr>
        <w:t>El presente Acuerdo entrará en vigor al día siguiente de su publicación en el Diario Oficial de la Federación.</w:t>
      </w:r>
    </w:p>
    <w:p w:rsidR="00FE2EC5" w:rsidRPr="00FE2EC5" w:rsidRDefault="00FE2EC5" w:rsidP="00FE2EC5">
      <w:pPr>
        <w:jc w:val="both"/>
        <w:rPr>
          <w:rFonts w:ascii="Verdana" w:hAnsi="Verdana"/>
          <w:bCs/>
          <w:sz w:val="20"/>
        </w:rPr>
      </w:pPr>
      <w:r w:rsidRPr="00FE2EC5">
        <w:rPr>
          <w:rFonts w:ascii="Verdana" w:hAnsi="Verdana"/>
          <w:b/>
          <w:bCs/>
          <w:sz w:val="20"/>
        </w:rPr>
        <w:t>SEGUNDO.- </w:t>
      </w:r>
      <w:r w:rsidRPr="00FE2EC5">
        <w:rPr>
          <w:rFonts w:ascii="Verdana" w:hAnsi="Verdana"/>
          <w:bCs/>
          <w:sz w:val="20"/>
        </w:rPr>
        <w:t>Publíquese el presente Acuerdo en el Diario Oficial de la Federación y en la página de Internet de este Tribunal.</w:t>
      </w:r>
    </w:p>
    <w:p w:rsidR="00FE2EC5" w:rsidRPr="00FE2EC5" w:rsidRDefault="00FE2EC5" w:rsidP="00FE2EC5">
      <w:pPr>
        <w:jc w:val="both"/>
        <w:rPr>
          <w:rFonts w:ascii="Verdana" w:hAnsi="Verdana"/>
          <w:bCs/>
          <w:sz w:val="20"/>
        </w:rPr>
      </w:pPr>
      <w:r w:rsidRPr="00FE2EC5">
        <w:rPr>
          <w:rFonts w:ascii="Verdana" w:hAnsi="Verdana"/>
          <w:bCs/>
          <w:sz w:val="20"/>
        </w:rPr>
        <w:t>Así lo acordó el Pleno Jurisdiccional de la Sala Superior del Tribunal Federal de Justicia Administrativa, por unanimidad de votos en sesión del día trece de marzo de dos mil diecinueve.- Firman el Magistrado </w:t>
      </w:r>
      <w:r w:rsidRPr="00FE2EC5">
        <w:rPr>
          <w:rFonts w:ascii="Verdana" w:hAnsi="Verdana"/>
          <w:b/>
          <w:bCs/>
          <w:sz w:val="20"/>
        </w:rPr>
        <w:t>Carlos </w:t>
      </w:r>
      <w:proofErr w:type="spellStart"/>
      <w:r w:rsidRPr="00FE2EC5">
        <w:rPr>
          <w:rFonts w:ascii="Verdana" w:hAnsi="Verdana"/>
          <w:b/>
          <w:bCs/>
          <w:sz w:val="20"/>
        </w:rPr>
        <w:t>Chaurand</w:t>
      </w:r>
      <w:proofErr w:type="spellEnd"/>
      <w:r w:rsidRPr="00FE2EC5">
        <w:rPr>
          <w:rFonts w:ascii="Verdana" w:hAnsi="Verdana"/>
          <w:b/>
          <w:bCs/>
          <w:sz w:val="20"/>
        </w:rPr>
        <w:t xml:space="preserve"> Arzate</w:t>
      </w:r>
      <w:r w:rsidRPr="00FE2EC5">
        <w:rPr>
          <w:rFonts w:ascii="Verdana" w:hAnsi="Verdana"/>
          <w:bCs/>
          <w:sz w:val="20"/>
        </w:rPr>
        <w:t>, Presidente del Tribunal Federal de Justicia Administrativa, y el Licenciado </w:t>
      </w:r>
      <w:r w:rsidRPr="00FE2EC5">
        <w:rPr>
          <w:rFonts w:ascii="Verdana" w:hAnsi="Verdana"/>
          <w:b/>
          <w:bCs/>
          <w:sz w:val="20"/>
        </w:rPr>
        <w:t>Tomás Enrique Sánchez Silva</w:t>
      </w:r>
      <w:r w:rsidRPr="00FE2EC5">
        <w:rPr>
          <w:rFonts w:ascii="Verdana" w:hAnsi="Verdana"/>
          <w:bCs/>
          <w:sz w:val="20"/>
        </w:rPr>
        <w:t>, Secretario General de Acuerdos, quien da fe.- Rúbricas.</w:t>
      </w:r>
    </w:p>
    <w:p w:rsidR="00FE2EC5" w:rsidRPr="00FE2EC5" w:rsidRDefault="00FE2EC5" w:rsidP="00FE2EC5">
      <w:pPr>
        <w:jc w:val="both"/>
        <w:rPr>
          <w:rFonts w:ascii="Verdana" w:hAnsi="Verdana"/>
          <w:bCs/>
          <w:sz w:val="20"/>
        </w:rPr>
      </w:pPr>
      <w:r w:rsidRPr="00FE2EC5">
        <w:rPr>
          <w:rFonts w:ascii="Verdana" w:hAnsi="Verdana"/>
          <w:b/>
          <w:bCs/>
          <w:sz w:val="20"/>
        </w:rPr>
        <w:t>(R.- 479597)</w:t>
      </w:r>
    </w:p>
    <w:p w:rsidR="00FE2EC5" w:rsidRPr="00FE2EC5" w:rsidRDefault="00FE2EC5" w:rsidP="00FE2EC5">
      <w:pPr>
        <w:jc w:val="both"/>
        <w:rPr>
          <w:rFonts w:ascii="Verdana" w:hAnsi="Verdana"/>
          <w:bCs/>
          <w:sz w:val="20"/>
        </w:rPr>
      </w:pPr>
      <w:r w:rsidRPr="00FE2EC5">
        <w:rPr>
          <w:rFonts w:ascii="Verdana" w:hAnsi="Verdana"/>
          <w:bCs/>
          <w:sz w:val="20"/>
        </w:rPr>
        <w:t> </w:t>
      </w:r>
    </w:p>
    <w:p w:rsidR="00FE2EC5" w:rsidRPr="00FE2EC5" w:rsidRDefault="00FE2EC5" w:rsidP="00FE2EC5">
      <w:pPr>
        <w:jc w:val="both"/>
        <w:rPr>
          <w:rFonts w:ascii="Verdana" w:hAnsi="Verdana"/>
          <w:bCs/>
          <w:sz w:val="20"/>
        </w:rPr>
      </w:pPr>
      <w:bookmarkStart w:id="0" w:name="_GoBack"/>
      <w:bookmarkEnd w:id="0"/>
    </w:p>
    <w:p w:rsidR="00BF3AEB" w:rsidRDefault="00FE2EC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C5"/>
    <w:rsid w:val="002228FA"/>
    <w:rsid w:val="00C06CE1"/>
    <w:rsid w:val="00FE2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9738">
      <w:bodyDiv w:val="1"/>
      <w:marLeft w:val="0"/>
      <w:marRight w:val="0"/>
      <w:marTop w:val="0"/>
      <w:marBottom w:val="0"/>
      <w:divBdr>
        <w:top w:val="none" w:sz="0" w:space="0" w:color="auto"/>
        <w:left w:val="none" w:sz="0" w:space="0" w:color="auto"/>
        <w:bottom w:val="none" w:sz="0" w:space="0" w:color="auto"/>
        <w:right w:val="none" w:sz="0" w:space="0" w:color="auto"/>
      </w:divBdr>
      <w:divsChild>
        <w:div w:id="1770421603">
          <w:marLeft w:val="0"/>
          <w:marRight w:val="0"/>
          <w:marTop w:val="101"/>
          <w:marBottom w:val="80"/>
          <w:divBdr>
            <w:top w:val="none" w:sz="0" w:space="0" w:color="auto"/>
            <w:left w:val="none" w:sz="0" w:space="0" w:color="auto"/>
            <w:bottom w:val="none" w:sz="0" w:space="0" w:color="auto"/>
            <w:right w:val="none" w:sz="0" w:space="0" w:color="auto"/>
          </w:divBdr>
        </w:div>
        <w:div w:id="1741711752">
          <w:marLeft w:val="0"/>
          <w:marRight w:val="0"/>
          <w:marTop w:val="0"/>
          <w:marBottom w:val="60"/>
          <w:divBdr>
            <w:top w:val="none" w:sz="0" w:space="0" w:color="auto"/>
            <w:left w:val="none" w:sz="0" w:space="0" w:color="auto"/>
            <w:bottom w:val="none" w:sz="0" w:space="0" w:color="auto"/>
            <w:right w:val="none" w:sz="0" w:space="0" w:color="auto"/>
          </w:divBdr>
        </w:div>
        <w:div w:id="967901811">
          <w:marLeft w:val="0"/>
          <w:marRight w:val="0"/>
          <w:marTop w:val="0"/>
          <w:marBottom w:val="60"/>
          <w:divBdr>
            <w:top w:val="none" w:sz="0" w:space="0" w:color="auto"/>
            <w:left w:val="none" w:sz="0" w:space="0" w:color="auto"/>
            <w:bottom w:val="none" w:sz="0" w:space="0" w:color="auto"/>
            <w:right w:val="none" w:sz="0" w:space="0" w:color="auto"/>
          </w:divBdr>
        </w:div>
        <w:div w:id="2062248679">
          <w:marLeft w:val="0"/>
          <w:marRight w:val="0"/>
          <w:marTop w:val="101"/>
          <w:marBottom w:val="60"/>
          <w:divBdr>
            <w:top w:val="none" w:sz="0" w:space="0" w:color="auto"/>
            <w:left w:val="none" w:sz="0" w:space="0" w:color="auto"/>
            <w:bottom w:val="none" w:sz="0" w:space="0" w:color="auto"/>
            <w:right w:val="none" w:sz="0" w:space="0" w:color="auto"/>
          </w:divBdr>
        </w:div>
        <w:div w:id="1101682907">
          <w:marLeft w:val="0"/>
          <w:marRight w:val="0"/>
          <w:marTop w:val="0"/>
          <w:marBottom w:val="60"/>
          <w:divBdr>
            <w:top w:val="none" w:sz="0" w:space="0" w:color="auto"/>
            <w:left w:val="none" w:sz="0" w:space="0" w:color="auto"/>
            <w:bottom w:val="none" w:sz="0" w:space="0" w:color="auto"/>
            <w:right w:val="none" w:sz="0" w:space="0" w:color="auto"/>
          </w:divBdr>
        </w:div>
        <w:div w:id="2009939088">
          <w:marLeft w:val="0"/>
          <w:marRight w:val="0"/>
          <w:marTop w:val="0"/>
          <w:marBottom w:val="60"/>
          <w:divBdr>
            <w:top w:val="none" w:sz="0" w:space="0" w:color="auto"/>
            <w:left w:val="none" w:sz="0" w:space="0" w:color="auto"/>
            <w:bottom w:val="none" w:sz="0" w:space="0" w:color="auto"/>
            <w:right w:val="none" w:sz="0" w:space="0" w:color="auto"/>
          </w:divBdr>
        </w:div>
        <w:div w:id="1974096085">
          <w:marLeft w:val="0"/>
          <w:marRight w:val="0"/>
          <w:marTop w:val="0"/>
          <w:marBottom w:val="60"/>
          <w:divBdr>
            <w:top w:val="none" w:sz="0" w:space="0" w:color="auto"/>
            <w:left w:val="none" w:sz="0" w:space="0" w:color="auto"/>
            <w:bottom w:val="none" w:sz="0" w:space="0" w:color="auto"/>
            <w:right w:val="none" w:sz="0" w:space="0" w:color="auto"/>
          </w:divBdr>
        </w:div>
        <w:div w:id="334185824">
          <w:marLeft w:val="0"/>
          <w:marRight w:val="0"/>
          <w:marTop w:val="0"/>
          <w:marBottom w:val="60"/>
          <w:divBdr>
            <w:top w:val="none" w:sz="0" w:space="0" w:color="auto"/>
            <w:left w:val="none" w:sz="0" w:space="0" w:color="auto"/>
            <w:bottom w:val="none" w:sz="0" w:space="0" w:color="auto"/>
            <w:right w:val="none" w:sz="0" w:space="0" w:color="auto"/>
          </w:divBdr>
        </w:div>
        <w:div w:id="501431405">
          <w:marLeft w:val="0"/>
          <w:marRight w:val="0"/>
          <w:marTop w:val="0"/>
          <w:marBottom w:val="60"/>
          <w:divBdr>
            <w:top w:val="none" w:sz="0" w:space="0" w:color="auto"/>
            <w:left w:val="none" w:sz="0" w:space="0" w:color="auto"/>
            <w:bottom w:val="none" w:sz="0" w:space="0" w:color="auto"/>
            <w:right w:val="none" w:sz="0" w:space="0" w:color="auto"/>
          </w:divBdr>
        </w:div>
        <w:div w:id="1278103838">
          <w:marLeft w:val="0"/>
          <w:marRight w:val="0"/>
          <w:marTop w:val="101"/>
          <w:marBottom w:val="60"/>
          <w:divBdr>
            <w:top w:val="none" w:sz="0" w:space="0" w:color="auto"/>
            <w:left w:val="none" w:sz="0" w:space="0" w:color="auto"/>
            <w:bottom w:val="none" w:sz="0" w:space="0" w:color="auto"/>
            <w:right w:val="none" w:sz="0" w:space="0" w:color="auto"/>
          </w:divBdr>
        </w:div>
        <w:div w:id="2041974350">
          <w:marLeft w:val="0"/>
          <w:marRight w:val="0"/>
          <w:marTop w:val="0"/>
          <w:marBottom w:val="60"/>
          <w:divBdr>
            <w:top w:val="none" w:sz="0" w:space="0" w:color="auto"/>
            <w:left w:val="none" w:sz="0" w:space="0" w:color="auto"/>
            <w:bottom w:val="none" w:sz="0" w:space="0" w:color="auto"/>
            <w:right w:val="none" w:sz="0" w:space="0" w:color="auto"/>
          </w:divBdr>
        </w:div>
        <w:div w:id="1141772186">
          <w:marLeft w:val="0"/>
          <w:marRight w:val="0"/>
          <w:marTop w:val="101"/>
          <w:marBottom w:val="60"/>
          <w:divBdr>
            <w:top w:val="none" w:sz="0" w:space="0" w:color="auto"/>
            <w:left w:val="none" w:sz="0" w:space="0" w:color="auto"/>
            <w:bottom w:val="none" w:sz="0" w:space="0" w:color="auto"/>
            <w:right w:val="none" w:sz="0" w:space="0" w:color="auto"/>
          </w:divBdr>
        </w:div>
        <w:div w:id="464927563">
          <w:marLeft w:val="0"/>
          <w:marRight w:val="0"/>
          <w:marTop w:val="0"/>
          <w:marBottom w:val="60"/>
          <w:divBdr>
            <w:top w:val="none" w:sz="0" w:space="0" w:color="auto"/>
            <w:left w:val="none" w:sz="0" w:space="0" w:color="auto"/>
            <w:bottom w:val="none" w:sz="0" w:space="0" w:color="auto"/>
            <w:right w:val="none" w:sz="0" w:space="0" w:color="auto"/>
          </w:divBdr>
        </w:div>
        <w:div w:id="867180083">
          <w:marLeft w:val="0"/>
          <w:marRight w:val="0"/>
          <w:marTop w:val="0"/>
          <w:marBottom w:val="60"/>
          <w:divBdr>
            <w:top w:val="none" w:sz="0" w:space="0" w:color="auto"/>
            <w:left w:val="none" w:sz="0" w:space="0" w:color="auto"/>
            <w:bottom w:val="none" w:sz="0" w:space="0" w:color="auto"/>
            <w:right w:val="none" w:sz="0" w:space="0" w:color="auto"/>
          </w:divBdr>
        </w:div>
        <w:div w:id="527565280">
          <w:marLeft w:val="0"/>
          <w:marRight w:val="0"/>
          <w:marTop w:val="0"/>
          <w:marBottom w:val="60"/>
          <w:divBdr>
            <w:top w:val="none" w:sz="0" w:space="0" w:color="auto"/>
            <w:left w:val="none" w:sz="0" w:space="0" w:color="auto"/>
            <w:bottom w:val="none" w:sz="0" w:space="0" w:color="auto"/>
            <w:right w:val="none" w:sz="0" w:space="0" w:color="auto"/>
          </w:divBdr>
        </w:div>
        <w:div w:id="2001273913">
          <w:marLeft w:val="0"/>
          <w:marRight w:val="0"/>
          <w:marTop w:val="0"/>
          <w:marBottom w:val="80"/>
          <w:divBdr>
            <w:top w:val="none" w:sz="0" w:space="0" w:color="auto"/>
            <w:left w:val="none" w:sz="0" w:space="0" w:color="auto"/>
            <w:bottom w:val="none" w:sz="0" w:space="0" w:color="auto"/>
            <w:right w:val="none" w:sz="0" w:space="0" w:color="auto"/>
          </w:divBdr>
        </w:div>
        <w:div w:id="342901235">
          <w:marLeft w:val="0"/>
          <w:marRight w:val="0"/>
          <w:marTop w:val="0"/>
          <w:marBottom w:val="101"/>
          <w:divBdr>
            <w:top w:val="none" w:sz="0" w:space="0" w:color="auto"/>
            <w:left w:val="none" w:sz="0" w:space="0" w:color="auto"/>
            <w:bottom w:val="none" w:sz="0" w:space="0" w:color="auto"/>
            <w:right w:val="none" w:sz="0" w:space="0" w:color="auto"/>
          </w:divBdr>
        </w:div>
      </w:divsChild>
    </w:div>
    <w:div w:id="1132097693">
      <w:bodyDiv w:val="1"/>
      <w:marLeft w:val="0"/>
      <w:marRight w:val="0"/>
      <w:marTop w:val="0"/>
      <w:marBottom w:val="0"/>
      <w:divBdr>
        <w:top w:val="none" w:sz="0" w:space="0" w:color="auto"/>
        <w:left w:val="none" w:sz="0" w:space="0" w:color="auto"/>
        <w:bottom w:val="none" w:sz="0" w:space="0" w:color="auto"/>
        <w:right w:val="none" w:sz="0" w:space="0" w:color="auto"/>
      </w:divBdr>
    </w:div>
    <w:div w:id="1576238828">
      <w:bodyDiv w:val="1"/>
      <w:marLeft w:val="0"/>
      <w:marRight w:val="0"/>
      <w:marTop w:val="0"/>
      <w:marBottom w:val="0"/>
      <w:divBdr>
        <w:top w:val="none" w:sz="0" w:space="0" w:color="auto"/>
        <w:left w:val="none" w:sz="0" w:space="0" w:color="auto"/>
        <w:bottom w:val="none" w:sz="0" w:space="0" w:color="auto"/>
        <w:right w:val="none" w:sz="0" w:space="0" w:color="auto"/>
      </w:divBdr>
    </w:div>
    <w:div w:id="1727794257">
      <w:bodyDiv w:val="1"/>
      <w:marLeft w:val="0"/>
      <w:marRight w:val="0"/>
      <w:marTop w:val="0"/>
      <w:marBottom w:val="0"/>
      <w:divBdr>
        <w:top w:val="none" w:sz="0" w:space="0" w:color="auto"/>
        <w:left w:val="none" w:sz="0" w:space="0" w:color="auto"/>
        <w:bottom w:val="none" w:sz="0" w:space="0" w:color="auto"/>
        <w:right w:val="none" w:sz="0" w:space="0" w:color="auto"/>
      </w:divBdr>
      <w:divsChild>
        <w:div w:id="1698894309">
          <w:marLeft w:val="0"/>
          <w:marRight w:val="0"/>
          <w:marTop w:val="0"/>
          <w:marBottom w:val="101"/>
          <w:divBdr>
            <w:top w:val="none" w:sz="0" w:space="0" w:color="auto"/>
            <w:left w:val="none" w:sz="0" w:space="0" w:color="auto"/>
            <w:bottom w:val="none" w:sz="0" w:space="0" w:color="auto"/>
            <w:right w:val="none" w:sz="0" w:space="0" w:color="auto"/>
          </w:divBdr>
        </w:div>
        <w:div w:id="53430126">
          <w:marLeft w:val="0"/>
          <w:marRight w:val="0"/>
          <w:marTop w:val="0"/>
          <w:marBottom w:val="101"/>
          <w:divBdr>
            <w:top w:val="none" w:sz="0" w:space="0" w:color="auto"/>
            <w:left w:val="none" w:sz="0" w:space="0" w:color="auto"/>
            <w:bottom w:val="none" w:sz="0" w:space="0" w:color="auto"/>
            <w:right w:val="none" w:sz="0" w:space="0" w:color="auto"/>
          </w:divBdr>
        </w:div>
        <w:div w:id="1785733505">
          <w:marLeft w:val="0"/>
          <w:marRight w:val="0"/>
          <w:marTop w:val="101"/>
          <w:marBottom w:val="101"/>
          <w:divBdr>
            <w:top w:val="none" w:sz="0" w:space="0" w:color="auto"/>
            <w:left w:val="none" w:sz="0" w:space="0" w:color="auto"/>
            <w:bottom w:val="none" w:sz="0" w:space="0" w:color="auto"/>
            <w:right w:val="none" w:sz="0" w:space="0" w:color="auto"/>
          </w:divBdr>
        </w:div>
        <w:div w:id="1934628752">
          <w:marLeft w:val="0"/>
          <w:marRight w:val="0"/>
          <w:marTop w:val="0"/>
          <w:marBottom w:val="101"/>
          <w:divBdr>
            <w:top w:val="none" w:sz="0" w:space="0" w:color="auto"/>
            <w:left w:val="none" w:sz="0" w:space="0" w:color="auto"/>
            <w:bottom w:val="none" w:sz="0" w:space="0" w:color="auto"/>
            <w:right w:val="none" w:sz="0" w:space="0" w:color="auto"/>
          </w:divBdr>
        </w:div>
        <w:div w:id="104925481">
          <w:marLeft w:val="0"/>
          <w:marRight w:val="0"/>
          <w:marTop w:val="0"/>
          <w:marBottom w:val="101"/>
          <w:divBdr>
            <w:top w:val="none" w:sz="0" w:space="0" w:color="auto"/>
            <w:left w:val="none" w:sz="0" w:space="0" w:color="auto"/>
            <w:bottom w:val="none" w:sz="0" w:space="0" w:color="auto"/>
            <w:right w:val="none" w:sz="0" w:space="0" w:color="auto"/>
          </w:divBdr>
        </w:div>
        <w:div w:id="2067989714">
          <w:marLeft w:val="0"/>
          <w:marRight w:val="0"/>
          <w:marTop w:val="0"/>
          <w:marBottom w:val="101"/>
          <w:divBdr>
            <w:top w:val="none" w:sz="0" w:space="0" w:color="auto"/>
            <w:left w:val="none" w:sz="0" w:space="0" w:color="auto"/>
            <w:bottom w:val="none" w:sz="0" w:space="0" w:color="auto"/>
            <w:right w:val="none" w:sz="0" w:space="0" w:color="auto"/>
          </w:divBdr>
        </w:div>
        <w:div w:id="1901404632">
          <w:marLeft w:val="0"/>
          <w:marRight w:val="0"/>
          <w:marTop w:val="101"/>
          <w:marBottom w:val="101"/>
          <w:divBdr>
            <w:top w:val="none" w:sz="0" w:space="0" w:color="auto"/>
            <w:left w:val="none" w:sz="0" w:space="0" w:color="auto"/>
            <w:bottom w:val="none" w:sz="0" w:space="0" w:color="auto"/>
            <w:right w:val="none" w:sz="0" w:space="0" w:color="auto"/>
          </w:divBdr>
        </w:div>
        <w:div w:id="2071927015">
          <w:marLeft w:val="0"/>
          <w:marRight w:val="0"/>
          <w:marTop w:val="0"/>
          <w:marBottom w:val="101"/>
          <w:divBdr>
            <w:top w:val="none" w:sz="0" w:space="0" w:color="auto"/>
            <w:left w:val="none" w:sz="0" w:space="0" w:color="auto"/>
            <w:bottom w:val="none" w:sz="0" w:space="0" w:color="auto"/>
            <w:right w:val="none" w:sz="0" w:space="0" w:color="auto"/>
          </w:divBdr>
        </w:div>
        <w:div w:id="1903826839">
          <w:marLeft w:val="0"/>
          <w:marRight w:val="0"/>
          <w:marTop w:val="0"/>
          <w:marBottom w:val="101"/>
          <w:divBdr>
            <w:top w:val="none" w:sz="0" w:space="0" w:color="auto"/>
            <w:left w:val="none" w:sz="0" w:space="0" w:color="auto"/>
            <w:bottom w:val="none" w:sz="0" w:space="0" w:color="auto"/>
            <w:right w:val="none" w:sz="0" w:space="0" w:color="auto"/>
          </w:divBdr>
        </w:div>
        <w:div w:id="42600805">
          <w:marLeft w:val="0"/>
          <w:marRight w:val="0"/>
          <w:marTop w:val="0"/>
          <w:marBottom w:val="101"/>
          <w:divBdr>
            <w:top w:val="none" w:sz="0" w:space="0" w:color="auto"/>
            <w:left w:val="none" w:sz="0" w:space="0" w:color="auto"/>
            <w:bottom w:val="none" w:sz="0" w:space="0" w:color="auto"/>
            <w:right w:val="none" w:sz="0" w:space="0" w:color="auto"/>
          </w:divBdr>
        </w:div>
        <w:div w:id="1661301197">
          <w:marLeft w:val="0"/>
          <w:marRight w:val="0"/>
          <w:marTop w:val="0"/>
          <w:marBottom w:val="101"/>
          <w:divBdr>
            <w:top w:val="none" w:sz="0" w:space="0" w:color="auto"/>
            <w:left w:val="none" w:sz="0" w:space="0" w:color="auto"/>
            <w:bottom w:val="none" w:sz="0" w:space="0" w:color="auto"/>
            <w:right w:val="none" w:sz="0" w:space="0" w:color="auto"/>
          </w:divBdr>
        </w:div>
        <w:div w:id="1827817557">
          <w:marLeft w:val="0"/>
          <w:marRight w:val="0"/>
          <w:marTop w:val="0"/>
          <w:marBottom w:val="101"/>
          <w:divBdr>
            <w:top w:val="none" w:sz="0" w:space="0" w:color="auto"/>
            <w:left w:val="none" w:sz="0" w:space="0" w:color="auto"/>
            <w:bottom w:val="none" w:sz="0" w:space="0" w:color="auto"/>
            <w:right w:val="none" w:sz="0" w:space="0" w:color="auto"/>
          </w:divBdr>
        </w:div>
        <w:div w:id="341320097">
          <w:marLeft w:val="0"/>
          <w:marRight w:val="0"/>
          <w:marTop w:val="0"/>
          <w:marBottom w:val="101"/>
          <w:divBdr>
            <w:top w:val="none" w:sz="0" w:space="0" w:color="auto"/>
            <w:left w:val="none" w:sz="0" w:space="0" w:color="auto"/>
            <w:bottom w:val="none" w:sz="0" w:space="0" w:color="auto"/>
            <w:right w:val="none" w:sz="0" w:space="0" w:color="auto"/>
          </w:divBdr>
        </w:div>
        <w:div w:id="770977236">
          <w:marLeft w:val="0"/>
          <w:marRight w:val="0"/>
          <w:marTop w:val="0"/>
          <w:marBottom w:val="101"/>
          <w:divBdr>
            <w:top w:val="none" w:sz="0" w:space="0" w:color="auto"/>
            <w:left w:val="none" w:sz="0" w:space="0" w:color="auto"/>
            <w:bottom w:val="none" w:sz="0" w:space="0" w:color="auto"/>
            <w:right w:val="none" w:sz="0" w:space="0" w:color="auto"/>
          </w:divBdr>
        </w:div>
        <w:div w:id="931276888">
          <w:marLeft w:val="0"/>
          <w:marRight w:val="0"/>
          <w:marTop w:val="0"/>
          <w:marBottom w:val="101"/>
          <w:divBdr>
            <w:top w:val="none" w:sz="0" w:space="0" w:color="auto"/>
            <w:left w:val="none" w:sz="0" w:space="0" w:color="auto"/>
            <w:bottom w:val="none" w:sz="0" w:space="0" w:color="auto"/>
            <w:right w:val="none" w:sz="0" w:space="0" w:color="auto"/>
          </w:divBdr>
        </w:div>
        <w:div w:id="1230116555">
          <w:marLeft w:val="0"/>
          <w:marRight w:val="0"/>
          <w:marTop w:val="0"/>
          <w:marBottom w:val="101"/>
          <w:divBdr>
            <w:top w:val="none" w:sz="0" w:space="0" w:color="auto"/>
            <w:left w:val="none" w:sz="0" w:space="0" w:color="auto"/>
            <w:bottom w:val="none" w:sz="0" w:space="0" w:color="auto"/>
            <w:right w:val="none" w:sz="0" w:space="0" w:color="auto"/>
          </w:divBdr>
        </w:div>
        <w:div w:id="1897624060">
          <w:marLeft w:val="0"/>
          <w:marRight w:val="0"/>
          <w:marTop w:val="0"/>
          <w:marBottom w:val="101"/>
          <w:divBdr>
            <w:top w:val="none" w:sz="0" w:space="0" w:color="auto"/>
            <w:left w:val="none" w:sz="0" w:space="0" w:color="auto"/>
            <w:bottom w:val="none" w:sz="0" w:space="0" w:color="auto"/>
            <w:right w:val="none" w:sz="0" w:space="0" w:color="auto"/>
          </w:divBdr>
        </w:div>
        <w:div w:id="18236841">
          <w:marLeft w:val="0"/>
          <w:marRight w:val="0"/>
          <w:marTop w:val="0"/>
          <w:marBottom w:val="101"/>
          <w:divBdr>
            <w:top w:val="none" w:sz="0" w:space="0" w:color="auto"/>
            <w:left w:val="none" w:sz="0" w:space="0" w:color="auto"/>
            <w:bottom w:val="none" w:sz="0" w:space="0" w:color="auto"/>
            <w:right w:val="none" w:sz="0" w:space="0" w:color="auto"/>
          </w:divBdr>
        </w:div>
        <w:div w:id="209611421">
          <w:marLeft w:val="0"/>
          <w:marRight w:val="0"/>
          <w:marTop w:val="0"/>
          <w:marBottom w:val="101"/>
          <w:divBdr>
            <w:top w:val="none" w:sz="0" w:space="0" w:color="auto"/>
            <w:left w:val="none" w:sz="0" w:space="0" w:color="auto"/>
            <w:bottom w:val="none" w:sz="0" w:space="0" w:color="auto"/>
            <w:right w:val="none" w:sz="0" w:space="0" w:color="auto"/>
          </w:divBdr>
        </w:div>
        <w:div w:id="1028796704">
          <w:marLeft w:val="0"/>
          <w:marRight w:val="0"/>
          <w:marTop w:val="0"/>
          <w:marBottom w:val="101"/>
          <w:divBdr>
            <w:top w:val="none" w:sz="0" w:space="0" w:color="auto"/>
            <w:left w:val="none" w:sz="0" w:space="0" w:color="auto"/>
            <w:bottom w:val="none" w:sz="0" w:space="0" w:color="auto"/>
            <w:right w:val="none" w:sz="0" w:space="0" w:color="auto"/>
          </w:divBdr>
        </w:div>
        <w:div w:id="767585575">
          <w:marLeft w:val="720"/>
          <w:marRight w:val="0"/>
          <w:marTop w:val="0"/>
          <w:marBottom w:val="101"/>
          <w:divBdr>
            <w:top w:val="none" w:sz="0" w:space="0" w:color="auto"/>
            <w:left w:val="none" w:sz="0" w:space="0" w:color="auto"/>
            <w:bottom w:val="none" w:sz="0" w:space="0" w:color="auto"/>
            <w:right w:val="none" w:sz="0" w:space="0" w:color="auto"/>
          </w:divBdr>
        </w:div>
        <w:div w:id="293411120">
          <w:marLeft w:val="0"/>
          <w:marRight w:val="0"/>
          <w:marTop w:val="0"/>
          <w:marBottom w:val="101"/>
          <w:divBdr>
            <w:top w:val="none" w:sz="0" w:space="0" w:color="auto"/>
            <w:left w:val="none" w:sz="0" w:space="0" w:color="auto"/>
            <w:bottom w:val="none" w:sz="0" w:space="0" w:color="auto"/>
            <w:right w:val="none" w:sz="0" w:space="0" w:color="auto"/>
          </w:divBdr>
        </w:div>
        <w:div w:id="1325356559">
          <w:marLeft w:val="0"/>
          <w:marRight w:val="0"/>
          <w:marTop w:val="0"/>
          <w:marBottom w:val="101"/>
          <w:divBdr>
            <w:top w:val="none" w:sz="0" w:space="0" w:color="auto"/>
            <w:left w:val="none" w:sz="0" w:space="0" w:color="auto"/>
            <w:bottom w:val="none" w:sz="0" w:space="0" w:color="auto"/>
            <w:right w:val="none" w:sz="0" w:space="0" w:color="auto"/>
          </w:divBdr>
        </w:div>
        <w:div w:id="258829439">
          <w:marLeft w:val="0"/>
          <w:marRight w:val="0"/>
          <w:marTop w:val="0"/>
          <w:marBottom w:val="101"/>
          <w:divBdr>
            <w:top w:val="none" w:sz="0" w:space="0" w:color="auto"/>
            <w:left w:val="none" w:sz="0" w:space="0" w:color="auto"/>
            <w:bottom w:val="none" w:sz="0" w:space="0" w:color="auto"/>
            <w:right w:val="none" w:sz="0" w:space="0" w:color="auto"/>
          </w:divBdr>
        </w:div>
        <w:div w:id="2129078143">
          <w:marLeft w:val="0"/>
          <w:marRight w:val="0"/>
          <w:marTop w:val="0"/>
          <w:marBottom w:val="101"/>
          <w:divBdr>
            <w:top w:val="none" w:sz="0" w:space="0" w:color="auto"/>
            <w:left w:val="none" w:sz="0" w:space="0" w:color="auto"/>
            <w:bottom w:val="none" w:sz="0" w:space="0" w:color="auto"/>
            <w:right w:val="none" w:sz="0" w:space="0" w:color="auto"/>
          </w:divBdr>
        </w:div>
        <w:div w:id="1510289050">
          <w:marLeft w:val="1080"/>
          <w:marRight w:val="0"/>
          <w:marTop w:val="0"/>
          <w:marBottom w:val="101"/>
          <w:divBdr>
            <w:top w:val="none" w:sz="0" w:space="0" w:color="auto"/>
            <w:left w:val="none" w:sz="0" w:space="0" w:color="auto"/>
            <w:bottom w:val="none" w:sz="0" w:space="0" w:color="auto"/>
            <w:right w:val="none" w:sz="0" w:space="0" w:color="auto"/>
          </w:divBdr>
        </w:div>
        <w:div w:id="1408260173">
          <w:marLeft w:val="1080"/>
          <w:marRight w:val="0"/>
          <w:marTop w:val="0"/>
          <w:marBottom w:val="101"/>
          <w:divBdr>
            <w:top w:val="none" w:sz="0" w:space="0" w:color="auto"/>
            <w:left w:val="none" w:sz="0" w:space="0" w:color="auto"/>
            <w:bottom w:val="none" w:sz="0" w:space="0" w:color="auto"/>
            <w:right w:val="none" w:sz="0" w:space="0" w:color="auto"/>
          </w:divBdr>
        </w:div>
        <w:div w:id="414130797">
          <w:marLeft w:val="0"/>
          <w:marRight w:val="0"/>
          <w:marTop w:val="0"/>
          <w:marBottom w:val="101"/>
          <w:divBdr>
            <w:top w:val="none" w:sz="0" w:space="0" w:color="auto"/>
            <w:left w:val="none" w:sz="0" w:space="0" w:color="auto"/>
            <w:bottom w:val="none" w:sz="0" w:space="0" w:color="auto"/>
            <w:right w:val="none" w:sz="0" w:space="0" w:color="auto"/>
          </w:divBdr>
        </w:div>
        <w:div w:id="1389302808">
          <w:marLeft w:val="0"/>
          <w:marRight w:val="0"/>
          <w:marTop w:val="0"/>
          <w:marBottom w:val="101"/>
          <w:divBdr>
            <w:top w:val="none" w:sz="0" w:space="0" w:color="auto"/>
            <w:left w:val="none" w:sz="0" w:space="0" w:color="auto"/>
            <w:bottom w:val="none" w:sz="0" w:space="0" w:color="auto"/>
            <w:right w:val="none" w:sz="0" w:space="0" w:color="auto"/>
          </w:divBdr>
        </w:div>
        <w:div w:id="1929578635">
          <w:marLeft w:val="0"/>
          <w:marRight w:val="0"/>
          <w:marTop w:val="0"/>
          <w:marBottom w:val="101"/>
          <w:divBdr>
            <w:top w:val="none" w:sz="0" w:space="0" w:color="auto"/>
            <w:left w:val="none" w:sz="0" w:space="0" w:color="auto"/>
            <w:bottom w:val="none" w:sz="0" w:space="0" w:color="auto"/>
            <w:right w:val="none" w:sz="0" w:space="0" w:color="auto"/>
          </w:divBdr>
        </w:div>
        <w:div w:id="1508982238">
          <w:marLeft w:val="0"/>
          <w:marRight w:val="0"/>
          <w:marTop w:val="0"/>
          <w:marBottom w:val="101"/>
          <w:divBdr>
            <w:top w:val="none" w:sz="0" w:space="0" w:color="auto"/>
            <w:left w:val="none" w:sz="0" w:space="0" w:color="auto"/>
            <w:bottom w:val="none" w:sz="0" w:space="0" w:color="auto"/>
            <w:right w:val="none" w:sz="0" w:space="0" w:color="auto"/>
          </w:divBdr>
        </w:div>
        <w:div w:id="407315079">
          <w:marLeft w:val="0"/>
          <w:marRight w:val="0"/>
          <w:marTop w:val="0"/>
          <w:marBottom w:val="101"/>
          <w:divBdr>
            <w:top w:val="none" w:sz="0" w:space="0" w:color="auto"/>
            <w:left w:val="none" w:sz="0" w:space="0" w:color="auto"/>
            <w:bottom w:val="none" w:sz="0" w:space="0" w:color="auto"/>
            <w:right w:val="none" w:sz="0" w:space="0" w:color="auto"/>
          </w:divBdr>
        </w:div>
        <w:div w:id="889343397">
          <w:marLeft w:val="0"/>
          <w:marRight w:val="0"/>
          <w:marTop w:val="0"/>
          <w:marBottom w:val="101"/>
          <w:divBdr>
            <w:top w:val="none" w:sz="0" w:space="0" w:color="auto"/>
            <w:left w:val="none" w:sz="0" w:space="0" w:color="auto"/>
            <w:bottom w:val="none" w:sz="0" w:space="0" w:color="auto"/>
            <w:right w:val="none" w:sz="0" w:space="0" w:color="auto"/>
          </w:divBdr>
        </w:div>
        <w:div w:id="1406301465">
          <w:marLeft w:val="0"/>
          <w:marRight w:val="0"/>
          <w:marTop w:val="0"/>
          <w:marBottom w:val="101"/>
          <w:divBdr>
            <w:top w:val="none" w:sz="0" w:space="0" w:color="auto"/>
            <w:left w:val="none" w:sz="0" w:space="0" w:color="auto"/>
            <w:bottom w:val="none" w:sz="0" w:space="0" w:color="auto"/>
            <w:right w:val="none" w:sz="0" w:space="0" w:color="auto"/>
          </w:divBdr>
        </w:div>
        <w:div w:id="1550992154">
          <w:marLeft w:val="0"/>
          <w:marRight w:val="0"/>
          <w:marTop w:val="0"/>
          <w:marBottom w:val="101"/>
          <w:divBdr>
            <w:top w:val="none" w:sz="0" w:space="0" w:color="auto"/>
            <w:left w:val="none" w:sz="0" w:space="0" w:color="auto"/>
            <w:bottom w:val="none" w:sz="0" w:space="0" w:color="auto"/>
            <w:right w:val="none" w:sz="0" w:space="0" w:color="auto"/>
          </w:divBdr>
        </w:div>
        <w:div w:id="1429545692">
          <w:marLeft w:val="0"/>
          <w:marRight w:val="0"/>
          <w:marTop w:val="0"/>
          <w:marBottom w:val="101"/>
          <w:divBdr>
            <w:top w:val="none" w:sz="0" w:space="0" w:color="auto"/>
            <w:left w:val="none" w:sz="0" w:space="0" w:color="auto"/>
            <w:bottom w:val="none" w:sz="0" w:space="0" w:color="auto"/>
            <w:right w:val="none" w:sz="0" w:space="0" w:color="auto"/>
          </w:divBdr>
        </w:div>
        <w:div w:id="1674868931">
          <w:marLeft w:val="0"/>
          <w:marRight w:val="0"/>
          <w:marTop w:val="0"/>
          <w:marBottom w:val="101"/>
          <w:divBdr>
            <w:top w:val="none" w:sz="0" w:space="0" w:color="auto"/>
            <w:left w:val="none" w:sz="0" w:space="0" w:color="auto"/>
            <w:bottom w:val="none" w:sz="0" w:space="0" w:color="auto"/>
            <w:right w:val="none" w:sz="0" w:space="0" w:color="auto"/>
          </w:divBdr>
        </w:div>
        <w:div w:id="1706695">
          <w:marLeft w:val="0"/>
          <w:marRight w:val="0"/>
          <w:marTop w:val="0"/>
          <w:marBottom w:val="101"/>
          <w:divBdr>
            <w:top w:val="none" w:sz="0" w:space="0" w:color="auto"/>
            <w:left w:val="none" w:sz="0" w:space="0" w:color="auto"/>
            <w:bottom w:val="none" w:sz="0" w:space="0" w:color="auto"/>
            <w:right w:val="none" w:sz="0" w:space="0" w:color="auto"/>
          </w:divBdr>
        </w:div>
        <w:div w:id="2067753182">
          <w:marLeft w:val="0"/>
          <w:marRight w:val="0"/>
          <w:marTop w:val="0"/>
          <w:marBottom w:val="101"/>
          <w:divBdr>
            <w:top w:val="none" w:sz="0" w:space="0" w:color="auto"/>
            <w:left w:val="none" w:sz="0" w:space="0" w:color="auto"/>
            <w:bottom w:val="none" w:sz="0" w:space="0" w:color="auto"/>
            <w:right w:val="none" w:sz="0" w:space="0" w:color="auto"/>
          </w:divBdr>
        </w:div>
        <w:div w:id="648949247">
          <w:marLeft w:val="720"/>
          <w:marRight w:val="0"/>
          <w:marTop w:val="0"/>
          <w:marBottom w:val="101"/>
          <w:divBdr>
            <w:top w:val="none" w:sz="0" w:space="0" w:color="auto"/>
            <w:left w:val="none" w:sz="0" w:space="0" w:color="auto"/>
            <w:bottom w:val="none" w:sz="0" w:space="0" w:color="auto"/>
            <w:right w:val="none" w:sz="0" w:space="0" w:color="auto"/>
          </w:divBdr>
        </w:div>
        <w:div w:id="786970839">
          <w:marLeft w:val="0"/>
          <w:marRight w:val="0"/>
          <w:marTop w:val="101"/>
          <w:marBottom w:val="101"/>
          <w:divBdr>
            <w:top w:val="none" w:sz="0" w:space="0" w:color="auto"/>
            <w:left w:val="none" w:sz="0" w:space="0" w:color="auto"/>
            <w:bottom w:val="none" w:sz="0" w:space="0" w:color="auto"/>
            <w:right w:val="none" w:sz="0" w:space="0" w:color="auto"/>
          </w:divBdr>
        </w:div>
        <w:div w:id="685641657">
          <w:marLeft w:val="0"/>
          <w:marRight w:val="0"/>
          <w:marTop w:val="0"/>
          <w:marBottom w:val="101"/>
          <w:divBdr>
            <w:top w:val="none" w:sz="0" w:space="0" w:color="auto"/>
            <w:left w:val="none" w:sz="0" w:space="0" w:color="auto"/>
            <w:bottom w:val="none" w:sz="0" w:space="0" w:color="auto"/>
            <w:right w:val="none" w:sz="0" w:space="0" w:color="auto"/>
          </w:divBdr>
        </w:div>
        <w:div w:id="1192500443">
          <w:marLeft w:val="0"/>
          <w:marRight w:val="0"/>
          <w:marTop w:val="0"/>
          <w:marBottom w:val="101"/>
          <w:divBdr>
            <w:top w:val="none" w:sz="0" w:space="0" w:color="auto"/>
            <w:left w:val="none" w:sz="0" w:space="0" w:color="auto"/>
            <w:bottom w:val="none" w:sz="0" w:space="0" w:color="auto"/>
            <w:right w:val="none" w:sz="0" w:space="0" w:color="auto"/>
          </w:divBdr>
        </w:div>
        <w:div w:id="419254498">
          <w:marLeft w:val="0"/>
          <w:marRight w:val="0"/>
          <w:marTop w:val="0"/>
          <w:marBottom w:val="101"/>
          <w:divBdr>
            <w:top w:val="none" w:sz="0" w:space="0" w:color="auto"/>
            <w:left w:val="none" w:sz="0" w:space="0" w:color="auto"/>
            <w:bottom w:val="none" w:sz="0" w:space="0" w:color="auto"/>
            <w:right w:val="none" w:sz="0" w:space="0" w:color="auto"/>
          </w:divBdr>
        </w:div>
        <w:div w:id="504250213">
          <w:marLeft w:val="0"/>
          <w:marRight w:val="0"/>
          <w:marTop w:val="0"/>
          <w:marBottom w:val="101"/>
          <w:divBdr>
            <w:top w:val="none" w:sz="0" w:space="0" w:color="auto"/>
            <w:left w:val="none" w:sz="0" w:space="0" w:color="auto"/>
            <w:bottom w:val="none" w:sz="0" w:space="0" w:color="auto"/>
            <w:right w:val="none" w:sz="0" w:space="0" w:color="auto"/>
          </w:divBdr>
        </w:div>
        <w:div w:id="636641696">
          <w:marLeft w:val="0"/>
          <w:marRight w:val="0"/>
          <w:marTop w:val="0"/>
          <w:marBottom w:val="101"/>
          <w:divBdr>
            <w:top w:val="none" w:sz="0" w:space="0" w:color="auto"/>
            <w:left w:val="none" w:sz="0" w:space="0" w:color="auto"/>
            <w:bottom w:val="none" w:sz="0" w:space="0" w:color="auto"/>
            <w:right w:val="none" w:sz="0" w:space="0" w:color="auto"/>
          </w:divBdr>
        </w:div>
      </w:divsChild>
    </w:div>
    <w:div w:id="17325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2019-03-21T14:34:00Z</dcterms:created>
  <dcterms:modified xsi:type="dcterms:W3CDTF">2019-03-21T14:39:00Z</dcterms:modified>
</cp:coreProperties>
</file>