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Nuevo León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NUEVO LEÓN.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w:t>
      </w:r>
    </w:p>
    <w:p w:rsidR="00000000" w:rsidDel="00000000" w:rsidP="00000000" w:rsidRDefault="00000000" w:rsidRPr="00000000" w14:paraId="0000000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30, segundo párrafo, 81, 85, fracción XII, 88 y 134 de la Constitución Política del Estado de Nuevo León, y 2, 4, 7, 8, 18, fracciones II y III, 20 y 21, fracciones V y XXXIV de la Ley Orgánica de la Administración Pública para el Estado, ambas partes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w:t>
      </w:r>
    </w:p>
    <w:p w:rsidR="00000000" w:rsidDel="00000000" w:rsidP="00000000" w:rsidRDefault="00000000" w:rsidRPr="00000000" w14:paraId="00000018">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100" w:lineRule="auto"/>
        <w:ind w:firstLine="280"/>
        <w:jc w:val="both"/>
        <w:rPr>
          <w:color w:val="2f2f2f"/>
          <w:sz w:val="12"/>
          <w:szCs w:val="12"/>
        </w:rPr>
      </w:pPr>
      <w:r w:rsidDel="00000000" w:rsidR="00000000" w:rsidRPr="00000000">
        <w:rPr>
          <w:b w:val="1"/>
          <w:color w:val="2f2f2f"/>
          <w:sz w:val="12"/>
          <w:szCs w:val="12"/>
          <w:rtl w:val="0"/>
        </w:rPr>
        <w:t xml:space="preserve">SEGUNDO.-</w:t>
      </w:r>
      <w:r w:rsidDel="00000000" w:rsidR="00000000" w:rsidRPr="00000000">
        <w:rPr>
          <w:color w:val="2f2f2f"/>
          <w:sz w:val="12"/>
          <w:szCs w:val="12"/>
          <w:rtl w:val="0"/>
        </w:rPr>
        <w:t xml:space="preserve"> Los incentivos que se hubieren percibido por la "Entidad" hasta antes de la entrada en vigor del presente Acuerdo, no serán modificados en virtud de la reforma a la variable </w:t>
      </w:r>
      <w:r w:rsidDel="00000000" w:rsidR="00000000" w:rsidRPr="00000000">
        <w:rPr>
          <w:color w:val="2f2f2f"/>
          <w:sz w:val="20"/>
          <w:szCs w:val="20"/>
          <w:vertAlign w:val="superscript"/>
          <w:rtl w:val="0"/>
        </w:rPr>
        <w:t xml:space="preserve">i</w:t>
      </w:r>
      <w:r w:rsidDel="00000000" w:rsidR="00000000" w:rsidRPr="00000000">
        <w:rPr>
          <w:color w:val="2f2f2f"/>
          <w:sz w:val="12"/>
          <w:szCs w:val="12"/>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6 de abril de 2020.- Por el Estado: el Gobernador Constitucional, </w:t>
      </w:r>
      <w:r w:rsidDel="00000000" w:rsidR="00000000" w:rsidRPr="00000000">
        <w:rPr>
          <w:b w:val="1"/>
          <w:color w:val="2f2f2f"/>
          <w:sz w:val="18"/>
          <w:szCs w:val="18"/>
          <w:rtl w:val="0"/>
        </w:rPr>
        <w:t xml:space="preserve">Jaime Heliodoro Rodríguez Calderón</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Manuel Florentino González Flores</w:t>
      </w:r>
      <w:r w:rsidDel="00000000" w:rsidR="00000000" w:rsidRPr="00000000">
        <w:rPr>
          <w:color w:val="2f2f2f"/>
          <w:sz w:val="18"/>
          <w:szCs w:val="18"/>
          <w:rtl w:val="0"/>
        </w:rPr>
        <w:t xml:space="preserve">.- Rúbrica.- El Secretario de Finanzas y Tesorero General, </w:t>
      </w:r>
      <w:r w:rsidDel="00000000" w:rsidR="00000000" w:rsidRPr="00000000">
        <w:rPr>
          <w:b w:val="1"/>
          <w:color w:val="2f2f2f"/>
          <w:sz w:val="18"/>
          <w:szCs w:val="18"/>
          <w:rtl w:val="0"/>
        </w:rPr>
        <w:t xml:space="preserve">Carlos Alberto Garza Ibarra</w:t>
      </w:r>
      <w:r w:rsidDel="00000000" w:rsidR="00000000" w:rsidRPr="00000000">
        <w:rPr>
          <w:color w:val="2f2f2f"/>
          <w:sz w:val="18"/>
          <w:szCs w:val="18"/>
          <w:rtl w:val="0"/>
        </w:rPr>
        <w:t xml:space="preserve">.- Rúbrica.- Por la</w:t>
      </w:r>
    </w:p>
    <w:p w:rsidR="00000000" w:rsidDel="00000000" w:rsidP="00000000" w:rsidRDefault="00000000" w:rsidRPr="00000000" w14:paraId="0000002A">
      <w:pPr>
        <w:shd w:fill="ffffff" w:val="clear"/>
        <w:spacing w:after="100" w:lineRule="auto"/>
        <w:jc w:val="both"/>
        <w:rPr>
          <w:color w:val="2f2f2f"/>
          <w:sz w:val="18"/>
          <w:szCs w:val="18"/>
        </w:rPr>
      </w:pPr>
      <w:r w:rsidDel="00000000" w:rsidR="00000000" w:rsidRPr="00000000">
        <w:rPr>
          <w:color w:val="2f2f2f"/>
          <w:sz w:val="18"/>
          <w:szCs w:val="18"/>
          <w:rtl w:val="0"/>
        </w:rPr>
        <w:t xml:space="preserve">Secretaría: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