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E4F" w:rsidRPr="00841D9A" w:rsidRDefault="005F6E4F" w:rsidP="005F6E4F">
      <w:pPr>
        <w:jc w:val="center"/>
        <w:rPr>
          <w:rFonts w:ascii="Verdana" w:eastAsia="Verdana" w:hAnsi="Verdana" w:cs="Verdana"/>
          <w:b/>
          <w:color w:val="0000FF"/>
          <w:sz w:val="24"/>
          <w:szCs w:val="24"/>
        </w:rPr>
      </w:pPr>
      <w:r w:rsidRPr="005F6E4F">
        <w:rPr>
          <w:rFonts w:ascii="Verdana" w:eastAsia="Verdana" w:hAnsi="Verdana" w:cs="Verdana"/>
          <w:b/>
          <w:color w:val="0000FF"/>
          <w:sz w:val="24"/>
          <w:szCs w:val="24"/>
        </w:rPr>
        <w:t>AVISO por el que se dan a conocer las bases de regulación tarifaria para el cobro de diferentes servicios portuarios aplicables en diversos Puertos de México.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26 de octubre</w:t>
      </w:r>
      <w:r w:rsidRPr="00841D9A">
        <w:rPr>
          <w:rFonts w:ascii="Verdana" w:eastAsia="Verdana" w:hAnsi="Verdana" w:cs="Verdana"/>
          <w:b/>
          <w:color w:val="0000FF"/>
          <w:sz w:val="24"/>
          <w:szCs w:val="24"/>
        </w:rPr>
        <w:t xml:space="preserve"> de 2022)</w:t>
      </w:r>
      <w:bookmarkEnd w:id="0"/>
    </w:p>
    <w:p w:rsidR="00C94572" w:rsidRDefault="005F6E4F" w:rsidP="005F6E4F">
      <w:pPr>
        <w:jc w:val="both"/>
        <w:rPr>
          <w:rFonts w:ascii="Arial" w:hAnsi="Arial" w:cs="Arial"/>
          <w:b/>
          <w:color w:val="2F2F2F"/>
          <w:sz w:val="18"/>
          <w:szCs w:val="18"/>
          <w:shd w:val="clear" w:color="auto" w:fill="FFFFFF"/>
        </w:rPr>
      </w:pPr>
      <w:r w:rsidRPr="005F6E4F">
        <w:rPr>
          <w:rFonts w:ascii="Arial" w:hAnsi="Arial" w:cs="Arial"/>
          <w:b/>
          <w:color w:val="2F2F2F"/>
          <w:sz w:val="18"/>
          <w:szCs w:val="18"/>
          <w:shd w:val="clear" w:color="auto" w:fill="FFFFFF"/>
        </w:rPr>
        <w:t>Al margen un sello con el Escudo Nacional, que dice: Estados Unidos Mexicanos.- MARINA.- Secretaría de Marina.</w:t>
      </w:r>
    </w:p>
    <w:p w:rsidR="005F6E4F" w:rsidRPr="005F6E4F" w:rsidRDefault="005F6E4F" w:rsidP="005F6E4F">
      <w:pPr>
        <w:shd w:val="clear" w:color="auto" w:fill="FFFFFF"/>
        <w:spacing w:after="80" w:line="240" w:lineRule="auto"/>
        <w:ind w:firstLine="288"/>
        <w:jc w:val="both"/>
        <w:rPr>
          <w:rFonts w:ascii="Arial" w:eastAsia="Times New Roman" w:hAnsi="Arial" w:cs="Arial"/>
          <w:color w:val="2F2F2F"/>
          <w:sz w:val="18"/>
          <w:szCs w:val="18"/>
          <w:lang w:eastAsia="es-MX"/>
        </w:rPr>
      </w:pPr>
      <w:r w:rsidRPr="005F6E4F">
        <w:rPr>
          <w:rFonts w:ascii="Arial" w:eastAsia="Times New Roman" w:hAnsi="Arial" w:cs="Arial"/>
          <w:color w:val="2F2F2F"/>
          <w:sz w:val="18"/>
          <w:szCs w:val="18"/>
          <w:lang w:eastAsia="es-MX"/>
        </w:rPr>
        <w:t>MARÍA MARISA ABARCA HERNÁNDEZ. Capitán de Altura, Directora General de Puertos, con </w:t>
      </w:r>
      <w:r w:rsidRPr="005F6E4F">
        <w:rPr>
          <w:rFonts w:ascii="Arial" w:eastAsia="Times New Roman" w:hAnsi="Arial" w:cs="Arial"/>
          <w:color w:val="000000"/>
          <w:sz w:val="18"/>
          <w:szCs w:val="18"/>
          <w:lang w:eastAsia="es-MX"/>
        </w:rPr>
        <w:t xml:space="preserve">fundamento en los artículos 30, fracciones XIV Bis, XIV </w:t>
      </w:r>
      <w:proofErr w:type="spellStart"/>
      <w:r w:rsidRPr="005F6E4F">
        <w:rPr>
          <w:rFonts w:ascii="Arial" w:eastAsia="Times New Roman" w:hAnsi="Arial" w:cs="Arial"/>
          <w:color w:val="000000"/>
          <w:sz w:val="18"/>
          <w:szCs w:val="18"/>
          <w:lang w:eastAsia="es-MX"/>
        </w:rPr>
        <w:t>Quáter</w:t>
      </w:r>
      <w:proofErr w:type="spellEnd"/>
      <w:r w:rsidRPr="005F6E4F">
        <w:rPr>
          <w:rFonts w:ascii="Arial" w:eastAsia="Times New Roman" w:hAnsi="Arial" w:cs="Arial"/>
          <w:color w:val="000000"/>
          <w:sz w:val="18"/>
          <w:szCs w:val="18"/>
          <w:lang w:eastAsia="es-MX"/>
        </w:rPr>
        <w:t xml:space="preserve"> y XXVI, de la Ley Orgánica de la Administración Pública Federal; 1o y 4o, fracción III, 16, fracciones II, VIII y XIV, 44, fracciones I y III, 45, 50, 51, fracción V, 59, 60, 61, de la Ley de Puertos; 1, 3, 70 al 74, 81, 82 y 137, del Reglamento de la Ley de Puertos; la Regulación Tarifaria, publicada en el Diario Oficial de la Federación el 22 de diciembre de 1999; y en ejercicio de las facultades que me confieren los artículos 1, 3, fracción II, inciso g, numeral 5, 10 y 33, fracciones X y XVII, del Reglamento Interior de la Secretaría de Marina; </w:t>
      </w:r>
      <w:r w:rsidRPr="005F6E4F">
        <w:rPr>
          <w:rFonts w:ascii="Arial" w:eastAsia="Times New Roman" w:hAnsi="Arial" w:cs="Arial"/>
          <w:color w:val="2F2F2F"/>
          <w:sz w:val="18"/>
          <w:szCs w:val="18"/>
          <w:lang w:eastAsia="es-MX"/>
        </w:rPr>
        <w:t>y</w:t>
      </w:r>
    </w:p>
    <w:p w:rsidR="005F6E4F" w:rsidRPr="005F6E4F" w:rsidRDefault="005F6E4F" w:rsidP="005F6E4F">
      <w:pPr>
        <w:shd w:val="clear" w:color="auto" w:fill="FFFFFF"/>
        <w:spacing w:after="80" w:line="240" w:lineRule="auto"/>
        <w:jc w:val="center"/>
        <w:rPr>
          <w:rFonts w:ascii="Times New Roman" w:eastAsia="Times New Roman" w:hAnsi="Times New Roman" w:cs="Times New Roman"/>
          <w:b/>
          <w:bCs/>
          <w:color w:val="2F2F2F"/>
          <w:sz w:val="18"/>
          <w:szCs w:val="18"/>
          <w:lang w:eastAsia="es-MX"/>
        </w:rPr>
      </w:pPr>
      <w:r w:rsidRPr="005F6E4F">
        <w:rPr>
          <w:rFonts w:ascii="Times" w:eastAsia="Times New Roman" w:hAnsi="Times" w:cs="Times"/>
          <w:b/>
          <w:bCs/>
          <w:color w:val="2F2F2F"/>
          <w:sz w:val="18"/>
          <w:szCs w:val="18"/>
          <w:lang w:eastAsia="es-MX"/>
        </w:rPr>
        <w:t>CONSIDERANDO</w:t>
      </w:r>
    </w:p>
    <w:p w:rsidR="005F6E4F" w:rsidRPr="005F6E4F" w:rsidRDefault="005F6E4F" w:rsidP="005F6E4F">
      <w:pPr>
        <w:shd w:val="clear" w:color="auto" w:fill="FFFFFF"/>
        <w:spacing w:after="80" w:line="240" w:lineRule="auto"/>
        <w:ind w:firstLine="288"/>
        <w:jc w:val="both"/>
        <w:rPr>
          <w:rFonts w:ascii="Arial" w:eastAsia="Times New Roman" w:hAnsi="Arial" w:cs="Arial"/>
          <w:color w:val="2F2F2F"/>
          <w:sz w:val="18"/>
          <w:szCs w:val="18"/>
          <w:lang w:eastAsia="es-MX"/>
        </w:rPr>
      </w:pPr>
      <w:r w:rsidRPr="005F6E4F">
        <w:rPr>
          <w:rFonts w:ascii="Arial" w:eastAsia="Times New Roman" w:hAnsi="Arial" w:cs="Arial"/>
          <w:color w:val="2F2F2F"/>
          <w:sz w:val="18"/>
          <w:szCs w:val="18"/>
          <w:lang w:eastAsia="es-MX"/>
        </w:rPr>
        <w:t>Que la Secretaría de Marina, como Autoridad en materia de Puertos, tiene a su cargo las atribuciones conferidas por las Leyes Orgánica de la Administración Pública Federal, la de Navegación y Comercio Marítimos, la de Puertos, así como los tratados internacionales de los que el Estado Mexicano sea parte, para el control de los puertos, terminales, marinas e instalaciones portuarias, su construcción, uso, aprovechamiento, explotación, operación y formas de administración, así como para la prestación de los servicios portuarios;</w:t>
      </w:r>
    </w:p>
    <w:p w:rsidR="005F6E4F" w:rsidRPr="005F6E4F" w:rsidRDefault="005F6E4F" w:rsidP="005F6E4F">
      <w:pPr>
        <w:shd w:val="clear" w:color="auto" w:fill="FFFFFF"/>
        <w:spacing w:after="80" w:line="240" w:lineRule="auto"/>
        <w:ind w:firstLine="288"/>
        <w:jc w:val="both"/>
        <w:rPr>
          <w:rFonts w:ascii="Arial" w:eastAsia="Times New Roman" w:hAnsi="Arial" w:cs="Arial"/>
          <w:color w:val="2F2F2F"/>
          <w:sz w:val="18"/>
          <w:szCs w:val="18"/>
          <w:lang w:eastAsia="es-MX"/>
        </w:rPr>
      </w:pPr>
      <w:r w:rsidRPr="005F6E4F">
        <w:rPr>
          <w:rFonts w:ascii="Arial" w:eastAsia="Times New Roman" w:hAnsi="Arial" w:cs="Arial"/>
          <w:color w:val="2F2F2F"/>
          <w:sz w:val="18"/>
          <w:szCs w:val="18"/>
          <w:lang w:eastAsia="es-MX"/>
        </w:rPr>
        <w:t>Que la Secretaría de Marina, por conducto de la Dirección General de Puertos, tiene dentro de sus atribuciones, el establecer las bases de regulación tarifaria y de precios para el uso de determinados bienes en puertos, terminales, marinas y para la prestación de los servicios cuando no existan opciones portuarias o de otros modos de transporte que propicien un ambiente de competencia razonable;</w:t>
      </w:r>
    </w:p>
    <w:p w:rsidR="005F6E4F" w:rsidRPr="005F6E4F" w:rsidRDefault="005F6E4F" w:rsidP="005F6E4F">
      <w:pPr>
        <w:shd w:val="clear" w:color="auto" w:fill="FFFFFF"/>
        <w:spacing w:after="80" w:line="240" w:lineRule="auto"/>
        <w:ind w:firstLine="288"/>
        <w:jc w:val="both"/>
        <w:rPr>
          <w:rFonts w:ascii="Arial" w:eastAsia="Times New Roman" w:hAnsi="Arial" w:cs="Arial"/>
          <w:color w:val="2F2F2F"/>
          <w:sz w:val="18"/>
          <w:szCs w:val="18"/>
          <w:lang w:eastAsia="es-MX"/>
        </w:rPr>
      </w:pPr>
      <w:r w:rsidRPr="005F6E4F">
        <w:rPr>
          <w:rFonts w:ascii="Arial" w:eastAsia="Times New Roman" w:hAnsi="Arial" w:cs="Arial"/>
          <w:color w:val="2F2F2F"/>
          <w:sz w:val="18"/>
          <w:szCs w:val="18"/>
          <w:lang w:eastAsia="es-MX"/>
        </w:rPr>
        <w:t>Que fueron recibidas diversas solicitudes en la Ventanilla de Gestión de Trámites de la Unidad de Capitanías de Puerto y Asuntos Marítimos, para el ajuste de actualización a las tarifas para la prestación de diversos servicios portuarios aplicables en distintos puertos, mismas que fueron autorizadas por la Dirección General de Puertos; y</w:t>
      </w:r>
    </w:p>
    <w:p w:rsidR="005F6E4F" w:rsidRPr="005F6E4F" w:rsidRDefault="005F6E4F" w:rsidP="005F6E4F">
      <w:pPr>
        <w:shd w:val="clear" w:color="auto" w:fill="FFFFFF"/>
        <w:spacing w:after="80" w:line="240" w:lineRule="auto"/>
        <w:ind w:firstLine="288"/>
        <w:jc w:val="both"/>
        <w:rPr>
          <w:rFonts w:ascii="Arial" w:eastAsia="Times New Roman" w:hAnsi="Arial" w:cs="Arial"/>
          <w:color w:val="2F2F2F"/>
          <w:sz w:val="18"/>
          <w:szCs w:val="18"/>
          <w:lang w:eastAsia="es-MX"/>
        </w:rPr>
      </w:pPr>
      <w:r w:rsidRPr="005F6E4F">
        <w:rPr>
          <w:rFonts w:ascii="Arial" w:eastAsia="Times New Roman" w:hAnsi="Arial" w:cs="Arial"/>
          <w:color w:val="2F2F2F"/>
          <w:sz w:val="18"/>
          <w:szCs w:val="18"/>
          <w:lang w:eastAsia="es-MX"/>
        </w:rPr>
        <w:t>Que de conformidad con el artículo 137 del Reglamento de la Ley de Puertos, las bases de regulación tarifaria entrarán en vigor a partir de los veinte días hábiles siguientes a su publicación en el Diario Oficial de la Federación, por lo que he tenido a bien emitir el siguiente:</w:t>
      </w:r>
    </w:p>
    <w:p w:rsidR="005F6E4F" w:rsidRPr="005F6E4F" w:rsidRDefault="005F6E4F" w:rsidP="005F6E4F">
      <w:pPr>
        <w:shd w:val="clear" w:color="auto" w:fill="FFFFFF"/>
        <w:spacing w:after="80" w:line="240" w:lineRule="auto"/>
        <w:jc w:val="center"/>
        <w:rPr>
          <w:rFonts w:ascii="Times New Roman" w:eastAsia="Times New Roman" w:hAnsi="Times New Roman" w:cs="Times New Roman"/>
          <w:b/>
          <w:bCs/>
          <w:color w:val="2F2F2F"/>
          <w:sz w:val="18"/>
          <w:szCs w:val="18"/>
          <w:lang w:eastAsia="es-MX"/>
        </w:rPr>
      </w:pPr>
      <w:r w:rsidRPr="005F6E4F">
        <w:rPr>
          <w:rFonts w:ascii="Times" w:eastAsia="Times New Roman" w:hAnsi="Times" w:cs="Times"/>
          <w:b/>
          <w:bCs/>
          <w:color w:val="2F2F2F"/>
          <w:sz w:val="18"/>
          <w:szCs w:val="18"/>
          <w:lang w:eastAsia="es-MX"/>
        </w:rPr>
        <w:t>"AVISO POR EL QUE SE DAN A CONOCER LAS BASES DE REGULACIÓN TARIFARIA PARA EL</w:t>
      </w:r>
      <w:r w:rsidRPr="005F6E4F">
        <w:rPr>
          <w:rFonts w:ascii="Times New Roman" w:eastAsia="Times New Roman" w:hAnsi="Times New Roman" w:cs="Times New Roman"/>
          <w:b/>
          <w:bCs/>
          <w:color w:val="2F2F2F"/>
          <w:sz w:val="18"/>
          <w:szCs w:val="18"/>
          <w:lang w:eastAsia="es-MX"/>
        </w:rPr>
        <w:br/>
      </w:r>
      <w:r w:rsidRPr="005F6E4F">
        <w:rPr>
          <w:rFonts w:ascii="Times" w:eastAsia="Times New Roman" w:hAnsi="Times" w:cs="Times"/>
          <w:b/>
          <w:bCs/>
          <w:color w:val="2F2F2F"/>
          <w:sz w:val="18"/>
          <w:szCs w:val="18"/>
          <w:lang w:eastAsia="es-MX"/>
        </w:rPr>
        <w:t>COBRO DE DIFERENTES SERVICIOS PORTUARIOS APLICABLES EN DIVERSOS PUERTOS DE</w:t>
      </w:r>
      <w:r w:rsidRPr="005F6E4F">
        <w:rPr>
          <w:rFonts w:ascii="Times New Roman" w:eastAsia="Times New Roman" w:hAnsi="Times New Roman" w:cs="Times New Roman"/>
          <w:b/>
          <w:bCs/>
          <w:color w:val="2F2F2F"/>
          <w:sz w:val="18"/>
          <w:szCs w:val="18"/>
          <w:lang w:eastAsia="es-MX"/>
        </w:rPr>
        <w:br/>
      </w:r>
      <w:r w:rsidRPr="005F6E4F">
        <w:rPr>
          <w:rFonts w:ascii="Times" w:eastAsia="Times New Roman" w:hAnsi="Times" w:cs="Times"/>
          <w:b/>
          <w:bCs/>
          <w:color w:val="2F2F2F"/>
          <w:sz w:val="18"/>
          <w:szCs w:val="18"/>
          <w:lang w:eastAsia="es-MX"/>
        </w:rPr>
        <w:t>MÉXICO."</w:t>
      </w:r>
    </w:p>
    <w:p w:rsidR="005F6E4F" w:rsidRPr="005F6E4F" w:rsidRDefault="005F6E4F" w:rsidP="005F6E4F">
      <w:pPr>
        <w:shd w:val="clear" w:color="auto" w:fill="FFFFFF"/>
        <w:spacing w:after="80" w:line="240" w:lineRule="auto"/>
        <w:ind w:firstLine="288"/>
        <w:jc w:val="both"/>
        <w:rPr>
          <w:rFonts w:ascii="Arial" w:eastAsia="Times New Roman" w:hAnsi="Arial" w:cs="Arial"/>
          <w:color w:val="2F2F2F"/>
          <w:sz w:val="18"/>
          <w:szCs w:val="18"/>
          <w:lang w:eastAsia="es-MX"/>
        </w:rPr>
      </w:pPr>
      <w:r w:rsidRPr="005F6E4F">
        <w:rPr>
          <w:rFonts w:ascii="Arial" w:eastAsia="Times New Roman" w:hAnsi="Arial" w:cs="Arial"/>
          <w:b/>
          <w:bCs/>
          <w:color w:val="2F2F2F"/>
          <w:sz w:val="18"/>
          <w:szCs w:val="18"/>
          <w:lang w:eastAsia="es-MX"/>
        </w:rPr>
        <w:t>ÚNICO.-</w:t>
      </w:r>
      <w:r w:rsidRPr="005F6E4F">
        <w:rPr>
          <w:rFonts w:ascii="Arial" w:eastAsia="Times New Roman" w:hAnsi="Arial" w:cs="Arial"/>
          <w:color w:val="2F2F2F"/>
          <w:sz w:val="18"/>
          <w:szCs w:val="18"/>
          <w:lang w:eastAsia="es-MX"/>
        </w:rPr>
        <w:t> Se hace del conocimiento del público en general, que fueron actualizadas las bases de regulación tarifaria para el cobro de diferentes servicios portuarios, aplicables en diversos puertos de México, mismas que pueden ser consultadas en las páginas electrónicas siguientes:</w:t>
      </w:r>
    </w:p>
    <w:tbl>
      <w:tblPr>
        <w:tblW w:w="0" w:type="auto"/>
        <w:tblCellMar>
          <w:top w:w="15" w:type="dxa"/>
          <w:left w:w="15" w:type="dxa"/>
          <w:bottom w:w="15" w:type="dxa"/>
          <w:right w:w="15" w:type="dxa"/>
        </w:tblCellMar>
        <w:tblLook w:val="04A0" w:firstRow="1" w:lastRow="0" w:firstColumn="1" w:lastColumn="0" w:noHBand="0" w:noVBand="1"/>
      </w:tblPr>
      <w:tblGrid>
        <w:gridCol w:w="4390"/>
        <w:gridCol w:w="2462"/>
        <w:gridCol w:w="2130"/>
      </w:tblGrid>
      <w:tr w:rsidR="005F6E4F" w:rsidRPr="005F6E4F" w:rsidTr="005F6E4F">
        <w:trPr>
          <w:trHeight w:val="311"/>
        </w:trPr>
        <w:tc>
          <w:tcPr>
            <w:tcW w:w="4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F6E4F" w:rsidRPr="005F6E4F" w:rsidRDefault="005F6E4F" w:rsidP="005F6E4F">
            <w:pPr>
              <w:spacing w:after="80" w:line="240" w:lineRule="auto"/>
              <w:jc w:val="center"/>
              <w:rPr>
                <w:rFonts w:ascii="Times New Roman" w:eastAsia="Times New Roman" w:hAnsi="Times New Roman" w:cs="Times New Roman"/>
                <w:color w:val="000000"/>
                <w:sz w:val="16"/>
                <w:szCs w:val="16"/>
                <w:lang w:eastAsia="es-MX"/>
              </w:rPr>
            </w:pPr>
            <w:r w:rsidRPr="005F6E4F">
              <w:rPr>
                <w:rFonts w:ascii="Arial" w:eastAsia="Times New Roman" w:hAnsi="Arial" w:cs="Arial"/>
                <w:b/>
                <w:bCs/>
                <w:color w:val="000000"/>
                <w:sz w:val="16"/>
                <w:szCs w:val="16"/>
                <w:lang w:eastAsia="es-MX"/>
              </w:rPr>
              <w:t>Prestador del servicio</w:t>
            </w:r>
          </w:p>
        </w:tc>
        <w:tc>
          <w:tcPr>
            <w:tcW w:w="24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F6E4F" w:rsidRPr="005F6E4F" w:rsidRDefault="005F6E4F" w:rsidP="005F6E4F">
            <w:pPr>
              <w:spacing w:after="80" w:line="240" w:lineRule="auto"/>
              <w:jc w:val="center"/>
              <w:rPr>
                <w:rFonts w:ascii="Times New Roman" w:eastAsia="Times New Roman" w:hAnsi="Times New Roman" w:cs="Times New Roman"/>
                <w:color w:val="000000"/>
                <w:sz w:val="16"/>
                <w:szCs w:val="16"/>
                <w:lang w:eastAsia="es-MX"/>
              </w:rPr>
            </w:pPr>
            <w:r w:rsidRPr="005F6E4F">
              <w:rPr>
                <w:rFonts w:ascii="Arial" w:eastAsia="Times New Roman" w:hAnsi="Arial" w:cs="Arial"/>
                <w:b/>
                <w:bCs/>
                <w:color w:val="000000"/>
                <w:sz w:val="16"/>
                <w:szCs w:val="16"/>
                <w:lang w:eastAsia="es-MX"/>
              </w:rPr>
              <w:t>Servicio portuario</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F6E4F" w:rsidRPr="005F6E4F" w:rsidRDefault="005F6E4F" w:rsidP="005F6E4F">
            <w:pPr>
              <w:spacing w:after="80" w:line="240" w:lineRule="auto"/>
              <w:jc w:val="center"/>
              <w:rPr>
                <w:rFonts w:ascii="Times New Roman" w:eastAsia="Times New Roman" w:hAnsi="Times New Roman" w:cs="Times New Roman"/>
                <w:color w:val="000000"/>
                <w:sz w:val="16"/>
                <w:szCs w:val="16"/>
                <w:lang w:eastAsia="es-MX"/>
              </w:rPr>
            </w:pPr>
            <w:r w:rsidRPr="005F6E4F">
              <w:rPr>
                <w:rFonts w:ascii="Arial" w:eastAsia="Times New Roman" w:hAnsi="Arial" w:cs="Arial"/>
                <w:b/>
                <w:bCs/>
                <w:color w:val="000000"/>
                <w:sz w:val="16"/>
                <w:szCs w:val="16"/>
                <w:lang w:eastAsia="es-MX"/>
              </w:rPr>
              <w:t>Puerto</w:t>
            </w:r>
          </w:p>
        </w:tc>
      </w:tr>
      <w:tr w:rsidR="005F6E4F" w:rsidRPr="005F6E4F" w:rsidTr="005F6E4F">
        <w:trPr>
          <w:trHeight w:val="808"/>
        </w:trPr>
        <w:tc>
          <w:tcPr>
            <w:tcW w:w="4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F6E4F" w:rsidRPr="005F6E4F" w:rsidRDefault="005F6E4F" w:rsidP="005F6E4F">
            <w:pPr>
              <w:spacing w:after="80" w:line="240" w:lineRule="auto"/>
              <w:jc w:val="both"/>
              <w:rPr>
                <w:rFonts w:ascii="Times New Roman" w:eastAsia="Times New Roman" w:hAnsi="Times New Roman" w:cs="Times New Roman"/>
                <w:color w:val="000000"/>
                <w:sz w:val="16"/>
                <w:szCs w:val="16"/>
                <w:lang w:eastAsia="es-MX"/>
              </w:rPr>
            </w:pPr>
            <w:r w:rsidRPr="005F6E4F">
              <w:rPr>
                <w:rFonts w:ascii="Arial" w:eastAsia="Times New Roman" w:hAnsi="Arial" w:cs="Arial"/>
                <w:color w:val="000000"/>
                <w:sz w:val="16"/>
                <w:szCs w:val="16"/>
                <w:lang w:eastAsia="es-MX"/>
              </w:rPr>
              <w:t>Administración del Sistema Portuario Nacional Guaymas, S.A. de C.V.</w:t>
            </w:r>
          </w:p>
          <w:p w:rsidR="005F6E4F" w:rsidRPr="005F6E4F" w:rsidRDefault="005F6E4F" w:rsidP="005F6E4F">
            <w:pPr>
              <w:spacing w:after="80" w:line="240" w:lineRule="auto"/>
              <w:jc w:val="both"/>
              <w:rPr>
                <w:rFonts w:ascii="Times New Roman" w:eastAsia="Times New Roman" w:hAnsi="Times New Roman" w:cs="Times New Roman"/>
                <w:color w:val="000000"/>
                <w:sz w:val="16"/>
                <w:szCs w:val="16"/>
                <w:lang w:eastAsia="es-MX"/>
              </w:rPr>
            </w:pPr>
            <w:r w:rsidRPr="005F6E4F">
              <w:rPr>
                <w:rFonts w:ascii="Arial" w:eastAsia="Times New Roman" w:hAnsi="Arial" w:cs="Arial"/>
                <w:color w:val="000000"/>
                <w:sz w:val="16"/>
                <w:szCs w:val="16"/>
                <w:lang w:eastAsia="es-MX"/>
              </w:rPr>
              <w:t>www.dof.gob.mx/2022/SEMAR/2128_2022.pdf</w:t>
            </w:r>
          </w:p>
        </w:tc>
        <w:tc>
          <w:tcPr>
            <w:tcW w:w="24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F6E4F" w:rsidRPr="005F6E4F" w:rsidRDefault="005F6E4F" w:rsidP="005F6E4F">
            <w:pPr>
              <w:spacing w:after="80" w:line="240" w:lineRule="auto"/>
              <w:jc w:val="both"/>
              <w:rPr>
                <w:rFonts w:ascii="Times New Roman" w:eastAsia="Times New Roman" w:hAnsi="Times New Roman" w:cs="Times New Roman"/>
                <w:color w:val="000000"/>
                <w:sz w:val="16"/>
                <w:szCs w:val="16"/>
                <w:lang w:eastAsia="es-MX"/>
              </w:rPr>
            </w:pPr>
            <w:r w:rsidRPr="005F6E4F">
              <w:rPr>
                <w:rFonts w:ascii="Arial" w:eastAsia="Times New Roman" w:hAnsi="Arial" w:cs="Arial"/>
                <w:color w:val="000000"/>
                <w:sz w:val="16"/>
                <w:szCs w:val="16"/>
                <w:lang w:eastAsia="es-MX"/>
              </w:rPr>
              <w:t xml:space="preserve">Servicio de maniobras de carga general, </w:t>
            </w:r>
            <w:proofErr w:type="spellStart"/>
            <w:r w:rsidRPr="005F6E4F">
              <w:rPr>
                <w:rFonts w:ascii="Arial" w:eastAsia="Times New Roman" w:hAnsi="Arial" w:cs="Arial"/>
                <w:color w:val="000000"/>
                <w:sz w:val="16"/>
                <w:szCs w:val="16"/>
                <w:lang w:eastAsia="es-MX"/>
              </w:rPr>
              <w:t>graneles</w:t>
            </w:r>
            <w:proofErr w:type="spellEnd"/>
            <w:r w:rsidRPr="005F6E4F">
              <w:rPr>
                <w:rFonts w:ascii="Arial" w:eastAsia="Times New Roman" w:hAnsi="Arial" w:cs="Arial"/>
                <w:color w:val="000000"/>
                <w:sz w:val="16"/>
                <w:szCs w:val="16"/>
                <w:lang w:eastAsia="es-MX"/>
              </w:rPr>
              <w:t xml:space="preserve"> minerales y almacenaje</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F6E4F" w:rsidRPr="005F6E4F" w:rsidRDefault="005F6E4F" w:rsidP="005F6E4F">
            <w:pPr>
              <w:spacing w:after="80" w:line="240" w:lineRule="auto"/>
              <w:jc w:val="both"/>
              <w:rPr>
                <w:rFonts w:ascii="Times New Roman" w:eastAsia="Times New Roman" w:hAnsi="Times New Roman" w:cs="Times New Roman"/>
                <w:color w:val="000000"/>
                <w:sz w:val="16"/>
                <w:szCs w:val="16"/>
                <w:lang w:eastAsia="es-MX"/>
              </w:rPr>
            </w:pPr>
            <w:r w:rsidRPr="005F6E4F">
              <w:rPr>
                <w:rFonts w:ascii="Arial" w:eastAsia="Times New Roman" w:hAnsi="Arial" w:cs="Arial"/>
                <w:color w:val="000000"/>
                <w:sz w:val="16"/>
                <w:szCs w:val="16"/>
                <w:lang w:eastAsia="es-MX"/>
              </w:rPr>
              <w:t>Guaymas, Son.</w:t>
            </w:r>
          </w:p>
        </w:tc>
      </w:tr>
      <w:tr w:rsidR="005F6E4F" w:rsidRPr="005F6E4F" w:rsidTr="005F6E4F">
        <w:trPr>
          <w:trHeight w:val="592"/>
        </w:trPr>
        <w:tc>
          <w:tcPr>
            <w:tcW w:w="4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F6E4F" w:rsidRPr="005F6E4F" w:rsidRDefault="005F6E4F" w:rsidP="005F6E4F">
            <w:pPr>
              <w:spacing w:after="80" w:line="240" w:lineRule="auto"/>
              <w:jc w:val="both"/>
              <w:rPr>
                <w:rFonts w:ascii="Times New Roman" w:eastAsia="Times New Roman" w:hAnsi="Times New Roman" w:cs="Times New Roman"/>
                <w:color w:val="000000"/>
                <w:sz w:val="16"/>
                <w:szCs w:val="16"/>
                <w:lang w:eastAsia="es-MX"/>
              </w:rPr>
            </w:pPr>
            <w:r w:rsidRPr="005F6E4F">
              <w:rPr>
                <w:rFonts w:ascii="Arial" w:eastAsia="Times New Roman" w:hAnsi="Arial" w:cs="Arial"/>
                <w:color w:val="000000"/>
                <w:sz w:val="16"/>
                <w:szCs w:val="16"/>
                <w:lang w:eastAsia="es-MX"/>
              </w:rPr>
              <w:t>Servicios Marítimos Peninsular, S.A. de C.V.</w:t>
            </w:r>
          </w:p>
          <w:p w:rsidR="005F6E4F" w:rsidRPr="005F6E4F" w:rsidRDefault="005F6E4F" w:rsidP="005F6E4F">
            <w:pPr>
              <w:spacing w:after="80" w:line="240" w:lineRule="auto"/>
              <w:jc w:val="both"/>
              <w:rPr>
                <w:rFonts w:ascii="Times New Roman" w:eastAsia="Times New Roman" w:hAnsi="Times New Roman" w:cs="Times New Roman"/>
                <w:color w:val="000000"/>
                <w:sz w:val="16"/>
                <w:szCs w:val="16"/>
                <w:lang w:eastAsia="es-MX"/>
              </w:rPr>
            </w:pPr>
            <w:r w:rsidRPr="005F6E4F">
              <w:rPr>
                <w:rFonts w:ascii="Arial" w:eastAsia="Times New Roman" w:hAnsi="Arial" w:cs="Arial"/>
                <w:color w:val="000000"/>
                <w:sz w:val="16"/>
                <w:szCs w:val="16"/>
                <w:lang w:eastAsia="es-MX"/>
              </w:rPr>
              <w:t>www.dof.gob.mx/2022/SEMAR/2582_2022.pdf</w:t>
            </w:r>
          </w:p>
        </w:tc>
        <w:tc>
          <w:tcPr>
            <w:tcW w:w="24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F6E4F" w:rsidRPr="005F6E4F" w:rsidRDefault="005F6E4F" w:rsidP="005F6E4F">
            <w:pPr>
              <w:spacing w:after="80" w:line="240" w:lineRule="auto"/>
              <w:jc w:val="both"/>
              <w:rPr>
                <w:rFonts w:ascii="Times New Roman" w:eastAsia="Times New Roman" w:hAnsi="Times New Roman" w:cs="Times New Roman"/>
                <w:color w:val="000000"/>
                <w:sz w:val="16"/>
                <w:szCs w:val="16"/>
                <w:lang w:eastAsia="es-MX"/>
              </w:rPr>
            </w:pPr>
            <w:r w:rsidRPr="005F6E4F">
              <w:rPr>
                <w:rFonts w:ascii="Arial" w:eastAsia="Times New Roman" w:hAnsi="Arial" w:cs="Arial"/>
                <w:color w:val="000000"/>
                <w:sz w:val="16"/>
                <w:szCs w:val="16"/>
                <w:lang w:eastAsia="es-MX"/>
              </w:rPr>
              <w:t>Servicio de lanchaje</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F6E4F" w:rsidRPr="005F6E4F" w:rsidRDefault="005F6E4F" w:rsidP="005F6E4F">
            <w:pPr>
              <w:spacing w:after="80" w:line="240" w:lineRule="auto"/>
              <w:jc w:val="both"/>
              <w:rPr>
                <w:rFonts w:ascii="Times New Roman" w:eastAsia="Times New Roman" w:hAnsi="Times New Roman" w:cs="Times New Roman"/>
                <w:color w:val="000000"/>
                <w:sz w:val="16"/>
                <w:szCs w:val="16"/>
                <w:lang w:eastAsia="es-MX"/>
              </w:rPr>
            </w:pPr>
            <w:r w:rsidRPr="005F6E4F">
              <w:rPr>
                <w:rFonts w:ascii="Arial" w:eastAsia="Times New Roman" w:hAnsi="Arial" w:cs="Arial"/>
                <w:color w:val="000000"/>
                <w:sz w:val="16"/>
                <w:szCs w:val="16"/>
                <w:lang w:eastAsia="es-MX"/>
              </w:rPr>
              <w:t xml:space="preserve">Progreso, </w:t>
            </w:r>
            <w:proofErr w:type="spellStart"/>
            <w:r w:rsidRPr="005F6E4F">
              <w:rPr>
                <w:rFonts w:ascii="Arial" w:eastAsia="Times New Roman" w:hAnsi="Arial" w:cs="Arial"/>
                <w:color w:val="000000"/>
                <w:sz w:val="16"/>
                <w:szCs w:val="16"/>
                <w:lang w:eastAsia="es-MX"/>
              </w:rPr>
              <w:t>Yuc</w:t>
            </w:r>
            <w:proofErr w:type="spellEnd"/>
            <w:r w:rsidRPr="005F6E4F">
              <w:rPr>
                <w:rFonts w:ascii="Arial" w:eastAsia="Times New Roman" w:hAnsi="Arial" w:cs="Arial"/>
                <w:color w:val="000000"/>
                <w:sz w:val="16"/>
                <w:szCs w:val="16"/>
                <w:lang w:eastAsia="es-MX"/>
              </w:rPr>
              <w:t>.</w:t>
            </w:r>
          </w:p>
        </w:tc>
      </w:tr>
      <w:tr w:rsidR="005F6E4F" w:rsidRPr="005F6E4F" w:rsidTr="005F6E4F">
        <w:trPr>
          <w:trHeight w:val="607"/>
        </w:trPr>
        <w:tc>
          <w:tcPr>
            <w:tcW w:w="43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F6E4F" w:rsidRPr="005F6E4F" w:rsidRDefault="005F6E4F" w:rsidP="005F6E4F">
            <w:pPr>
              <w:spacing w:after="80" w:line="240" w:lineRule="auto"/>
              <w:jc w:val="both"/>
              <w:rPr>
                <w:rFonts w:ascii="Times New Roman" w:eastAsia="Times New Roman" w:hAnsi="Times New Roman" w:cs="Times New Roman"/>
                <w:color w:val="000000"/>
                <w:sz w:val="16"/>
                <w:szCs w:val="16"/>
                <w:lang w:eastAsia="es-MX"/>
              </w:rPr>
            </w:pPr>
            <w:r w:rsidRPr="005F6E4F">
              <w:rPr>
                <w:rFonts w:ascii="Arial" w:eastAsia="Times New Roman" w:hAnsi="Arial" w:cs="Arial"/>
                <w:color w:val="000000"/>
                <w:sz w:val="16"/>
                <w:szCs w:val="16"/>
                <w:lang w:eastAsia="es-MX"/>
              </w:rPr>
              <w:t xml:space="preserve">Cap. </w:t>
            </w:r>
            <w:proofErr w:type="spellStart"/>
            <w:r w:rsidRPr="005F6E4F">
              <w:rPr>
                <w:rFonts w:ascii="Arial" w:eastAsia="Times New Roman" w:hAnsi="Arial" w:cs="Arial"/>
                <w:color w:val="000000"/>
                <w:sz w:val="16"/>
                <w:szCs w:val="16"/>
                <w:lang w:eastAsia="es-MX"/>
              </w:rPr>
              <w:t>Alt</w:t>
            </w:r>
            <w:proofErr w:type="spellEnd"/>
            <w:r w:rsidRPr="005F6E4F">
              <w:rPr>
                <w:rFonts w:ascii="Arial" w:eastAsia="Times New Roman" w:hAnsi="Arial" w:cs="Arial"/>
                <w:color w:val="000000"/>
                <w:sz w:val="16"/>
                <w:szCs w:val="16"/>
                <w:lang w:eastAsia="es-MX"/>
              </w:rPr>
              <w:t xml:space="preserve">. Juan Manuel </w:t>
            </w:r>
            <w:proofErr w:type="spellStart"/>
            <w:r w:rsidRPr="005F6E4F">
              <w:rPr>
                <w:rFonts w:ascii="Arial" w:eastAsia="Times New Roman" w:hAnsi="Arial" w:cs="Arial"/>
                <w:color w:val="000000"/>
                <w:sz w:val="16"/>
                <w:szCs w:val="16"/>
                <w:lang w:eastAsia="es-MX"/>
              </w:rPr>
              <w:t>Anglés</w:t>
            </w:r>
            <w:proofErr w:type="spellEnd"/>
            <w:r w:rsidRPr="005F6E4F">
              <w:rPr>
                <w:rFonts w:ascii="Arial" w:eastAsia="Times New Roman" w:hAnsi="Arial" w:cs="Arial"/>
                <w:color w:val="000000"/>
                <w:sz w:val="16"/>
                <w:szCs w:val="16"/>
                <w:lang w:eastAsia="es-MX"/>
              </w:rPr>
              <w:t xml:space="preserve"> Enríquez</w:t>
            </w:r>
          </w:p>
          <w:p w:rsidR="005F6E4F" w:rsidRPr="005F6E4F" w:rsidRDefault="005F6E4F" w:rsidP="005F6E4F">
            <w:pPr>
              <w:spacing w:after="80" w:line="240" w:lineRule="auto"/>
              <w:jc w:val="both"/>
              <w:rPr>
                <w:rFonts w:ascii="Times New Roman" w:eastAsia="Times New Roman" w:hAnsi="Times New Roman" w:cs="Times New Roman"/>
                <w:color w:val="000000"/>
                <w:sz w:val="16"/>
                <w:szCs w:val="16"/>
                <w:lang w:eastAsia="es-MX"/>
              </w:rPr>
            </w:pPr>
            <w:r w:rsidRPr="005F6E4F">
              <w:rPr>
                <w:rFonts w:ascii="Arial" w:eastAsia="Times New Roman" w:hAnsi="Arial" w:cs="Arial"/>
                <w:color w:val="000000"/>
                <w:sz w:val="16"/>
                <w:szCs w:val="16"/>
                <w:lang w:eastAsia="es-MX"/>
              </w:rPr>
              <w:t>www.dof.gob.mx/2022/SEMAR/2583_2022.pdf</w:t>
            </w:r>
          </w:p>
        </w:tc>
        <w:tc>
          <w:tcPr>
            <w:tcW w:w="24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F6E4F" w:rsidRPr="005F6E4F" w:rsidRDefault="005F6E4F" w:rsidP="005F6E4F">
            <w:pPr>
              <w:spacing w:after="80" w:line="240" w:lineRule="auto"/>
              <w:jc w:val="both"/>
              <w:rPr>
                <w:rFonts w:ascii="Times New Roman" w:eastAsia="Times New Roman" w:hAnsi="Times New Roman" w:cs="Times New Roman"/>
                <w:color w:val="000000"/>
                <w:sz w:val="16"/>
                <w:szCs w:val="16"/>
                <w:lang w:eastAsia="es-MX"/>
              </w:rPr>
            </w:pPr>
            <w:r w:rsidRPr="005F6E4F">
              <w:rPr>
                <w:rFonts w:ascii="Arial" w:eastAsia="Times New Roman" w:hAnsi="Arial" w:cs="Arial"/>
                <w:color w:val="000000"/>
                <w:sz w:val="16"/>
                <w:szCs w:val="16"/>
                <w:lang w:eastAsia="es-MX"/>
              </w:rPr>
              <w:t>Servicio de lanchaje</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F6E4F" w:rsidRPr="005F6E4F" w:rsidRDefault="005F6E4F" w:rsidP="005F6E4F">
            <w:pPr>
              <w:spacing w:after="80" w:line="240" w:lineRule="auto"/>
              <w:jc w:val="both"/>
              <w:rPr>
                <w:rFonts w:ascii="Times New Roman" w:eastAsia="Times New Roman" w:hAnsi="Times New Roman" w:cs="Times New Roman"/>
                <w:color w:val="000000"/>
                <w:sz w:val="16"/>
                <w:szCs w:val="16"/>
                <w:lang w:eastAsia="es-MX"/>
              </w:rPr>
            </w:pPr>
            <w:r w:rsidRPr="005F6E4F">
              <w:rPr>
                <w:rFonts w:ascii="Arial" w:eastAsia="Times New Roman" w:hAnsi="Arial" w:cs="Arial"/>
                <w:color w:val="000000"/>
                <w:sz w:val="16"/>
                <w:szCs w:val="16"/>
                <w:lang w:eastAsia="es-MX"/>
              </w:rPr>
              <w:t>Ensenada, B.C.</w:t>
            </w:r>
          </w:p>
        </w:tc>
      </w:tr>
    </w:tbl>
    <w:p w:rsidR="005F6E4F" w:rsidRPr="005F6E4F" w:rsidRDefault="005F6E4F" w:rsidP="005F6E4F">
      <w:pPr>
        <w:shd w:val="clear" w:color="auto" w:fill="FFFFFF"/>
        <w:spacing w:after="80" w:line="240" w:lineRule="auto"/>
        <w:ind w:firstLine="288"/>
        <w:jc w:val="both"/>
        <w:rPr>
          <w:rFonts w:ascii="Arial" w:eastAsia="Times New Roman" w:hAnsi="Arial" w:cs="Arial"/>
          <w:color w:val="2F2F2F"/>
          <w:sz w:val="18"/>
          <w:szCs w:val="18"/>
          <w:lang w:eastAsia="es-MX"/>
        </w:rPr>
      </w:pPr>
      <w:r w:rsidRPr="005F6E4F">
        <w:rPr>
          <w:rFonts w:ascii="Arial" w:eastAsia="Times New Roman" w:hAnsi="Arial" w:cs="Arial"/>
          <w:color w:val="2F2F2F"/>
          <w:sz w:val="18"/>
          <w:szCs w:val="18"/>
          <w:lang w:eastAsia="es-MX"/>
        </w:rPr>
        <w:t> </w:t>
      </w:r>
    </w:p>
    <w:p w:rsidR="005F6E4F" w:rsidRPr="005F6E4F" w:rsidRDefault="005F6E4F" w:rsidP="005F6E4F">
      <w:pPr>
        <w:shd w:val="clear" w:color="auto" w:fill="FFFFFF"/>
        <w:spacing w:after="80" w:line="240" w:lineRule="auto"/>
        <w:jc w:val="center"/>
        <w:rPr>
          <w:rFonts w:ascii="Times New Roman" w:eastAsia="Times New Roman" w:hAnsi="Times New Roman" w:cs="Times New Roman"/>
          <w:b/>
          <w:bCs/>
          <w:color w:val="2F2F2F"/>
          <w:sz w:val="18"/>
          <w:szCs w:val="18"/>
          <w:lang w:eastAsia="es-MX"/>
        </w:rPr>
      </w:pPr>
      <w:r w:rsidRPr="005F6E4F">
        <w:rPr>
          <w:rFonts w:ascii="Times" w:eastAsia="Times New Roman" w:hAnsi="Times" w:cs="Times"/>
          <w:b/>
          <w:bCs/>
          <w:color w:val="2F2F2F"/>
          <w:sz w:val="18"/>
          <w:szCs w:val="18"/>
          <w:lang w:eastAsia="es-MX"/>
        </w:rPr>
        <w:t>TRANSITORIOS</w:t>
      </w:r>
    </w:p>
    <w:p w:rsidR="005F6E4F" w:rsidRPr="005F6E4F" w:rsidRDefault="005F6E4F" w:rsidP="005F6E4F">
      <w:pPr>
        <w:shd w:val="clear" w:color="auto" w:fill="FFFFFF"/>
        <w:spacing w:after="80" w:line="240" w:lineRule="auto"/>
        <w:ind w:firstLine="288"/>
        <w:jc w:val="both"/>
        <w:rPr>
          <w:rFonts w:ascii="Arial" w:eastAsia="Times New Roman" w:hAnsi="Arial" w:cs="Arial"/>
          <w:color w:val="2F2F2F"/>
          <w:sz w:val="18"/>
          <w:szCs w:val="18"/>
          <w:lang w:eastAsia="es-MX"/>
        </w:rPr>
      </w:pPr>
      <w:r w:rsidRPr="005F6E4F">
        <w:rPr>
          <w:rFonts w:ascii="Arial" w:eastAsia="Times New Roman" w:hAnsi="Arial" w:cs="Arial"/>
          <w:b/>
          <w:bCs/>
          <w:color w:val="2F2F2F"/>
          <w:sz w:val="18"/>
          <w:szCs w:val="18"/>
          <w:lang w:eastAsia="es-MX"/>
        </w:rPr>
        <w:t>PRIMERO.-</w:t>
      </w:r>
      <w:r w:rsidRPr="005F6E4F">
        <w:rPr>
          <w:rFonts w:ascii="Arial" w:eastAsia="Times New Roman" w:hAnsi="Arial" w:cs="Arial"/>
          <w:color w:val="2F2F2F"/>
          <w:sz w:val="18"/>
          <w:szCs w:val="18"/>
          <w:lang w:eastAsia="es-MX"/>
        </w:rPr>
        <w:t> El presente aviso entrará en vigor el día de su publicación en el Diario Oficial de la Federación.</w:t>
      </w:r>
    </w:p>
    <w:p w:rsidR="005F6E4F" w:rsidRPr="005F6E4F" w:rsidRDefault="005F6E4F" w:rsidP="005F6E4F">
      <w:pPr>
        <w:shd w:val="clear" w:color="auto" w:fill="FFFFFF"/>
        <w:spacing w:after="80" w:line="240" w:lineRule="auto"/>
        <w:ind w:firstLine="288"/>
        <w:jc w:val="both"/>
        <w:rPr>
          <w:rFonts w:ascii="Arial" w:eastAsia="Times New Roman" w:hAnsi="Arial" w:cs="Arial"/>
          <w:color w:val="2F2F2F"/>
          <w:sz w:val="18"/>
          <w:szCs w:val="18"/>
          <w:lang w:eastAsia="es-MX"/>
        </w:rPr>
      </w:pPr>
      <w:r w:rsidRPr="005F6E4F">
        <w:rPr>
          <w:rFonts w:ascii="Arial" w:eastAsia="Times New Roman" w:hAnsi="Arial" w:cs="Arial"/>
          <w:b/>
          <w:bCs/>
          <w:color w:val="2F2F2F"/>
          <w:sz w:val="18"/>
          <w:szCs w:val="18"/>
          <w:lang w:eastAsia="es-MX"/>
        </w:rPr>
        <w:lastRenderedPageBreak/>
        <w:t>SEGUNDO.-</w:t>
      </w:r>
      <w:r w:rsidRPr="005F6E4F">
        <w:rPr>
          <w:rFonts w:ascii="Arial" w:eastAsia="Times New Roman" w:hAnsi="Arial" w:cs="Arial"/>
          <w:color w:val="2F2F2F"/>
          <w:sz w:val="18"/>
          <w:szCs w:val="18"/>
          <w:lang w:eastAsia="es-MX"/>
        </w:rPr>
        <w:t> Las bases de regulación tarifaria a que se refiere el presente aviso, entrarán en vigor a partir de los veinte días hábiles siguientes a su publicación en el Diario Oficial de la Federación.</w:t>
      </w:r>
    </w:p>
    <w:p w:rsidR="005F6E4F" w:rsidRPr="005F6E4F" w:rsidRDefault="005F6E4F" w:rsidP="005F6E4F">
      <w:pPr>
        <w:shd w:val="clear" w:color="auto" w:fill="FFFFFF"/>
        <w:spacing w:after="80" w:line="240" w:lineRule="auto"/>
        <w:ind w:firstLine="288"/>
        <w:jc w:val="both"/>
        <w:rPr>
          <w:rFonts w:ascii="Arial" w:eastAsia="Times New Roman" w:hAnsi="Arial" w:cs="Arial"/>
          <w:color w:val="2F2F2F"/>
          <w:sz w:val="18"/>
          <w:szCs w:val="18"/>
          <w:lang w:eastAsia="es-MX"/>
        </w:rPr>
      </w:pPr>
      <w:r w:rsidRPr="005F6E4F">
        <w:rPr>
          <w:rFonts w:ascii="Arial" w:eastAsia="Times New Roman" w:hAnsi="Arial" w:cs="Arial"/>
          <w:color w:val="2F2F2F"/>
          <w:sz w:val="18"/>
          <w:szCs w:val="18"/>
          <w:lang w:eastAsia="es-MX"/>
        </w:rPr>
        <w:t>Atentamente</w:t>
      </w:r>
    </w:p>
    <w:p w:rsidR="005F6E4F" w:rsidRPr="005F6E4F" w:rsidRDefault="005F6E4F" w:rsidP="005F6E4F">
      <w:pPr>
        <w:shd w:val="clear" w:color="auto" w:fill="FFFFFF"/>
        <w:spacing w:after="80" w:line="240" w:lineRule="auto"/>
        <w:ind w:firstLine="288"/>
        <w:jc w:val="both"/>
        <w:rPr>
          <w:rFonts w:ascii="Arial" w:eastAsia="Times New Roman" w:hAnsi="Arial" w:cs="Arial"/>
          <w:color w:val="2F2F2F"/>
          <w:sz w:val="18"/>
          <w:szCs w:val="18"/>
          <w:lang w:eastAsia="es-MX"/>
        </w:rPr>
      </w:pPr>
      <w:r w:rsidRPr="005F6E4F">
        <w:rPr>
          <w:rFonts w:ascii="Arial" w:eastAsia="Times New Roman" w:hAnsi="Arial" w:cs="Arial"/>
          <w:color w:val="2F2F2F"/>
          <w:sz w:val="18"/>
          <w:szCs w:val="18"/>
          <w:lang w:eastAsia="es-MX"/>
        </w:rPr>
        <w:t>Ciudad de México, 20 de septiembre de 2022.- La Directora General de Puertos, Capitán de Altura </w:t>
      </w:r>
      <w:r w:rsidRPr="005F6E4F">
        <w:rPr>
          <w:rFonts w:ascii="Arial" w:eastAsia="Times New Roman" w:hAnsi="Arial" w:cs="Arial"/>
          <w:b/>
          <w:bCs/>
          <w:color w:val="2F2F2F"/>
          <w:sz w:val="18"/>
          <w:szCs w:val="18"/>
          <w:lang w:eastAsia="es-MX"/>
        </w:rPr>
        <w:t>María</w:t>
      </w:r>
      <w:r w:rsidRPr="005F6E4F">
        <w:rPr>
          <w:rFonts w:ascii="Arial" w:eastAsia="Times New Roman" w:hAnsi="Arial" w:cs="Arial"/>
          <w:color w:val="2F2F2F"/>
          <w:sz w:val="18"/>
          <w:szCs w:val="18"/>
          <w:lang w:eastAsia="es-MX"/>
        </w:rPr>
        <w:t> </w:t>
      </w:r>
      <w:r w:rsidRPr="005F6E4F">
        <w:rPr>
          <w:rFonts w:ascii="Arial" w:eastAsia="Times New Roman" w:hAnsi="Arial" w:cs="Arial"/>
          <w:b/>
          <w:bCs/>
          <w:color w:val="2F2F2F"/>
          <w:sz w:val="18"/>
          <w:szCs w:val="18"/>
          <w:lang w:eastAsia="es-MX"/>
        </w:rPr>
        <w:t>Marisa Abarca Hernández</w:t>
      </w:r>
      <w:r w:rsidRPr="005F6E4F">
        <w:rPr>
          <w:rFonts w:ascii="Arial" w:eastAsia="Times New Roman" w:hAnsi="Arial" w:cs="Arial"/>
          <w:color w:val="2F2F2F"/>
          <w:sz w:val="18"/>
          <w:szCs w:val="18"/>
          <w:lang w:eastAsia="es-MX"/>
        </w:rPr>
        <w:t>.- Rúbrica.</w:t>
      </w:r>
    </w:p>
    <w:p w:rsidR="005F6E4F" w:rsidRDefault="005F6E4F" w:rsidP="005F6E4F">
      <w:pPr>
        <w:jc w:val="both"/>
      </w:pPr>
    </w:p>
    <w:sectPr w:rsidR="005F6E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E4F"/>
    <w:rsid w:val="005F6E4F"/>
    <w:rsid w:val="00C945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953168">
      <w:bodyDiv w:val="1"/>
      <w:marLeft w:val="0"/>
      <w:marRight w:val="0"/>
      <w:marTop w:val="0"/>
      <w:marBottom w:val="0"/>
      <w:divBdr>
        <w:top w:val="none" w:sz="0" w:space="0" w:color="auto"/>
        <w:left w:val="none" w:sz="0" w:space="0" w:color="auto"/>
        <w:bottom w:val="none" w:sz="0" w:space="0" w:color="auto"/>
        <w:right w:val="none" w:sz="0" w:space="0" w:color="auto"/>
      </w:divBdr>
      <w:divsChild>
        <w:div w:id="1247694359">
          <w:marLeft w:val="0"/>
          <w:marRight w:val="0"/>
          <w:marTop w:val="0"/>
          <w:marBottom w:val="80"/>
          <w:divBdr>
            <w:top w:val="none" w:sz="0" w:space="0" w:color="auto"/>
            <w:left w:val="none" w:sz="0" w:space="0" w:color="auto"/>
            <w:bottom w:val="none" w:sz="0" w:space="0" w:color="auto"/>
            <w:right w:val="none" w:sz="0" w:space="0" w:color="auto"/>
          </w:divBdr>
        </w:div>
        <w:div w:id="1671250987">
          <w:marLeft w:val="0"/>
          <w:marRight w:val="0"/>
          <w:marTop w:val="101"/>
          <w:marBottom w:val="80"/>
          <w:divBdr>
            <w:top w:val="none" w:sz="0" w:space="0" w:color="auto"/>
            <w:left w:val="none" w:sz="0" w:space="0" w:color="auto"/>
            <w:bottom w:val="none" w:sz="0" w:space="0" w:color="auto"/>
            <w:right w:val="none" w:sz="0" w:space="0" w:color="auto"/>
          </w:divBdr>
        </w:div>
        <w:div w:id="1050766046">
          <w:marLeft w:val="0"/>
          <w:marRight w:val="0"/>
          <w:marTop w:val="0"/>
          <w:marBottom w:val="80"/>
          <w:divBdr>
            <w:top w:val="none" w:sz="0" w:space="0" w:color="auto"/>
            <w:left w:val="none" w:sz="0" w:space="0" w:color="auto"/>
            <w:bottom w:val="none" w:sz="0" w:space="0" w:color="auto"/>
            <w:right w:val="none" w:sz="0" w:space="0" w:color="auto"/>
          </w:divBdr>
        </w:div>
        <w:div w:id="1606301078">
          <w:marLeft w:val="0"/>
          <w:marRight w:val="0"/>
          <w:marTop w:val="0"/>
          <w:marBottom w:val="80"/>
          <w:divBdr>
            <w:top w:val="none" w:sz="0" w:space="0" w:color="auto"/>
            <w:left w:val="none" w:sz="0" w:space="0" w:color="auto"/>
            <w:bottom w:val="none" w:sz="0" w:space="0" w:color="auto"/>
            <w:right w:val="none" w:sz="0" w:space="0" w:color="auto"/>
          </w:divBdr>
        </w:div>
        <w:div w:id="1589655175">
          <w:marLeft w:val="0"/>
          <w:marRight w:val="0"/>
          <w:marTop w:val="0"/>
          <w:marBottom w:val="80"/>
          <w:divBdr>
            <w:top w:val="none" w:sz="0" w:space="0" w:color="auto"/>
            <w:left w:val="none" w:sz="0" w:space="0" w:color="auto"/>
            <w:bottom w:val="none" w:sz="0" w:space="0" w:color="auto"/>
            <w:right w:val="none" w:sz="0" w:space="0" w:color="auto"/>
          </w:divBdr>
        </w:div>
        <w:div w:id="1641619193">
          <w:marLeft w:val="0"/>
          <w:marRight w:val="0"/>
          <w:marTop w:val="0"/>
          <w:marBottom w:val="80"/>
          <w:divBdr>
            <w:top w:val="none" w:sz="0" w:space="0" w:color="auto"/>
            <w:left w:val="none" w:sz="0" w:space="0" w:color="auto"/>
            <w:bottom w:val="none" w:sz="0" w:space="0" w:color="auto"/>
            <w:right w:val="none" w:sz="0" w:space="0" w:color="auto"/>
          </w:divBdr>
        </w:div>
        <w:div w:id="1295716240">
          <w:marLeft w:val="0"/>
          <w:marRight w:val="0"/>
          <w:marTop w:val="101"/>
          <w:marBottom w:val="80"/>
          <w:divBdr>
            <w:top w:val="none" w:sz="0" w:space="0" w:color="auto"/>
            <w:left w:val="none" w:sz="0" w:space="0" w:color="auto"/>
            <w:bottom w:val="none" w:sz="0" w:space="0" w:color="auto"/>
            <w:right w:val="none" w:sz="0" w:space="0" w:color="auto"/>
          </w:divBdr>
        </w:div>
        <w:div w:id="466821189">
          <w:marLeft w:val="0"/>
          <w:marRight w:val="0"/>
          <w:marTop w:val="0"/>
          <w:marBottom w:val="80"/>
          <w:divBdr>
            <w:top w:val="none" w:sz="0" w:space="0" w:color="auto"/>
            <w:left w:val="none" w:sz="0" w:space="0" w:color="auto"/>
            <w:bottom w:val="none" w:sz="0" w:space="0" w:color="auto"/>
            <w:right w:val="none" w:sz="0" w:space="0" w:color="auto"/>
          </w:divBdr>
        </w:div>
        <w:div w:id="2125610968">
          <w:marLeft w:val="0"/>
          <w:marRight w:val="0"/>
          <w:marTop w:val="0"/>
          <w:marBottom w:val="80"/>
          <w:divBdr>
            <w:top w:val="none" w:sz="0" w:space="0" w:color="auto"/>
            <w:left w:val="none" w:sz="0" w:space="0" w:color="auto"/>
            <w:bottom w:val="none" w:sz="0" w:space="0" w:color="auto"/>
            <w:right w:val="none" w:sz="0" w:space="0" w:color="auto"/>
          </w:divBdr>
        </w:div>
        <w:div w:id="1797487662">
          <w:marLeft w:val="0"/>
          <w:marRight w:val="0"/>
          <w:marTop w:val="0"/>
          <w:marBottom w:val="80"/>
          <w:divBdr>
            <w:top w:val="none" w:sz="0" w:space="0" w:color="auto"/>
            <w:left w:val="none" w:sz="0" w:space="0" w:color="auto"/>
            <w:bottom w:val="none" w:sz="0" w:space="0" w:color="auto"/>
            <w:right w:val="none" w:sz="0" w:space="0" w:color="auto"/>
          </w:divBdr>
        </w:div>
        <w:div w:id="779951535">
          <w:marLeft w:val="0"/>
          <w:marRight w:val="0"/>
          <w:marTop w:val="0"/>
          <w:marBottom w:val="80"/>
          <w:divBdr>
            <w:top w:val="none" w:sz="0" w:space="0" w:color="auto"/>
            <w:left w:val="none" w:sz="0" w:space="0" w:color="auto"/>
            <w:bottom w:val="none" w:sz="0" w:space="0" w:color="auto"/>
            <w:right w:val="none" w:sz="0" w:space="0" w:color="auto"/>
          </w:divBdr>
        </w:div>
        <w:div w:id="1081638255">
          <w:marLeft w:val="0"/>
          <w:marRight w:val="0"/>
          <w:marTop w:val="0"/>
          <w:marBottom w:val="80"/>
          <w:divBdr>
            <w:top w:val="none" w:sz="0" w:space="0" w:color="auto"/>
            <w:left w:val="none" w:sz="0" w:space="0" w:color="auto"/>
            <w:bottom w:val="none" w:sz="0" w:space="0" w:color="auto"/>
            <w:right w:val="none" w:sz="0" w:space="0" w:color="auto"/>
          </w:divBdr>
        </w:div>
        <w:div w:id="850873188">
          <w:marLeft w:val="0"/>
          <w:marRight w:val="0"/>
          <w:marTop w:val="0"/>
          <w:marBottom w:val="80"/>
          <w:divBdr>
            <w:top w:val="none" w:sz="0" w:space="0" w:color="auto"/>
            <w:left w:val="none" w:sz="0" w:space="0" w:color="auto"/>
            <w:bottom w:val="none" w:sz="0" w:space="0" w:color="auto"/>
            <w:right w:val="none" w:sz="0" w:space="0" w:color="auto"/>
          </w:divBdr>
        </w:div>
        <w:div w:id="1709913661">
          <w:marLeft w:val="0"/>
          <w:marRight w:val="0"/>
          <w:marTop w:val="0"/>
          <w:marBottom w:val="80"/>
          <w:divBdr>
            <w:top w:val="none" w:sz="0" w:space="0" w:color="auto"/>
            <w:left w:val="none" w:sz="0" w:space="0" w:color="auto"/>
            <w:bottom w:val="none" w:sz="0" w:space="0" w:color="auto"/>
            <w:right w:val="none" w:sz="0" w:space="0" w:color="auto"/>
          </w:divBdr>
        </w:div>
        <w:div w:id="1204831614">
          <w:marLeft w:val="0"/>
          <w:marRight w:val="0"/>
          <w:marTop w:val="0"/>
          <w:marBottom w:val="80"/>
          <w:divBdr>
            <w:top w:val="none" w:sz="0" w:space="0" w:color="auto"/>
            <w:left w:val="none" w:sz="0" w:space="0" w:color="auto"/>
            <w:bottom w:val="none" w:sz="0" w:space="0" w:color="auto"/>
            <w:right w:val="none" w:sz="0" w:space="0" w:color="auto"/>
          </w:divBdr>
        </w:div>
        <w:div w:id="332414194">
          <w:marLeft w:val="0"/>
          <w:marRight w:val="0"/>
          <w:marTop w:val="0"/>
          <w:marBottom w:val="80"/>
          <w:divBdr>
            <w:top w:val="none" w:sz="0" w:space="0" w:color="auto"/>
            <w:left w:val="none" w:sz="0" w:space="0" w:color="auto"/>
            <w:bottom w:val="none" w:sz="0" w:space="0" w:color="auto"/>
            <w:right w:val="none" w:sz="0" w:space="0" w:color="auto"/>
          </w:divBdr>
        </w:div>
        <w:div w:id="461653553">
          <w:marLeft w:val="0"/>
          <w:marRight w:val="0"/>
          <w:marTop w:val="0"/>
          <w:marBottom w:val="80"/>
          <w:divBdr>
            <w:top w:val="none" w:sz="0" w:space="0" w:color="auto"/>
            <w:left w:val="none" w:sz="0" w:space="0" w:color="auto"/>
            <w:bottom w:val="none" w:sz="0" w:space="0" w:color="auto"/>
            <w:right w:val="none" w:sz="0" w:space="0" w:color="auto"/>
          </w:divBdr>
        </w:div>
        <w:div w:id="1876503604">
          <w:marLeft w:val="0"/>
          <w:marRight w:val="0"/>
          <w:marTop w:val="0"/>
          <w:marBottom w:val="80"/>
          <w:divBdr>
            <w:top w:val="none" w:sz="0" w:space="0" w:color="auto"/>
            <w:left w:val="none" w:sz="0" w:space="0" w:color="auto"/>
            <w:bottom w:val="none" w:sz="0" w:space="0" w:color="auto"/>
            <w:right w:val="none" w:sz="0" w:space="0" w:color="auto"/>
          </w:divBdr>
        </w:div>
        <w:div w:id="1683629379">
          <w:marLeft w:val="0"/>
          <w:marRight w:val="0"/>
          <w:marTop w:val="0"/>
          <w:marBottom w:val="80"/>
          <w:divBdr>
            <w:top w:val="none" w:sz="0" w:space="0" w:color="auto"/>
            <w:left w:val="none" w:sz="0" w:space="0" w:color="auto"/>
            <w:bottom w:val="none" w:sz="0" w:space="0" w:color="auto"/>
            <w:right w:val="none" w:sz="0" w:space="0" w:color="auto"/>
          </w:divBdr>
        </w:div>
        <w:div w:id="270167027">
          <w:marLeft w:val="0"/>
          <w:marRight w:val="0"/>
          <w:marTop w:val="0"/>
          <w:marBottom w:val="80"/>
          <w:divBdr>
            <w:top w:val="none" w:sz="0" w:space="0" w:color="auto"/>
            <w:left w:val="none" w:sz="0" w:space="0" w:color="auto"/>
            <w:bottom w:val="none" w:sz="0" w:space="0" w:color="auto"/>
            <w:right w:val="none" w:sz="0" w:space="0" w:color="auto"/>
          </w:divBdr>
        </w:div>
        <w:div w:id="5637454">
          <w:marLeft w:val="0"/>
          <w:marRight w:val="0"/>
          <w:marTop w:val="0"/>
          <w:marBottom w:val="80"/>
          <w:divBdr>
            <w:top w:val="none" w:sz="0" w:space="0" w:color="auto"/>
            <w:left w:val="none" w:sz="0" w:space="0" w:color="auto"/>
            <w:bottom w:val="none" w:sz="0" w:space="0" w:color="auto"/>
            <w:right w:val="none" w:sz="0" w:space="0" w:color="auto"/>
          </w:divBdr>
        </w:div>
        <w:div w:id="2083945962">
          <w:marLeft w:val="0"/>
          <w:marRight w:val="0"/>
          <w:marTop w:val="0"/>
          <w:marBottom w:val="80"/>
          <w:divBdr>
            <w:top w:val="none" w:sz="0" w:space="0" w:color="auto"/>
            <w:left w:val="none" w:sz="0" w:space="0" w:color="auto"/>
            <w:bottom w:val="none" w:sz="0" w:space="0" w:color="auto"/>
            <w:right w:val="none" w:sz="0" w:space="0" w:color="auto"/>
          </w:divBdr>
        </w:div>
        <w:div w:id="496114723">
          <w:marLeft w:val="0"/>
          <w:marRight w:val="0"/>
          <w:marTop w:val="0"/>
          <w:marBottom w:val="80"/>
          <w:divBdr>
            <w:top w:val="none" w:sz="0" w:space="0" w:color="auto"/>
            <w:left w:val="none" w:sz="0" w:space="0" w:color="auto"/>
            <w:bottom w:val="none" w:sz="0" w:space="0" w:color="auto"/>
            <w:right w:val="none" w:sz="0" w:space="0" w:color="auto"/>
          </w:divBdr>
        </w:div>
        <w:div w:id="1660377801">
          <w:marLeft w:val="0"/>
          <w:marRight w:val="0"/>
          <w:marTop w:val="0"/>
          <w:marBottom w:val="80"/>
          <w:divBdr>
            <w:top w:val="none" w:sz="0" w:space="0" w:color="auto"/>
            <w:left w:val="none" w:sz="0" w:space="0" w:color="auto"/>
            <w:bottom w:val="none" w:sz="0" w:space="0" w:color="auto"/>
            <w:right w:val="none" w:sz="0" w:space="0" w:color="auto"/>
          </w:divBdr>
        </w:div>
        <w:div w:id="1876654651">
          <w:marLeft w:val="0"/>
          <w:marRight w:val="0"/>
          <w:marTop w:val="101"/>
          <w:marBottom w:val="80"/>
          <w:divBdr>
            <w:top w:val="none" w:sz="0" w:space="0" w:color="auto"/>
            <w:left w:val="none" w:sz="0" w:space="0" w:color="auto"/>
            <w:bottom w:val="none" w:sz="0" w:space="0" w:color="auto"/>
            <w:right w:val="none" w:sz="0" w:space="0" w:color="auto"/>
          </w:divBdr>
        </w:div>
        <w:div w:id="1461653648">
          <w:marLeft w:val="0"/>
          <w:marRight w:val="0"/>
          <w:marTop w:val="0"/>
          <w:marBottom w:val="80"/>
          <w:divBdr>
            <w:top w:val="none" w:sz="0" w:space="0" w:color="auto"/>
            <w:left w:val="none" w:sz="0" w:space="0" w:color="auto"/>
            <w:bottom w:val="none" w:sz="0" w:space="0" w:color="auto"/>
            <w:right w:val="none" w:sz="0" w:space="0" w:color="auto"/>
          </w:divBdr>
        </w:div>
        <w:div w:id="2132673570">
          <w:marLeft w:val="0"/>
          <w:marRight w:val="0"/>
          <w:marTop w:val="0"/>
          <w:marBottom w:val="80"/>
          <w:divBdr>
            <w:top w:val="none" w:sz="0" w:space="0" w:color="auto"/>
            <w:left w:val="none" w:sz="0" w:space="0" w:color="auto"/>
            <w:bottom w:val="none" w:sz="0" w:space="0" w:color="auto"/>
            <w:right w:val="none" w:sz="0" w:space="0" w:color="auto"/>
          </w:divBdr>
        </w:div>
        <w:div w:id="514927488">
          <w:marLeft w:val="0"/>
          <w:marRight w:val="0"/>
          <w:marTop w:val="0"/>
          <w:marBottom w:val="80"/>
          <w:divBdr>
            <w:top w:val="none" w:sz="0" w:space="0" w:color="auto"/>
            <w:left w:val="none" w:sz="0" w:space="0" w:color="auto"/>
            <w:bottom w:val="none" w:sz="0" w:space="0" w:color="auto"/>
            <w:right w:val="none" w:sz="0" w:space="0" w:color="auto"/>
          </w:divBdr>
        </w:div>
        <w:div w:id="1886603979">
          <w:marLeft w:val="0"/>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610</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2022-10-26T13:15:00Z</dcterms:created>
  <dcterms:modified xsi:type="dcterms:W3CDTF">2022-10-26T13:19:00Z</dcterms:modified>
</cp:coreProperties>
</file>